
<file path=[Content_Types].xml><?xml version="1.0" encoding="utf-8"?>
<Types xmlns="http://schemas.openxmlformats.org/package/2006/content-types">
  <Default Extension="xml" ContentType="application/xml"/>
  <Default Extension="jpeg" ContentType="image/jpe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attachedToolbars.bin" ContentType="application/vnd.ms-word.attachedToolbars"/>
  <Override PartName="/word/customizations.xml" ContentType="application/vnd.ms-word.keyMapCustomization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eastAsia="黑体"/>
          <w:sz w:val="32"/>
          <w:szCs w:val="32"/>
          <w:u w:val="none" w:color="auto"/>
        </w:rPr>
      </w:pPr>
    </w:p>
    <w:p>
      <w:pPr>
        <w:pStyle w:val="33"/>
        <w:rPr>
          <w:u w:val="none" w:color="auto"/>
        </w:rPr>
      </w:pPr>
    </w:p>
    <w:p>
      <w:pPr>
        <w:jc w:val="center"/>
        <w:rPr>
          <w:rFonts w:eastAsia="黑体"/>
          <w:sz w:val="32"/>
          <w:szCs w:val="32"/>
          <w:u w:val="none" w:color="auto"/>
        </w:rPr>
      </w:pPr>
    </w:p>
    <w:p>
      <w:pPr>
        <w:ind w:firstLine="0" w:firstLineChars="0"/>
        <w:jc w:val="center"/>
        <w:rPr>
          <w:rFonts w:hint="eastAsia" w:ascii="Times New Roman" w:hAnsi="Times New Roman" w:eastAsia="宋体" w:cs="Times New Roman"/>
          <w:b/>
          <w:sz w:val="52"/>
          <w:szCs w:val="52"/>
          <w:u w:val="none" w:color="auto"/>
          <w:lang w:val="en-US" w:eastAsia="zh-CN"/>
        </w:rPr>
      </w:pPr>
      <w:r>
        <w:rPr>
          <w:rFonts w:hint="eastAsia" w:cs="Times New Roman"/>
          <w:b/>
          <w:sz w:val="52"/>
          <w:szCs w:val="52"/>
          <w:u w:val="none" w:color="auto"/>
          <w:lang w:val="en-US" w:eastAsia="zh-CN"/>
        </w:rPr>
        <w:t>湖南华电永州蓝山大源风电场项目</w:t>
      </w:r>
      <w:r>
        <w:rPr>
          <w:rFonts w:hint="eastAsia" w:ascii="Times New Roman" w:hAnsi="Times New Roman" w:eastAsia="宋体" w:cs="Times New Roman"/>
          <w:b/>
          <w:sz w:val="52"/>
          <w:szCs w:val="52"/>
          <w:u w:val="none" w:color="auto"/>
          <w:lang w:eastAsia="zh-CN"/>
        </w:rPr>
        <w:t>变更</w:t>
      </w:r>
    </w:p>
    <w:p>
      <w:pPr>
        <w:ind w:firstLine="0" w:firstLineChars="0"/>
        <w:jc w:val="center"/>
        <w:rPr>
          <w:b/>
          <w:sz w:val="52"/>
          <w:szCs w:val="52"/>
          <w:u w:val="none" w:color="auto"/>
        </w:rPr>
      </w:pPr>
      <w:r>
        <w:rPr>
          <w:b/>
          <w:sz w:val="52"/>
          <w:szCs w:val="52"/>
          <w:u w:val="none" w:color="auto"/>
        </w:rPr>
        <w:t>环境影响报告</w:t>
      </w:r>
      <w:bookmarkStart w:id="0" w:name="_Toc279269344"/>
      <w:bookmarkStart w:id="1" w:name="_Toc279267307"/>
      <w:bookmarkStart w:id="2" w:name="_Toc279268550"/>
      <w:bookmarkStart w:id="3" w:name="_Toc279270164"/>
      <w:bookmarkStart w:id="4" w:name="_Toc279267419"/>
      <w:bookmarkStart w:id="5" w:name="_Toc279269790"/>
      <w:bookmarkStart w:id="6" w:name="_Toc279266589"/>
      <w:r>
        <w:rPr>
          <w:b/>
          <w:sz w:val="52"/>
          <w:szCs w:val="52"/>
          <w:u w:val="none" w:color="auto"/>
        </w:rPr>
        <w:t>书</w:t>
      </w:r>
    </w:p>
    <w:bookmarkEnd w:id="0"/>
    <w:bookmarkEnd w:id="1"/>
    <w:bookmarkEnd w:id="2"/>
    <w:bookmarkEnd w:id="3"/>
    <w:bookmarkEnd w:id="4"/>
    <w:bookmarkEnd w:id="5"/>
    <w:bookmarkEnd w:id="6"/>
    <w:p>
      <w:pPr>
        <w:jc w:val="center"/>
        <w:rPr>
          <w:sz w:val="32"/>
          <w:szCs w:val="32"/>
          <w:u w:val="none" w:color="auto"/>
        </w:rPr>
      </w:pPr>
    </w:p>
    <w:p>
      <w:pPr>
        <w:jc w:val="center"/>
        <w:rPr>
          <w:sz w:val="32"/>
          <w:szCs w:val="32"/>
          <w:u w:val="none" w:color="auto"/>
        </w:rPr>
      </w:pPr>
    </w:p>
    <w:p>
      <w:pPr>
        <w:jc w:val="center"/>
        <w:rPr>
          <w:sz w:val="32"/>
          <w:szCs w:val="32"/>
          <w:u w:val="none" w:color="auto"/>
        </w:rPr>
      </w:pPr>
    </w:p>
    <w:p>
      <w:pPr>
        <w:jc w:val="center"/>
        <w:rPr>
          <w:sz w:val="32"/>
          <w:szCs w:val="32"/>
          <w:u w:val="none" w:color="auto"/>
        </w:rPr>
      </w:pPr>
    </w:p>
    <w:p>
      <w:pPr>
        <w:jc w:val="center"/>
        <w:rPr>
          <w:sz w:val="32"/>
          <w:szCs w:val="32"/>
          <w:u w:val="none" w:color="auto"/>
        </w:rPr>
      </w:pPr>
    </w:p>
    <w:p>
      <w:pPr>
        <w:jc w:val="center"/>
        <w:rPr>
          <w:sz w:val="32"/>
          <w:szCs w:val="32"/>
          <w:u w:val="none" w:color="auto"/>
        </w:rPr>
      </w:pPr>
    </w:p>
    <w:p>
      <w:pPr>
        <w:jc w:val="center"/>
        <w:rPr>
          <w:sz w:val="32"/>
          <w:szCs w:val="32"/>
          <w:u w:val="none" w:color="auto"/>
        </w:rPr>
      </w:pPr>
    </w:p>
    <w:p>
      <w:pPr>
        <w:pStyle w:val="33"/>
        <w:rPr>
          <w:sz w:val="32"/>
          <w:szCs w:val="32"/>
          <w:u w:val="none" w:color="auto"/>
        </w:rPr>
      </w:pPr>
    </w:p>
    <w:p>
      <w:pPr>
        <w:rPr>
          <w:sz w:val="32"/>
          <w:szCs w:val="32"/>
          <w:u w:val="none" w:color="auto"/>
        </w:rPr>
      </w:pPr>
    </w:p>
    <w:p>
      <w:pPr>
        <w:pStyle w:val="33"/>
        <w:rPr>
          <w:u w:val="none" w:color="auto"/>
        </w:rPr>
      </w:pPr>
    </w:p>
    <w:p>
      <w:pPr>
        <w:tabs>
          <w:tab w:val="left" w:pos="5598"/>
          <w:tab w:val="clear" w:pos="480"/>
        </w:tabs>
        <w:jc w:val="left"/>
        <w:rPr>
          <w:sz w:val="32"/>
          <w:szCs w:val="32"/>
          <w:u w:val="none" w:color="auto"/>
        </w:rPr>
      </w:pPr>
    </w:p>
    <w:p>
      <w:pPr>
        <w:ind w:firstLine="643"/>
        <w:jc w:val="center"/>
        <w:rPr>
          <w:b/>
          <w:sz w:val="32"/>
          <w:szCs w:val="32"/>
          <w:u w:val="none" w:color="auto"/>
        </w:rPr>
      </w:pPr>
    </w:p>
    <w:p>
      <w:pPr>
        <w:ind w:firstLine="0" w:firstLineChars="0"/>
        <w:jc w:val="center"/>
        <w:rPr>
          <w:rFonts w:hint="eastAsia" w:ascii="Times New Roman" w:hAnsi="Times New Roman" w:eastAsia="宋体" w:cs="Times New Roman"/>
          <w:b/>
          <w:sz w:val="32"/>
          <w:szCs w:val="32"/>
          <w:u w:val="none" w:color="auto"/>
        </w:rPr>
      </w:pPr>
      <w:r>
        <w:rPr>
          <w:rFonts w:hint="eastAsia" w:ascii="Times New Roman" w:hAnsi="Times New Roman" w:eastAsia="宋体" w:cs="Times New Roman"/>
          <w:b/>
          <w:sz w:val="32"/>
          <w:szCs w:val="32"/>
          <w:u w:val="none" w:color="auto"/>
        </w:rPr>
        <w:t>建设单位：湖南华电</w:t>
      </w:r>
      <w:r>
        <w:rPr>
          <w:rFonts w:hint="eastAsia" w:cs="Times New Roman"/>
          <w:b/>
          <w:sz w:val="32"/>
          <w:szCs w:val="32"/>
          <w:u w:val="none" w:color="auto"/>
          <w:lang w:val="en-US" w:eastAsia="zh-CN"/>
        </w:rPr>
        <w:t>永蓝</w:t>
      </w:r>
      <w:r>
        <w:rPr>
          <w:rFonts w:hint="eastAsia" w:ascii="Times New Roman" w:hAnsi="Times New Roman" w:eastAsia="宋体" w:cs="Times New Roman"/>
          <w:b/>
          <w:sz w:val="32"/>
          <w:szCs w:val="32"/>
          <w:u w:val="none" w:color="auto"/>
        </w:rPr>
        <w:t>新能源有限公司</w:t>
      </w:r>
    </w:p>
    <w:p>
      <w:pPr>
        <w:ind w:firstLine="0" w:firstLineChars="0"/>
        <w:jc w:val="center"/>
        <w:rPr>
          <w:rFonts w:hint="eastAsia"/>
          <w:b/>
          <w:sz w:val="32"/>
          <w:szCs w:val="32"/>
          <w:u w:val="none" w:color="auto"/>
        </w:rPr>
      </w:pPr>
      <w:r>
        <w:rPr>
          <w:rFonts w:hint="eastAsia"/>
          <w:b/>
          <w:sz w:val="32"/>
          <w:szCs w:val="32"/>
          <w:u w:val="none" w:color="auto"/>
        </w:rPr>
        <w:t>编制单位：湖南天瑶环境技术有限公司</w:t>
      </w:r>
    </w:p>
    <w:p>
      <w:pPr>
        <w:ind w:firstLine="0" w:firstLineChars="0"/>
        <w:jc w:val="center"/>
        <w:rPr>
          <w:b/>
          <w:sz w:val="32"/>
          <w:szCs w:val="32"/>
          <w:u w:val="none" w:color="auto"/>
        </w:rPr>
      </w:pPr>
      <w:r>
        <w:rPr>
          <w:b/>
          <w:sz w:val="32"/>
          <w:szCs w:val="32"/>
          <w:u w:val="none" w:color="auto"/>
        </w:rPr>
        <w:t>20</w:t>
      </w:r>
      <w:r>
        <w:rPr>
          <w:rFonts w:hint="eastAsia"/>
          <w:b/>
          <w:sz w:val="32"/>
          <w:szCs w:val="32"/>
          <w:u w:val="none" w:color="auto"/>
          <w:lang w:val="en-US" w:eastAsia="zh-CN"/>
        </w:rPr>
        <w:t>25</w:t>
      </w:r>
      <w:r>
        <w:rPr>
          <w:b/>
          <w:sz w:val="32"/>
          <w:szCs w:val="32"/>
          <w:u w:val="none" w:color="auto"/>
        </w:rPr>
        <w:t>年</w:t>
      </w:r>
      <w:r>
        <w:rPr>
          <w:rFonts w:hint="eastAsia"/>
          <w:b/>
          <w:sz w:val="32"/>
          <w:szCs w:val="32"/>
          <w:u w:val="none" w:color="auto"/>
          <w:lang w:val="en-US" w:eastAsia="zh-CN"/>
        </w:rPr>
        <w:t>5</w:t>
      </w:r>
      <w:r>
        <w:rPr>
          <w:b/>
          <w:sz w:val="32"/>
          <w:szCs w:val="32"/>
          <w:u w:val="none" w:color="auto"/>
        </w:rPr>
        <w:t>月</w:t>
      </w:r>
    </w:p>
    <w:p>
      <w:pPr>
        <w:pStyle w:val="33"/>
        <w:ind w:left="0" w:leftChars="0" w:firstLine="0" w:firstLineChars="0"/>
        <w:rPr>
          <w:u w:val="none" w:color="auto"/>
        </w:rPr>
        <w:sectPr>
          <w:headerReference r:id="rId5" w:type="default"/>
          <w:footerReference r:id="rId6" w:type="default"/>
          <w:pgSz w:w="11905" w:h="16838"/>
          <w:pgMar w:top="1417" w:right="1417" w:bottom="1417" w:left="1417" w:header="851" w:footer="992" w:gutter="0"/>
          <w:pgBorders>
            <w:top w:val="none" w:sz="0" w:space="0"/>
            <w:left w:val="none" w:sz="0" w:space="0"/>
            <w:bottom w:val="none" w:sz="0" w:space="0"/>
            <w:right w:val="none" w:sz="0" w:space="0"/>
          </w:pgBorders>
          <w:pgNumType w:fmt="decimal" w:start="1"/>
          <w:cols w:space="0" w:num="1"/>
          <w:rtlGutter w:val="0"/>
          <w:docGrid w:type="lines" w:linePitch="333" w:charSpace="0"/>
        </w:sectPr>
      </w:pPr>
    </w:p>
    <w:p>
      <w:pPr>
        <w:keepNext w:val="0"/>
        <w:keepLines w:val="0"/>
        <w:pageBreakBefore w:val="0"/>
        <w:widowControl w:val="0"/>
        <w:kinsoku/>
        <w:wordWrap/>
        <w:overflowPunct/>
        <w:topLinePunct w:val="0"/>
        <w:autoSpaceDE/>
        <w:autoSpaceDN/>
        <w:bidi w:val="0"/>
        <w:adjustRightInd/>
        <w:snapToGrid/>
        <w:spacing w:before="120" w:after="120"/>
        <w:ind w:firstLine="0" w:firstLineChars="0"/>
        <w:jc w:val="center"/>
        <w:textAlignment w:val="auto"/>
        <w:outlineLvl w:val="0"/>
        <w:rPr>
          <w:b/>
          <w:bCs/>
          <w:color w:val="000000" w:themeColor="text1"/>
          <w:sz w:val="36"/>
          <w:szCs w:val="36"/>
          <w:u w:val="none" w:color="auto"/>
          <w14:textFill>
            <w14:solidFill>
              <w14:schemeClr w14:val="tx1"/>
            </w14:solidFill>
          </w14:textFill>
        </w:rPr>
      </w:pPr>
      <w:bookmarkStart w:id="225" w:name="_GoBack"/>
      <w:bookmarkEnd w:id="225"/>
      <w:bookmarkStart w:id="7" w:name="_Toc15488"/>
      <w:r>
        <w:rPr>
          <w:b/>
          <w:bCs/>
          <w:color w:val="000000" w:themeColor="text1"/>
          <w:sz w:val="36"/>
          <w:szCs w:val="36"/>
          <w:u w:val="none" w:color="auto"/>
          <w14:textFill>
            <w14:solidFill>
              <w14:schemeClr w14:val="tx1"/>
            </w14:solidFill>
          </w14:textFill>
        </w:rPr>
        <w:t>概 述</w:t>
      </w:r>
      <w:bookmarkEnd w:id="7"/>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b/>
          <w:bCs/>
          <w:color w:val="000000" w:themeColor="text1"/>
          <w:kern w:val="2"/>
          <w:sz w:val="32"/>
          <w:szCs w:val="32"/>
          <w:u w:val="none" w:color="auto"/>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32"/>
          <w:szCs w:val="32"/>
          <w:u w:val="none" w:color="auto"/>
          <w:lang w:val="en-US" w:eastAsia="zh-CN" w:bidi="ar-SA"/>
          <w14:textFill>
            <w14:solidFill>
              <w14:schemeClr w14:val="tx1"/>
            </w14:solidFill>
          </w14:textFill>
        </w:rPr>
        <w:t>◆ 项目</w:t>
      </w:r>
      <w:r>
        <w:rPr>
          <w:rFonts w:hint="eastAsia" w:cs="Times New Roman"/>
          <w:b/>
          <w:bCs/>
          <w:color w:val="000000" w:themeColor="text1"/>
          <w:kern w:val="2"/>
          <w:sz w:val="32"/>
          <w:szCs w:val="32"/>
          <w:u w:val="none" w:color="auto"/>
          <w:lang w:val="en-US" w:eastAsia="zh-CN" w:bidi="ar-SA"/>
          <w14:textFill>
            <w14:solidFill>
              <w14:schemeClr w14:val="tx1"/>
            </w14:solidFill>
          </w14:textFill>
        </w:rPr>
        <w:t>由来及特点</w:t>
      </w:r>
    </w:p>
    <w:p>
      <w:pPr>
        <w:ind w:firstLine="496"/>
        <w:rPr>
          <w:rFonts w:hint="default" w:ascii="Times New Roman" w:hAnsi="Times New Roman" w:eastAsia="宋体" w:cs="Times New Roman"/>
          <w:sz w:val="24"/>
          <w:szCs w:val="24"/>
          <w:highlight w:val="none"/>
          <w:u w:val="none" w:color="auto"/>
          <w:lang w:val="en-US" w:eastAsia="zh-CN"/>
        </w:rPr>
      </w:pPr>
      <w:r>
        <w:rPr>
          <w:rFonts w:hint="eastAsia" w:cs="Times New Roman"/>
          <w:sz w:val="24"/>
          <w:u w:val="none" w:color="auto"/>
          <w:lang w:eastAsia="zh-CN"/>
        </w:rPr>
        <w:t>蓝山</w:t>
      </w:r>
      <w:r>
        <w:rPr>
          <w:rFonts w:hint="eastAsia" w:cs="Times New Roman"/>
          <w:sz w:val="24"/>
          <w:u w:val="none" w:color="auto"/>
          <w:lang w:val="en-US" w:eastAsia="zh-CN"/>
        </w:rPr>
        <w:t>县</w:t>
      </w:r>
      <w:r>
        <w:rPr>
          <w:rFonts w:hint="eastAsia" w:cs="Times New Roman"/>
          <w:sz w:val="24"/>
          <w:u w:val="none" w:color="auto"/>
          <w:lang w:eastAsia="zh-CN"/>
        </w:rPr>
        <w:t>大源</w:t>
      </w:r>
      <w:r>
        <w:rPr>
          <w:rFonts w:hint="default" w:ascii="Times New Roman" w:hAnsi="Times New Roman" w:cs="Times New Roman"/>
          <w:sz w:val="24"/>
          <w:u w:val="none" w:color="auto"/>
        </w:rPr>
        <w:t>风电场</w:t>
      </w:r>
      <w:r>
        <w:rPr>
          <w:rFonts w:hint="eastAsia" w:cs="Times New Roman"/>
          <w:sz w:val="24"/>
          <w:u w:val="none" w:color="auto"/>
          <w:lang w:val="en-US" w:eastAsia="zh-CN"/>
        </w:rPr>
        <w:t>项目</w:t>
      </w:r>
      <w:r>
        <w:rPr>
          <w:rFonts w:hint="eastAsia" w:ascii="Times New Roman" w:hAnsi="Times New Roman" w:cs="Times New Roman"/>
          <w:sz w:val="24"/>
          <w:u w:val="none" w:color="auto"/>
          <w:lang w:eastAsia="zh-CN"/>
        </w:rPr>
        <w:t>位于</w:t>
      </w:r>
      <w:r>
        <w:rPr>
          <w:color w:val="auto"/>
          <w:szCs w:val="21"/>
        </w:rPr>
        <w:t>湖南</w:t>
      </w:r>
      <w:r>
        <w:rPr>
          <w:rFonts w:hint="eastAsia"/>
          <w:color w:val="auto"/>
          <w:szCs w:val="21"/>
        </w:rPr>
        <w:t>省永州市蓝山县汇源瑶族乡</w:t>
      </w:r>
      <w:r>
        <w:rPr>
          <w:rFonts w:hint="eastAsia" w:hAnsi="宋体"/>
          <w:kern w:val="0"/>
          <w:sz w:val="24"/>
          <w:u w:val="none" w:color="auto"/>
          <w:lang w:eastAsia="zh-CN"/>
        </w:rPr>
        <w:t>，</w:t>
      </w:r>
      <w:r>
        <w:rPr>
          <w:rFonts w:hint="eastAsia" w:ascii="Times New Roman" w:hAnsi="Times New Roman" w:cs="Times New Roman"/>
          <w:sz w:val="24"/>
          <w:szCs w:val="24"/>
          <w:u w:val="none" w:color="auto"/>
          <w:lang w:val="en-US" w:eastAsia="zh-CN"/>
        </w:rPr>
        <w:t>20</w:t>
      </w:r>
      <w:r>
        <w:rPr>
          <w:rFonts w:hint="eastAsia" w:cs="Times New Roman"/>
          <w:sz w:val="24"/>
          <w:szCs w:val="24"/>
          <w:u w:val="none" w:color="auto"/>
          <w:lang w:val="en-US" w:eastAsia="zh-CN"/>
        </w:rPr>
        <w:t>22</w:t>
      </w:r>
      <w:r>
        <w:rPr>
          <w:rFonts w:hint="eastAsia" w:ascii="Times New Roman" w:hAnsi="Times New Roman" w:cs="Times New Roman"/>
          <w:sz w:val="24"/>
          <w:szCs w:val="24"/>
          <w:u w:val="none" w:color="auto"/>
          <w:lang w:val="en-US" w:eastAsia="zh-CN"/>
        </w:rPr>
        <w:t>年，建设单位</w:t>
      </w:r>
      <w:r>
        <w:rPr>
          <w:rFonts w:hint="eastAsia"/>
          <w:color w:val="auto"/>
          <w:szCs w:val="21"/>
        </w:rPr>
        <w:t>湖南华电蓝山新能源有限公司</w:t>
      </w:r>
      <w:r>
        <w:rPr>
          <w:rFonts w:hint="eastAsia" w:ascii="Times New Roman" w:hAnsi="Times New Roman" w:cs="Times New Roman"/>
          <w:sz w:val="24"/>
          <w:szCs w:val="24"/>
          <w:u w:val="none" w:color="auto"/>
          <w:lang w:val="en-US" w:eastAsia="zh-CN"/>
        </w:rPr>
        <w:t>委托</w:t>
      </w:r>
      <w:r>
        <w:rPr>
          <w:rFonts w:hint="default" w:ascii="Times New Roman" w:hAnsi="Times New Roman" w:eastAsia="宋体" w:cs="Times New Roman"/>
          <w:sz w:val="24"/>
          <w:szCs w:val="24"/>
          <w:u w:val="none" w:color="auto"/>
        </w:rPr>
        <w:t>湖南天瑶环境</w:t>
      </w:r>
      <w:r>
        <w:rPr>
          <w:rFonts w:hint="default" w:ascii="Times New Roman" w:hAnsi="Times New Roman" w:eastAsia="宋体" w:cs="Times New Roman"/>
          <w:u w:val="none" w:color="auto"/>
        </w:rPr>
        <w:t>技术</w:t>
      </w:r>
      <w:r>
        <w:rPr>
          <w:rFonts w:hint="default" w:ascii="Times New Roman" w:hAnsi="Times New Roman" w:eastAsia="宋体" w:cs="Times New Roman"/>
          <w:sz w:val="24"/>
          <w:szCs w:val="24"/>
          <w:u w:val="none" w:color="auto"/>
        </w:rPr>
        <w:t>有限公司</w:t>
      </w:r>
      <w:r>
        <w:rPr>
          <w:rFonts w:hint="eastAsia" w:ascii="Times New Roman" w:hAnsi="Times New Roman" w:eastAsia="宋体" w:cs="Times New Roman"/>
          <w:sz w:val="24"/>
          <w:szCs w:val="24"/>
          <w:u w:val="none" w:color="auto"/>
          <w:lang w:eastAsia="zh-CN"/>
        </w:rPr>
        <w:t>编制了《</w:t>
      </w:r>
      <w:r>
        <w:rPr>
          <w:rFonts w:hint="eastAsia"/>
          <w:color w:val="auto"/>
          <w:szCs w:val="21"/>
        </w:rPr>
        <w:t>湖南华电永州蓝山大源风电项目</w:t>
      </w:r>
      <w:r>
        <w:rPr>
          <w:rFonts w:hint="default" w:ascii="Times New Roman" w:hAnsi="Times New Roman" w:cs="Times New Roman"/>
          <w:sz w:val="24"/>
          <w:szCs w:val="24"/>
          <w:u w:val="none" w:color="auto"/>
        </w:rPr>
        <w:t>环境影响报告表</w:t>
      </w:r>
      <w:r>
        <w:rPr>
          <w:rFonts w:hint="eastAsia" w:ascii="Times New Roman" w:hAnsi="Times New Roman" w:eastAsia="宋体" w:cs="Times New Roman"/>
          <w:sz w:val="24"/>
          <w:szCs w:val="24"/>
          <w:u w:val="none" w:color="auto"/>
          <w:lang w:eastAsia="zh-CN"/>
        </w:rPr>
        <w:t>》，并获得</w:t>
      </w:r>
      <w:r>
        <w:rPr>
          <w:rFonts w:hint="eastAsia" w:ascii="Times New Roman" w:hAnsi="Times New Roman" w:cs="Times New Roman"/>
          <w:sz w:val="24"/>
          <w:szCs w:val="24"/>
          <w:u w:val="none" w:color="auto"/>
          <w:lang w:eastAsia="zh-CN"/>
        </w:rPr>
        <w:t>永州市生态环境局批复（</w:t>
      </w:r>
      <w:r>
        <w:rPr>
          <w:rFonts w:hint="eastAsia" w:ascii="Times New Roman" w:hAnsi="Times New Roman" w:cs="Times New Roman"/>
          <w:spacing w:val="-4"/>
          <w:szCs w:val="24"/>
          <w:u w:val="none" w:color="auto"/>
          <w:lang w:eastAsia="zh-CN"/>
        </w:rPr>
        <w:t>永</w:t>
      </w:r>
      <w:r>
        <w:rPr>
          <w:rFonts w:hint="default" w:ascii="Times New Roman" w:hAnsi="Times New Roman" w:cs="Times New Roman"/>
          <w:spacing w:val="-4"/>
          <w:szCs w:val="24"/>
          <w:u w:val="none" w:color="auto"/>
        </w:rPr>
        <w:t>环评</w:t>
      </w:r>
      <w:r>
        <w:rPr>
          <w:rFonts w:hint="eastAsia" w:ascii="Times New Roman" w:hAnsi="Times New Roman" w:cs="Times New Roman"/>
          <w:spacing w:val="-4"/>
          <w:szCs w:val="24"/>
          <w:u w:val="none" w:color="auto"/>
          <w:lang w:eastAsia="zh-CN"/>
        </w:rPr>
        <w:t>[20</w:t>
      </w:r>
      <w:r>
        <w:rPr>
          <w:rFonts w:hint="eastAsia" w:ascii="Times New Roman" w:hAnsi="Times New Roman" w:cs="Times New Roman"/>
          <w:spacing w:val="-4"/>
          <w:szCs w:val="24"/>
          <w:u w:val="none" w:color="auto"/>
          <w:lang w:val="en-US" w:eastAsia="zh-CN"/>
        </w:rPr>
        <w:t>2</w:t>
      </w:r>
      <w:r>
        <w:rPr>
          <w:rFonts w:hint="eastAsia" w:cs="Times New Roman"/>
          <w:spacing w:val="-4"/>
          <w:szCs w:val="24"/>
          <w:u w:val="none" w:color="auto"/>
          <w:lang w:val="en-US" w:eastAsia="zh-CN"/>
        </w:rPr>
        <w:t>2</w:t>
      </w:r>
      <w:r>
        <w:rPr>
          <w:rFonts w:hint="eastAsia" w:ascii="Times New Roman" w:hAnsi="Times New Roman" w:cs="Times New Roman"/>
          <w:spacing w:val="-4"/>
          <w:szCs w:val="24"/>
          <w:u w:val="none" w:color="auto"/>
          <w:lang w:eastAsia="zh-CN"/>
        </w:rPr>
        <w:t>]</w:t>
      </w:r>
      <w:r>
        <w:rPr>
          <w:rFonts w:hint="eastAsia" w:cs="Times New Roman"/>
          <w:spacing w:val="-4"/>
          <w:szCs w:val="24"/>
          <w:u w:val="none" w:color="auto"/>
          <w:lang w:val="en-US" w:eastAsia="zh-CN"/>
        </w:rPr>
        <w:t>21</w:t>
      </w:r>
      <w:r>
        <w:rPr>
          <w:rFonts w:hint="eastAsia" w:ascii="Times New Roman" w:hAnsi="Times New Roman" w:cs="Times New Roman"/>
          <w:spacing w:val="-4"/>
          <w:szCs w:val="24"/>
          <w:u w:val="none" w:color="auto"/>
          <w:lang w:eastAsia="zh-CN"/>
        </w:rPr>
        <w:t>号</w:t>
      </w:r>
      <w:r>
        <w:rPr>
          <w:rFonts w:hint="eastAsia" w:ascii="Times New Roman" w:hAnsi="Times New Roman" w:cs="Times New Roman"/>
          <w:sz w:val="24"/>
          <w:szCs w:val="24"/>
          <w:u w:val="none" w:color="auto"/>
          <w:lang w:eastAsia="zh-CN"/>
        </w:rPr>
        <w:t>）</w:t>
      </w:r>
      <w:r>
        <w:rPr>
          <w:rFonts w:hint="eastAsia" w:cs="Times New Roman"/>
          <w:sz w:val="24"/>
          <w:szCs w:val="24"/>
          <w:u w:val="none" w:color="auto"/>
          <w:lang w:eastAsia="zh-CN"/>
        </w:rPr>
        <w:t>，</w:t>
      </w:r>
      <w:r>
        <w:rPr>
          <w:rFonts w:hint="eastAsia" w:cs="Times New Roman"/>
          <w:sz w:val="24"/>
          <w:szCs w:val="24"/>
          <w:u w:val="none" w:color="auto"/>
          <w:lang w:val="en-US" w:eastAsia="zh-CN"/>
        </w:rPr>
        <w:t>批复内容为：项目设计安装15</w:t>
      </w:r>
      <w:r>
        <w:rPr>
          <w:rFonts w:hint="default" w:ascii="Times New Roman" w:hAnsi="Times New Roman" w:cs="Times New Roman"/>
          <w:sz w:val="24"/>
          <w:u w:val="none" w:color="auto"/>
        </w:rPr>
        <w:t>台单机容量为</w:t>
      </w:r>
      <w:r>
        <w:rPr>
          <w:rFonts w:hint="eastAsia" w:cs="Times New Roman"/>
          <w:sz w:val="24"/>
          <w:u w:val="none" w:color="auto"/>
          <w:lang w:val="en-US" w:eastAsia="zh-CN"/>
        </w:rPr>
        <w:t>5.0</w:t>
      </w:r>
      <w:r>
        <w:rPr>
          <w:rFonts w:hint="default" w:ascii="Times New Roman" w:hAnsi="Times New Roman" w:cs="Times New Roman"/>
          <w:sz w:val="24"/>
          <w:u w:val="none" w:color="auto"/>
        </w:rPr>
        <w:t>MW</w:t>
      </w:r>
      <w:r>
        <w:rPr>
          <w:rFonts w:hint="eastAsia" w:ascii="Times New Roman" w:hAnsi="Times New Roman" w:cs="Times New Roman"/>
          <w:sz w:val="24"/>
          <w:u w:val="none" w:color="auto"/>
          <w:lang w:val="en-US" w:eastAsia="zh-CN"/>
        </w:rPr>
        <w:t>的风力发电机组，</w:t>
      </w:r>
      <w:r>
        <w:rPr>
          <w:rFonts w:hint="default" w:ascii="Times New Roman" w:hAnsi="Times New Roman" w:cs="Times New Roman"/>
          <w:sz w:val="24"/>
          <w:u w:val="none" w:color="auto"/>
        </w:rPr>
        <w:t>总装机</w:t>
      </w:r>
      <w:r>
        <w:rPr>
          <w:rFonts w:hint="eastAsia" w:ascii="Times New Roman" w:hAnsi="Times New Roman" w:cs="Times New Roman"/>
          <w:sz w:val="24"/>
          <w:u w:val="none" w:color="auto"/>
          <w:lang w:val="en-US" w:eastAsia="zh-CN"/>
        </w:rPr>
        <w:t>规模</w:t>
      </w:r>
      <w:r>
        <w:rPr>
          <w:rFonts w:hint="default" w:ascii="Times New Roman" w:hAnsi="Times New Roman" w:cs="Times New Roman"/>
          <w:sz w:val="24"/>
          <w:u w:val="none" w:color="auto"/>
        </w:rPr>
        <w:t>为</w:t>
      </w:r>
      <w:r>
        <w:rPr>
          <w:rFonts w:hint="eastAsia" w:cs="Times New Roman"/>
          <w:sz w:val="24"/>
          <w:u w:val="none" w:color="auto"/>
          <w:lang w:val="en-US" w:eastAsia="zh-CN"/>
        </w:rPr>
        <w:t>75</w:t>
      </w:r>
      <w:r>
        <w:rPr>
          <w:rFonts w:hint="default" w:ascii="Times New Roman" w:hAnsi="Times New Roman" w:cs="Times New Roman"/>
          <w:sz w:val="24"/>
          <w:u w:val="none" w:color="auto"/>
        </w:rPr>
        <w:t>MW</w:t>
      </w:r>
      <w:r>
        <w:rPr>
          <w:rFonts w:hint="eastAsia" w:ascii="Times New Roman" w:hAnsi="Times New Roman" w:cs="Times New Roman"/>
          <w:sz w:val="24"/>
          <w:u w:val="none" w:color="auto"/>
          <w:lang w:eastAsia="zh-CN"/>
        </w:rPr>
        <w:t>；</w:t>
      </w:r>
      <w:r>
        <w:rPr>
          <w:rFonts w:hint="eastAsia" w:ascii="Times New Roman" w:hAnsi="Times New Roman" w:cs="Times New Roman"/>
          <w:sz w:val="24"/>
          <w:u w:val="none" w:color="auto"/>
          <w:lang w:val="en-US" w:eastAsia="zh-CN"/>
        </w:rPr>
        <w:t>新建一座220</w:t>
      </w:r>
      <w:r>
        <w:rPr>
          <w:rFonts w:hint="eastAsia" w:cs="Times New Roman"/>
          <w:sz w:val="24"/>
          <w:u w:val="none" w:color="auto"/>
          <w:lang w:val="en-US" w:eastAsia="zh-CN"/>
        </w:rPr>
        <w:t>kV</w:t>
      </w:r>
      <w:r>
        <w:rPr>
          <w:rFonts w:hint="eastAsia" w:ascii="Times New Roman" w:hAnsi="Times New Roman" w:cs="Times New Roman"/>
          <w:sz w:val="24"/>
          <w:u w:val="none" w:color="auto"/>
          <w:lang w:val="en-US" w:eastAsia="zh-CN"/>
        </w:rPr>
        <w:t>汇集站，汇集站近期主变容量为2</w:t>
      </w:r>
      <w:r>
        <w:rPr>
          <w:rFonts w:hint="default" w:ascii="Arial" w:hAnsi="Arial" w:cs="Arial"/>
          <w:sz w:val="24"/>
          <w:u w:val="none" w:color="auto"/>
          <w:lang w:val="en-US" w:eastAsia="zh-CN"/>
        </w:rPr>
        <w:t>×</w:t>
      </w:r>
      <w:r>
        <w:rPr>
          <w:rFonts w:hint="eastAsia" w:ascii="Times New Roman" w:hAnsi="Times New Roman" w:cs="Times New Roman"/>
          <w:sz w:val="24"/>
          <w:u w:val="none" w:color="auto"/>
          <w:lang w:val="en-US" w:eastAsia="zh-CN"/>
        </w:rPr>
        <w:t>240MVA，远期为3</w:t>
      </w:r>
      <w:r>
        <w:rPr>
          <w:rFonts w:hint="default" w:ascii="Arial" w:hAnsi="Arial" w:cs="Arial"/>
          <w:sz w:val="24"/>
          <w:u w:val="none" w:color="auto"/>
          <w:lang w:val="en-US" w:eastAsia="zh-CN"/>
        </w:rPr>
        <w:t>×</w:t>
      </w:r>
      <w:r>
        <w:rPr>
          <w:rFonts w:hint="eastAsia" w:ascii="Times New Roman" w:hAnsi="Times New Roman" w:cs="Times New Roman"/>
          <w:sz w:val="24"/>
          <w:u w:val="none" w:color="auto"/>
          <w:lang w:val="en-US" w:eastAsia="zh-CN"/>
        </w:rPr>
        <w:t>240MVA，工程设4回35</w:t>
      </w:r>
      <w:r>
        <w:rPr>
          <w:rFonts w:hint="eastAsia" w:cs="Times New Roman"/>
          <w:sz w:val="24"/>
          <w:u w:val="none" w:color="auto"/>
          <w:lang w:val="en-US" w:eastAsia="zh-CN"/>
        </w:rPr>
        <w:t>kV</w:t>
      </w:r>
      <w:r>
        <w:rPr>
          <w:rFonts w:hint="eastAsia" w:ascii="Times New Roman" w:hAnsi="Times New Roman" w:cs="Times New Roman"/>
          <w:sz w:val="24"/>
          <w:u w:val="none" w:color="auto"/>
          <w:lang w:val="en-US" w:eastAsia="zh-CN"/>
        </w:rPr>
        <w:t>集电线路，新建电缆线路长度19.3km，全部采用电缆直埋敷设；新建场内道路约21.3km</w:t>
      </w:r>
      <w:r>
        <w:rPr>
          <w:rFonts w:hint="eastAsia" w:ascii="Times New Roman" w:hAnsi="Times New Roman" w:cs="Times New Roman"/>
          <w:sz w:val="24"/>
          <w:szCs w:val="24"/>
          <w:u w:val="none" w:color="auto"/>
          <w:lang w:eastAsia="zh-CN"/>
        </w:rPr>
        <w:t>。</w:t>
      </w:r>
      <w:r>
        <w:rPr>
          <w:rFonts w:hint="eastAsia" w:ascii="Times New Roman" w:hAnsi="Times New Roman" w:cs="Times New Roman"/>
          <w:sz w:val="24"/>
          <w:szCs w:val="24"/>
          <w:u w:val="none" w:color="auto"/>
          <w:lang w:val="en-US" w:eastAsia="zh-CN"/>
        </w:rPr>
        <w:t>202</w:t>
      </w:r>
      <w:r>
        <w:rPr>
          <w:rFonts w:hint="eastAsia" w:cs="Times New Roman"/>
          <w:sz w:val="24"/>
          <w:szCs w:val="24"/>
          <w:u w:val="none" w:color="auto"/>
          <w:lang w:val="en-US" w:eastAsia="zh-CN"/>
        </w:rPr>
        <w:t>3</w:t>
      </w:r>
      <w:r>
        <w:rPr>
          <w:rFonts w:hint="eastAsia" w:ascii="Times New Roman" w:hAnsi="Times New Roman" w:cs="Times New Roman"/>
          <w:sz w:val="24"/>
          <w:szCs w:val="24"/>
          <w:u w:val="none" w:color="auto"/>
          <w:lang w:val="en-US" w:eastAsia="zh-CN"/>
        </w:rPr>
        <w:t>年2月，</w:t>
      </w:r>
      <w:r>
        <w:rPr>
          <w:rFonts w:hint="eastAsia" w:cs="Times New Roman"/>
          <w:sz w:val="24"/>
          <w:u w:val="none" w:color="auto"/>
          <w:lang w:eastAsia="zh-CN"/>
        </w:rPr>
        <w:t>蓝山</w:t>
      </w:r>
      <w:r>
        <w:rPr>
          <w:rFonts w:hint="eastAsia" w:cs="Times New Roman"/>
          <w:sz w:val="24"/>
          <w:u w:val="none" w:color="auto"/>
          <w:lang w:val="en-US" w:eastAsia="zh-CN"/>
        </w:rPr>
        <w:t>县</w:t>
      </w:r>
      <w:r>
        <w:rPr>
          <w:rFonts w:hint="eastAsia" w:cs="Times New Roman"/>
          <w:spacing w:val="-4"/>
          <w:sz w:val="24"/>
          <w:szCs w:val="24"/>
          <w:u w:val="none" w:color="auto"/>
          <w:lang w:eastAsia="zh-CN"/>
        </w:rPr>
        <w:t>大源</w:t>
      </w:r>
      <w:r>
        <w:rPr>
          <w:rFonts w:hint="default" w:ascii="Times New Roman" w:hAnsi="Times New Roman" w:cs="Times New Roman"/>
          <w:spacing w:val="-4"/>
          <w:sz w:val="24"/>
          <w:szCs w:val="24"/>
          <w:u w:val="none" w:color="auto"/>
        </w:rPr>
        <w:t>风电场</w:t>
      </w:r>
      <w:r>
        <w:rPr>
          <w:rFonts w:hint="eastAsia" w:cs="Times New Roman"/>
          <w:spacing w:val="-4"/>
          <w:sz w:val="24"/>
          <w:szCs w:val="24"/>
          <w:u w:val="none" w:color="auto"/>
          <w:lang w:val="en-US" w:eastAsia="zh-CN"/>
        </w:rPr>
        <w:t>项目</w:t>
      </w:r>
      <w:r>
        <w:rPr>
          <w:rFonts w:hint="eastAsia" w:ascii="Times New Roman" w:hAnsi="Times New Roman" w:cs="Times New Roman"/>
          <w:sz w:val="24"/>
          <w:u w:val="none" w:color="auto"/>
          <w:lang w:eastAsia="zh-CN"/>
        </w:rPr>
        <w:t>获得湖南省发改委核准（湘发改能源</w:t>
      </w:r>
      <w:r>
        <w:rPr>
          <w:rFonts w:hint="eastAsia" w:ascii="Times New Roman" w:hAnsi="Times New Roman" w:cs="Times New Roman"/>
          <w:sz w:val="24"/>
          <w:u w:val="none" w:color="auto"/>
          <w:lang w:val="en-US" w:eastAsia="zh-CN"/>
        </w:rPr>
        <w:t>[202</w:t>
      </w:r>
      <w:r>
        <w:rPr>
          <w:rFonts w:hint="eastAsia" w:cs="Times New Roman"/>
          <w:sz w:val="24"/>
          <w:u w:val="none" w:color="auto"/>
          <w:lang w:val="en-US" w:eastAsia="zh-CN"/>
        </w:rPr>
        <w:t>3</w:t>
      </w:r>
      <w:r>
        <w:rPr>
          <w:rFonts w:hint="eastAsia" w:ascii="Times New Roman" w:hAnsi="Times New Roman" w:cs="Times New Roman"/>
          <w:sz w:val="24"/>
          <w:u w:val="none" w:color="auto"/>
          <w:lang w:val="en-US" w:eastAsia="zh-CN"/>
        </w:rPr>
        <w:t>]10</w:t>
      </w:r>
      <w:r>
        <w:rPr>
          <w:rFonts w:hint="eastAsia" w:cs="Times New Roman"/>
          <w:sz w:val="24"/>
          <w:u w:val="none" w:color="auto"/>
          <w:lang w:val="en-US" w:eastAsia="zh-CN"/>
        </w:rPr>
        <w:t>9</w:t>
      </w:r>
      <w:r>
        <w:rPr>
          <w:rFonts w:hint="eastAsia" w:ascii="Times New Roman" w:hAnsi="Times New Roman" w:cs="Times New Roman"/>
          <w:sz w:val="24"/>
          <w:u w:val="none" w:color="auto"/>
          <w:lang w:val="en-US" w:eastAsia="zh-CN"/>
        </w:rPr>
        <w:t>号</w:t>
      </w:r>
      <w:r>
        <w:rPr>
          <w:rFonts w:hint="eastAsia" w:ascii="Times New Roman" w:hAnsi="Times New Roman" w:cs="Times New Roman"/>
          <w:sz w:val="24"/>
          <w:u w:val="none" w:color="auto"/>
          <w:lang w:eastAsia="zh-CN"/>
        </w:rPr>
        <w:t>）。</w:t>
      </w:r>
      <w:r>
        <w:rPr>
          <w:rFonts w:hint="eastAsia" w:ascii="Times New Roman" w:hAnsi="Times New Roman" w:cs="Times New Roman"/>
          <w:sz w:val="24"/>
          <w:highlight w:val="none"/>
          <w:u w:val="none" w:color="auto"/>
          <w:lang w:eastAsia="zh-CN"/>
        </w:rPr>
        <w:t>本项目已于</w:t>
      </w:r>
      <w:r>
        <w:rPr>
          <w:rFonts w:hint="eastAsia" w:ascii="Times New Roman" w:hAnsi="Times New Roman" w:cs="Times New Roman"/>
          <w:sz w:val="24"/>
          <w:highlight w:val="none"/>
          <w:u w:val="none" w:color="auto"/>
          <w:lang w:val="en-US" w:eastAsia="zh-CN"/>
        </w:rPr>
        <w:t>202</w:t>
      </w:r>
      <w:r>
        <w:rPr>
          <w:rFonts w:hint="eastAsia" w:cs="Times New Roman"/>
          <w:sz w:val="24"/>
          <w:highlight w:val="none"/>
          <w:u w:val="none" w:color="auto"/>
          <w:lang w:val="en-US" w:eastAsia="zh-CN"/>
        </w:rPr>
        <w:t>3</w:t>
      </w:r>
      <w:r>
        <w:rPr>
          <w:rFonts w:hint="eastAsia" w:ascii="Times New Roman" w:hAnsi="Times New Roman" w:cs="Times New Roman"/>
          <w:sz w:val="24"/>
          <w:highlight w:val="none"/>
          <w:u w:val="none" w:color="auto"/>
          <w:lang w:val="en-US" w:eastAsia="zh-CN"/>
        </w:rPr>
        <w:t>年</w:t>
      </w:r>
      <w:r>
        <w:rPr>
          <w:rFonts w:hint="eastAsia" w:cs="Times New Roman"/>
          <w:sz w:val="24"/>
          <w:highlight w:val="none"/>
          <w:u w:val="none" w:color="auto"/>
          <w:lang w:val="en-US" w:eastAsia="zh-CN"/>
        </w:rPr>
        <w:t>1</w:t>
      </w:r>
      <w:r>
        <w:rPr>
          <w:rFonts w:hint="eastAsia" w:ascii="Times New Roman" w:hAnsi="Times New Roman" w:cs="Times New Roman"/>
          <w:sz w:val="24"/>
          <w:highlight w:val="none"/>
          <w:u w:val="none" w:color="auto"/>
          <w:lang w:val="en-US" w:eastAsia="zh-CN"/>
        </w:rPr>
        <w:t>2月开工建设，目前</w:t>
      </w:r>
      <w:r>
        <w:rPr>
          <w:rFonts w:hint="eastAsia" w:cs="Times New Roman"/>
          <w:sz w:val="24"/>
          <w:highlight w:val="none"/>
          <w:u w:val="none" w:color="auto"/>
          <w:lang w:val="en-US" w:eastAsia="zh-CN"/>
        </w:rPr>
        <w:t>主体工程已基本建设完成，正在进行后期的生态恢复工作</w:t>
      </w:r>
      <w:r>
        <w:rPr>
          <w:rFonts w:hint="eastAsia" w:ascii="Times New Roman" w:hAnsi="Times New Roman" w:cs="Times New Roman"/>
          <w:sz w:val="24"/>
          <w:highlight w:val="none"/>
          <w:u w:val="none" w:color="auto"/>
          <w:lang w:val="en-US" w:eastAsia="zh-CN"/>
        </w:rPr>
        <w:t>。</w:t>
      </w:r>
    </w:p>
    <w:p>
      <w:pPr>
        <w:spacing w:line="360" w:lineRule="auto"/>
        <w:ind w:firstLine="480" w:firstLineChars="200"/>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pPr>
      <w:r>
        <w:rPr>
          <w:rFonts w:hint="default" w:ascii="Times New Roman" w:hAnsi="Times New Roman" w:cs="Times New Roman"/>
          <w:sz w:val="24"/>
          <w:szCs w:val="24"/>
          <w:u w:val="none" w:color="auto"/>
        </w:rPr>
        <w:t>根据项目自查，项目实际建设过程中，</w:t>
      </w:r>
      <w:r>
        <w:rPr>
          <w:rFonts w:hint="eastAsia" w:cs="Times New Roman"/>
          <w:sz w:val="24"/>
          <w:szCs w:val="24"/>
          <w:u w:val="none" w:color="auto"/>
          <w:lang w:val="en-US" w:eastAsia="zh-CN"/>
        </w:rPr>
        <w:t>部分风机位有所偏移、场内道</w:t>
      </w:r>
      <w:r>
        <w:rPr>
          <w:rFonts w:hint="eastAsia" w:cs="Times New Roman"/>
          <w:sz w:val="24"/>
          <w:szCs w:val="24"/>
          <w:highlight w:val="none"/>
          <w:u w:val="none" w:color="auto"/>
          <w:lang w:val="en-US" w:eastAsia="zh-CN"/>
        </w:rPr>
        <w:t>路部分路段紧邻</w:t>
      </w:r>
      <w:r>
        <w:rPr>
          <w:rFonts w:hint="eastAsia" w:ascii="Times New Roman" w:hAnsi="Times New Roman" w:eastAsia="宋体" w:cs="Times New Roman"/>
          <w:u w:val="none" w:color="auto"/>
          <w:lang w:val="en-US" w:eastAsia="zh-CN" w:bidi="ar"/>
        </w:rPr>
        <w:t>蓝山县</w:t>
      </w:r>
      <w:r>
        <w:rPr>
          <w:rFonts w:hint="default" w:ascii="Times New Roman" w:hAnsi="Times New Roman" w:eastAsia="宋体" w:cs="Times New Roman"/>
          <w:u w:val="none" w:color="auto"/>
          <w:lang w:bidi="ar"/>
        </w:rPr>
        <w:t>塔峰镇岭脚村山溪水饮用水水源保护区</w:t>
      </w:r>
      <w:r>
        <w:rPr>
          <w:rFonts w:hint="default" w:ascii="Times New Roman" w:hAnsi="Times New Roman" w:cs="Times New Roman"/>
          <w:sz w:val="24"/>
          <w:szCs w:val="24"/>
          <w:u w:val="none" w:color="auto"/>
        </w:rPr>
        <w:t>二级陆域保护区。</w:t>
      </w:r>
      <w:r>
        <w:rPr>
          <w:rFonts w:hint="eastAsia" w:cs="Times New Roman"/>
          <w:sz w:val="24"/>
          <w:szCs w:val="24"/>
          <w:u w:val="none" w:color="auto"/>
          <w:lang w:val="en-US" w:eastAsia="zh-CN"/>
        </w:rPr>
        <w:t>根据</w:t>
      </w:r>
      <w:r>
        <w:rPr>
          <w:rFonts w:hint="eastAsia"/>
          <w:lang w:bidi="ar"/>
        </w:rPr>
        <w:t>《污染影响类建设项目重大变动清单（试行）》：在原厂址附近调整（包括总平面布置变化）导致环境防护距离范围变化且新增敏感点的为重大变动。</w:t>
      </w:r>
      <w:r>
        <w:rPr>
          <w:rFonts w:hint="eastAsia"/>
          <w:u w:val="none" w:color="auto"/>
          <w:lang w:val="en-US" w:eastAsia="zh-CN"/>
        </w:rPr>
        <w:t>根据《建设项目环境保护管理条例》要求，建设项目环境影响报告书、环境影响报告表经批准后，建设项目的性质、规模、地点、采用的生产工艺或者防治污染、防止生态破坏的措施发生重大变动的，建设单位应当重新报批建设项目环境影响报告书、环境影响报告表</w:t>
      </w:r>
      <w:r>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t>。</w:t>
      </w:r>
    </w:p>
    <w:p>
      <w:pPr>
        <w:ind w:firstLine="496"/>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pPr>
      <w:r>
        <w:rPr>
          <w:rFonts w:hint="eastAsia" w:cs="Times New Roman"/>
          <w:color w:val="000000" w:themeColor="text1"/>
          <w:kern w:val="2"/>
          <w:sz w:val="24"/>
          <w:szCs w:val="20"/>
          <w:u w:val="none" w:color="auto"/>
          <w:lang w:val="en-US" w:eastAsia="zh-CN" w:bidi="ar-SA"/>
          <w14:textFill>
            <w14:solidFill>
              <w14:schemeClr w14:val="tx1"/>
            </w14:solidFill>
          </w14:textFill>
        </w:rPr>
        <w:t>本项目变更后，</w:t>
      </w:r>
      <w:r>
        <w:rPr>
          <w:rFonts w:hint="eastAsia" w:cs="Times New Roman"/>
          <w:sz w:val="24"/>
          <w:szCs w:val="24"/>
          <w:u w:val="none" w:color="auto"/>
          <w:lang w:val="en-US" w:eastAsia="zh-CN"/>
        </w:rPr>
        <w:t>设计安装15</w:t>
      </w:r>
      <w:r>
        <w:rPr>
          <w:rFonts w:hint="default" w:ascii="Times New Roman" w:hAnsi="Times New Roman" w:cs="Times New Roman"/>
          <w:sz w:val="24"/>
          <w:u w:val="none" w:color="auto"/>
        </w:rPr>
        <w:t>台单机容量为</w:t>
      </w:r>
      <w:r>
        <w:rPr>
          <w:rFonts w:hint="eastAsia" w:cs="Times New Roman"/>
          <w:sz w:val="24"/>
          <w:u w:val="none" w:color="auto"/>
          <w:lang w:val="en-US" w:eastAsia="zh-CN"/>
        </w:rPr>
        <w:t>5.0</w:t>
      </w:r>
      <w:r>
        <w:rPr>
          <w:rFonts w:hint="default" w:ascii="Times New Roman" w:hAnsi="Times New Roman" w:cs="Times New Roman"/>
          <w:sz w:val="24"/>
          <w:u w:val="none" w:color="auto"/>
        </w:rPr>
        <w:t>MW</w:t>
      </w:r>
      <w:r>
        <w:rPr>
          <w:rFonts w:hint="eastAsia" w:ascii="Times New Roman" w:hAnsi="Times New Roman" w:cs="Times New Roman"/>
          <w:sz w:val="24"/>
          <w:u w:val="none" w:color="auto"/>
          <w:lang w:val="en-US" w:eastAsia="zh-CN"/>
        </w:rPr>
        <w:t>的风力发电机组，</w:t>
      </w:r>
      <w:r>
        <w:rPr>
          <w:rFonts w:hint="default" w:ascii="Times New Roman" w:hAnsi="Times New Roman" w:cs="Times New Roman"/>
          <w:sz w:val="24"/>
          <w:u w:val="none" w:color="auto"/>
        </w:rPr>
        <w:t>总装机</w:t>
      </w:r>
      <w:r>
        <w:rPr>
          <w:rFonts w:hint="eastAsia" w:ascii="Times New Roman" w:hAnsi="Times New Roman" w:cs="Times New Roman"/>
          <w:sz w:val="24"/>
          <w:u w:val="none" w:color="auto"/>
          <w:lang w:val="en-US" w:eastAsia="zh-CN"/>
        </w:rPr>
        <w:t>规模</w:t>
      </w:r>
      <w:r>
        <w:rPr>
          <w:rFonts w:hint="default" w:ascii="Times New Roman" w:hAnsi="Times New Roman" w:cs="Times New Roman"/>
          <w:sz w:val="24"/>
          <w:u w:val="none" w:color="auto"/>
        </w:rPr>
        <w:t>为</w:t>
      </w:r>
      <w:r>
        <w:rPr>
          <w:rFonts w:hint="eastAsia" w:cs="Times New Roman"/>
          <w:sz w:val="24"/>
          <w:u w:val="none" w:color="auto"/>
          <w:lang w:val="en-US" w:eastAsia="zh-CN"/>
        </w:rPr>
        <w:t>75</w:t>
      </w:r>
      <w:r>
        <w:rPr>
          <w:rFonts w:hint="default" w:ascii="Times New Roman" w:hAnsi="Times New Roman" w:cs="Times New Roman"/>
          <w:sz w:val="24"/>
          <w:u w:val="none" w:color="auto"/>
        </w:rPr>
        <w:t>MW</w:t>
      </w:r>
      <w:r>
        <w:rPr>
          <w:rFonts w:hint="eastAsia" w:ascii="Times New Roman" w:hAnsi="Times New Roman" w:cs="Times New Roman"/>
          <w:sz w:val="24"/>
          <w:u w:val="none" w:color="auto"/>
          <w:lang w:eastAsia="zh-CN"/>
        </w:rPr>
        <w:t>；</w:t>
      </w:r>
      <w:r>
        <w:rPr>
          <w:rFonts w:hint="eastAsia" w:ascii="Times New Roman" w:hAnsi="Times New Roman" w:cs="Times New Roman"/>
          <w:sz w:val="24"/>
          <w:highlight w:val="none"/>
          <w:u w:val="none" w:color="auto"/>
          <w:lang w:val="en-US" w:eastAsia="zh-CN"/>
        </w:rPr>
        <w:t>新建一座220</w:t>
      </w:r>
      <w:r>
        <w:rPr>
          <w:rFonts w:hint="eastAsia" w:cs="Times New Roman"/>
          <w:sz w:val="24"/>
          <w:highlight w:val="none"/>
          <w:u w:val="none" w:color="auto"/>
          <w:lang w:val="en-US" w:eastAsia="zh-CN"/>
        </w:rPr>
        <w:t>kV</w:t>
      </w:r>
      <w:r>
        <w:rPr>
          <w:rFonts w:hint="eastAsia" w:ascii="Times New Roman" w:hAnsi="Times New Roman" w:cs="Times New Roman"/>
          <w:sz w:val="24"/>
          <w:highlight w:val="none"/>
          <w:u w:val="none" w:color="auto"/>
          <w:lang w:val="en-US" w:eastAsia="zh-CN"/>
        </w:rPr>
        <w:t>汇集站</w:t>
      </w:r>
      <w:r>
        <w:rPr>
          <w:rFonts w:hint="eastAsia" w:ascii="Times New Roman" w:hAnsi="Times New Roman" w:cs="Times New Roman"/>
          <w:sz w:val="24"/>
          <w:szCs w:val="24"/>
          <w:u w:val="none" w:color="auto"/>
          <w:lang w:val="en-US" w:eastAsia="zh-CN"/>
        </w:rPr>
        <w:t>；</w:t>
      </w:r>
      <w:r>
        <w:rPr>
          <w:rFonts w:hint="eastAsia" w:cs="Times New Roman"/>
          <w:spacing w:val="6"/>
          <w:sz w:val="24"/>
          <w:szCs w:val="24"/>
          <w:u w:val="none" w:color="auto"/>
          <w:lang w:val="en-US" w:eastAsia="zh-CN"/>
        </w:rPr>
        <w:t>进场道依托现有道路（</w:t>
      </w:r>
      <w:r>
        <w:rPr>
          <w:rFonts w:hint="eastAsia"/>
          <w:color w:val="auto"/>
          <w:sz w:val="24"/>
          <w:szCs w:val="24"/>
        </w:rPr>
        <w:t>防火巡护道路</w:t>
      </w:r>
      <w:r>
        <w:rPr>
          <w:rFonts w:hint="eastAsia" w:cs="Times New Roman"/>
          <w:spacing w:val="6"/>
          <w:sz w:val="24"/>
          <w:szCs w:val="24"/>
          <w:u w:val="none" w:color="auto"/>
          <w:lang w:val="en-US" w:eastAsia="zh-CN"/>
        </w:rPr>
        <w:t>），</w:t>
      </w:r>
      <w:r>
        <w:rPr>
          <w:rFonts w:hint="eastAsia" w:ascii="Times New Roman" w:hAnsi="Times New Roman" w:cs="Times New Roman"/>
          <w:sz w:val="24"/>
          <w:szCs w:val="24"/>
          <w:u w:val="none" w:color="auto"/>
          <w:lang w:val="en-US" w:eastAsia="zh-CN"/>
        </w:rPr>
        <w:t>新建</w:t>
      </w:r>
      <w:r>
        <w:rPr>
          <w:rFonts w:hint="eastAsia" w:ascii="Times New Roman" w:hAnsi="Times New Roman" w:cs="Times New Roman"/>
          <w:sz w:val="24"/>
          <w:u w:val="none" w:color="auto"/>
          <w:lang w:val="en-US" w:eastAsia="zh-CN"/>
        </w:rPr>
        <w:t>场内道路约22.5km</w:t>
      </w:r>
      <w:r>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t>。</w:t>
      </w:r>
      <w:r>
        <w:rPr>
          <w:rFonts w:hint="eastAsia" w:cs="Times New Roman"/>
          <w:color w:val="000000" w:themeColor="text1"/>
          <w:kern w:val="2"/>
          <w:sz w:val="24"/>
          <w:szCs w:val="20"/>
          <w:u w:val="none" w:color="auto"/>
          <w:lang w:val="en-US" w:eastAsia="zh-CN" w:bidi="ar-SA"/>
          <w14:textFill>
            <w14:solidFill>
              <w14:schemeClr w14:val="tx1"/>
            </w14:solidFill>
          </w14:textFill>
        </w:rPr>
        <w:t>变更后风机数量和总装机规模不变，</w:t>
      </w:r>
      <w:r>
        <w:rPr>
          <w:rFonts w:hint="eastAsia"/>
          <w:u w:val="none" w:color="auto"/>
          <w:lang w:val="en-US" w:eastAsia="zh-CN" w:bidi="ar"/>
        </w:rPr>
        <w:t>15号风机距蓝山县新田湾河饮用水水源保护区最近距离由679m变为10m，距离变小；</w:t>
      </w:r>
      <w:r>
        <w:rPr>
          <w:rFonts w:hint="eastAsia" w:ascii="Times New Roman" w:hAnsi="Times New Roman" w:cs="Times New Roman"/>
          <w:sz w:val="24"/>
          <w:highlight w:val="none"/>
          <w:u w:val="none" w:color="auto"/>
          <w:lang w:val="en-US" w:eastAsia="zh-CN"/>
        </w:rPr>
        <w:t>220</w:t>
      </w:r>
      <w:r>
        <w:rPr>
          <w:rFonts w:hint="eastAsia" w:cs="Times New Roman"/>
          <w:sz w:val="24"/>
          <w:highlight w:val="none"/>
          <w:u w:val="none" w:color="auto"/>
          <w:lang w:val="en-US" w:eastAsia="zh-CN"/>
        </w:rPr>
        <w:t>kV</w:t>
      </w:r>
      <w:r>
        <w:rPr>
          <w:rFonts w:hint="eastAsia" w:cs="Times New Roman"/>
          <w:color w:val="000000" w:themeColor="text1"/>
          <w:kern w:val="2"/>
          <w:sz w:val="24"/>
          <w:szCs w:val="20"/>
          <w:u w:val="none" w:color="auto"/>
          <w:lang w:val="en-US" w:eastAsia="zh-CN" w:bidi="ar-SA"/>
          <w14:textFill>
            <w14:solidFill>
              <w14:schemeClr w14:val="tx1"/>
            </w14:solidFill>
          </w14:textFill>
        </w:rPr>
        <w:t>汇集站选址和规模不变，</w:t>
      </w:r>
      <w:r>
        <w:rPr>
          <w:rFonts w:hint="eastAsia" w:ascii="Times New Roman" w:hAnsi="Times New Roman" w:cs="Times New Roman"/>
          <w:sz w:val="24"/>
          <w:highlight w:val="none"/>
          <w:u w:val="none" w:color="auto"/>
          <w:lang w:val="en-US" w:eastAsia="zh-CN"/>
        </w:rPr>
        <w:t>新建</w:t>
      </w:r>
      <w:r>
        <w:rPr>
          <w:rFonts w:hint="eastAsia" w:cs="Times New Roman"/>
          <w:color w:val="000000" w:themeColor="text1"/>
          <w:kern w:val="2"/>
          <w:sz w:val="24"/>
          <w:szCs w:val="20"/>
          <w:u w:val="none" w:color="auto"/>
          <w:lang w:val="en-US" w:eastAsia="zh-CN" w:bidi="ar-SA"/>
          <w14:textFill>
            <w14:solidFill>
              <w14:schemeClr w14:val="tx1"/>
            </w14:solidFill>
          </w14:textFill>
        </w:rPr>
        <w:t>集</w:t>
      </w:r>
      <w:r>
        <w:rPr>
          <w:rFonts w:hint="eastAsia" w:ascii="Times New Roman" w:hAnsi="Times New Roman" w:cs="Times New Roman"/>
          <w:sz w:val="24"/>
          <w:highlight w:val="none"/>
          <w:u w:val="none" w:color="auto"/>
          <w:lang w:val="en-US" w:eastAsia="zh-CN"/>
        </w:rPr>
        <w:t>电线路长度和场内道路长度有所变化</w:t>
      </w:r>
      <w:r>
        <w:rPr>
          <w:rFonts w:hint="eastAsia" w:cs="Times New Roman"/>
          <w:sz w:val="24"/>
          <w:highlight w:val="none"/>
          <w:u w:val="none" w:color="auto"/>
          <w:lang w:val="en-US" w:eastAsia="zh-CN"/>
        </w:rPr>
        <w:t>，场内道路</w:t>
      </w:r>
      <w:r>
        <w:rPr>
          <w:rFonts w:hint="eastAsia" w:ascii="Times New Roman" w:hAnsi="Times New Roman" w:eastAsia="宋体" w:cs="Times New Roman"/>
          <w:u w:val="none" w:color="auto"/>
          <w:lang w:val="en-US" w:eastAsia="zh-CN" w:bidi="ar"/>
        </w:rPr>
        <w:t>新增一处敏感目标：蓝山县</w:t>
      </w:r>
      <w:r>
        <w:rPr>
          <w:rFonts w:hint="default" w:ascii="Times New Roman" w:hAnsi="Times New Roman" w:eastAsia="宋体" w:cs="Times New Roman"/>
          <w:u w:val="none" w:color="auto"/>
          <w:lang w:bidi="ar"/>
        </w:rPr>
        <w:t>塔峰镇岭脚村山溪水饮用水水源保护区</w:t>
      </w:r>
      <w:r>
        <w:rPr>
          <w:rFonts w:hint="eastAsia" w:ascii="Times New Roman" w:hAnsi="Times New Roman" w:cs="Times New Roman"/>
          <w:sz w:val="24"/>
          <w:u w:val="none" w:color="auto"/>
          <w:lang w:val="en-US" w:eastAsia="zh-CN"/>
        </w:rPr>
        <w:t>。</w:t>
      </w:r>
      <w:r>
        <w:rPr>
          <w:rFonts w:hint="eastAsia" w:cs="Times New Roman"/>
          <w:color w:val="000000" w:themeColor="text1"/>
          <w:kern w:val="2"/>
          <w:sz w:val="24"/>
          <w:szCs w:val="20"/>
          <w:u w:val="none" w:color="auto"/>
          <w:lang w:val="en-US" w:eastAsia="zh-CN" w:bidi="ar-SA"/>
          <w14:textFill>
            <w14:solidFill>
              <w14:schemeClr w14:val="tx1"/>
            </w14:solidFill>
          </w14:textFill>
        </w:rPr>
        <w:t>本项目</w:t>
      </w:r>
      <w:r>
        <w:rPr>
          <w:rFonts w:hint="eastAsia" w:cs="Times New Roman"/>
          <w:sz w:val="24"/>
          <w:u w:val="none" w:color="auto"/>
          <w:lang w:val="en-US" w:eastAsia="zh-CN"/>
        </w:rPr>
        <w:t>场内</w:t>
      </w:r>
      <w:r>
        <w:rPr>
          <w:rFonts w:hint="eastAsia" w:cs="Times New Roman"/>
          <w:sz w:val="24"/>
          <w:szCs w:val="24"/>
          <w:u w:val="none" w:color="auto"/>
          <w:lang w:val="en-US" w:eastAsia="zh-CN"/>
        </w:rPr>
        <w:t>道路紧邻</w:t>
      </w:r>
      <w:r>
        <w:rPr>
          <w:rFonts w:hint="eastAsia" w:ascii="Times New Roman" w:hAnsi="Times New Roman" w:eastAsia="宋体" w:cs="Times New Roman"/>
          <w:u w:val="none" w:color="auto"/>
          <w:lang w:val="en-US" w:eastAsia="zh-CN" w:bidi="ar"/>
        </w:rPr>
        <w:t>蓝山县</w:t>
      </w:r>
      <w:r>
        <w:rPr>
          <w:rFonts w:hint="default" w:ascii="Times New Roman" w:hAnsi="Times New Roman" w:eastAsia="宋体" w:cs="Times New Roman"/>
          <w:u w:val="none" w:color="auto"/>
          <w:lang w:bidi="ar"/>
        </w:rPr>
        <w:t>塔峰镇岭脚村山溪水饮用水水源保护区</w:t>
      </w:r>
      <w:r>
        <w:rPr>
          <w:rFonts w:hint="default" w:ascii="Times New Roman" w:hAnsi="Times New Roman" w:cs="Times New Roman"/>
          <w:sz w:val="24"/>
          <w:szCs w:val="24"/>
          <w:u w:val="none" w:color="auto"/>
        </w:rPr>
        <w:t>二级陆域保护区</w:t>
      </w:r>
      <w:r>
        <w:rPr>
          <w:rFonts w:hint="eastAsia" w:cs="Times New Roman"/>
          <w:color w:val="000000" w:themeColor="text1"/>
          <w:kern w:val="2"/>
          <w:sz w:val="24"/>
          <w:szCs w:val="20"/>
          <w:u w:val="none" w:color="auto"/>
          <w:lang w:val="en-US" w:eastAsia="zh-CN" w:bidi="ar-SA"/>
          <w14:textFill>
            <w14:solidFill>
              <w14:schemeClr w14:val="tx1"/>
            </w14:solidFill>
          </w14:textFill>
        </w:rPr>
        <w:t>，根据</w:t>
      </w:r>
      <w:r>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t>《建设项目环境影响评价分类管理名录》（2021年版）</w:t>
      </w:r>
      <w:r>
        <w:rPr>
          <w:rFonts w:hint="eastAsia" w:cs="Times New Roman"/>
          <w:color w:val="000000" w:themeColor="text1"/>
          <w:kern w:val="2"/>
          <w:sz w:val="24"/>
          <w:szCs w:val="20"/>
          <w:u w:val="none" w:color="auto"/>
          <w:lang w:val="en-US" w:eastAsia="zh-CN" w:bidi="ar-SA"/>
          <w14:textFill>
            <w14:solidFill>
              <w14:schemeClr w14:val="tx1"/>
            </w14:solidFill>
          </w14:textFill>
        </w:rPr>
        <w:t>，饮用水源保护区属于环境敏感区（第三条（一）），本项目属于</w:t>
      </w:r>
      <w:r>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t>第</w:t>
      </w:r>
      <w:r>
        <w:rPr>
          <w:rFonts w:hint="eastAsia" w:cs="Times New Roman"/>
          <w:color w:val="000000" w:themeColor="text1"/>
          <w:kern w:val="2"/>
          <w:sz w:val="24"/>
          <w:szCs w:val="20"/>
          <w:u w:val="none" w:color="auto"/>
          <w:lang w:val="en-US" w:eastAsia="zh-CN" w:bidi="ar-SA"/>
          <w14:textFill>
            <w14:solidFill>
              <w14:schemeClr w14:val="tx1"/>
            </w14:solidFill>
          </w14:textFill>
        </w:rPr>
        <w:t>四十一</w:t>
      </w:r>
      <w:r>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t>大类</w:t>
      </w:r>
      <w:r>
        <w:rPr>
          <w:rFonts w:hint="eastAsia" w:cs="Times New Roman"/>
          <w:color w:val="000000" w:themeColor="text1"/>
          <w:kern w:val="2"/>
          <w:sz w:val="24"/>
          <w:szCs w:val="20"/>
          <w:u w:val="none" w:color="auto"/>
          <w:lang w:val="en-US" w:eastAsia="zh-CN" w:bidi="ar-SA"/>
          <w14:textFill>
            <w14:solidFill>
              <w14:schemeClr w14:val="tx1"/>
            </w14:solidFill>
          </w14:textFill>
        </w:rPr>
        <w:t>电力、热力生产和供应业</w:t>
      </w:r>
      <w:r>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t>中的第</w:t>
      </w:r>
      <w:r>
        <w:rPr>
          <w:rFonts w:hint="eastAsia" w:cs="Times New Roman"/>
          <w:color w:val="000000" w:themeColor="text1"/>
          <w:kern w:val="2"/>
          <w:sz w:val="24"/>
          <w:szCs w:val="20"/>
          <w:u w:val="none" w:color="auto"/>
          <w:lang w:val="en-US" w:eastAsia="zh-CN" w:bidi="ar-SA"/>
          <w14:textFill>
            <w14:solidFill>
              <w14:schemeClr w14:val="tx1"/>
            </w14:solidFill>
          </w14:textFill>
        </w:rPr>
        <w:t>90</w:t>
      </w:r>
      <w:r>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t>小类（</w:t>
      </w:r>
      <w:r>
        <w:rPr>
          <w:rFonts w:hint="eastAsia" w:cs="Times New Roman"/>
          <w:color w:val="000000" w:themeColor="text1"/>
          <w:kern w:val="2"/>
          <w:sz w:val="24"/>
          <w:szCs w:val="20"/>
          <w:u w:val="none" w:color="auto"/>
          <w:lang w:val="en-US" w:eastAsia="zh-CN" w:bidi="ar-SA"/>
          <w14:textFill>
            <w14:solidFill>
              <w14:schemeClr w14:val="tx1"/>
            </w14:solidFill>
          </w14:textFill>
        </w:rPr>
        <w:t>陆上风力发电4415</w:t>
      </w:r>
      <w:r>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t>）中</w:t>
      </w:r>
      <w:r>
        <w:rPr>
          <w:rFonts w:hint="eastAsia" w:cs="Times New Roman"/>
          <w:color w:val="000000" w:themeColor="text1"/>
          <w:kern w:val="2"/>
          <w:sz w:val="24"/>
          <w:szCs w:val="20"/>
          <w:u w:val="none" w:color="auto"/>
          <w:lang w:val="en-US" w:eastAsia="zh-CN" w:bidi="ar-SA"/>
          <w14:textFill>
            <w14:solidFill>
              <w14:schemeClr w14:val="tx1"/>
            </w14:solidFill>
          </w14:textFill>
        </w:rPr>
        <w:t>涉及环境敏感区的总装机容量5万千瓦及以上的陆上风力发电项目，需</w:t>
      </w:r>
      <w:r>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t>编制环境影响报告书。</w:t>
      </w:r>
    </w:p>
    <w:p>
      <w:pPr>
        <w:ind w:firstLine="496"/>
        <w:rPr>
          <w:rFonts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pPr>
      <w:r>
        <w:rPr>
          <w:rFonts w:hint="eastAsia" w:cs="Times New Roman"/>
          <w:sz w:val="24"/>
          <w:szCs w:val="24"/>
          <w:u w:val="none" w:color="auto"/>
          <w:lang w:val="en-US" w:eastAsia="zh-CN"/>
        </w:rPr>
        <w:t>2023年</w:t>
      </w:r>
      <w:r>
        <w:rPr>
          <w:rFonts w:hint="eastAsia"/>
          <w:color w:val="auto"/>
          <w:szCs w:val="21"/>
        </w:rPr>
        <w:t>湖南华电蓝山新能源有限公司</w:t>
      </w:r>
      <w:r>
        <w:rPr>
          <w:rFonts w:hint="eastAsia"/>
          <w:color w:val="auto"/>
          <w:szCs w:val="21"/>
          <w:lang w:val="en-US" w:eastAsia="zh-CN"/>
        </w:rPr>
        <w:t>名称变更为</w:t>
      </w:r>
      <w:r>
        <w:rPr>
          <w:rFonts w:hint="eastAsia"/>
          <w:color w:val="auto"/>
          <w:szCs w:val="21"/>
        </w:rPr>
        <w:t>湖南华电</w:t>
      </w:r>
      <w:r>
        <w:rPr>
          <w:rFonts w:hint="eastAsia"/>
          <w:color w:val="auto"/>
          <w:szCs w:val="21"/>
          <w:lang w:val="en-US" w:eastAsia="zh-CN"/>
        </w:rPr>
        <w:t>永蓝</w:t>
      </w:r>
      <w:r>
        <w:rPr>
          <w:rFonts w:hint="eastAsia"/>
          <w:color w:val="auto"/>
          <w:szCs w:val="21"/>
        </w:rPr>
        <w:t>新能源有限公司</w:t>
      </w:r>
      <w:r>
        <w:rPr>
          <w:rFonts w:hint="eastAsia" w:cs="Times New Roman"/>
          <w:sz w:val="24"/>
          <w:szCs w:val="24"/>
          <w:u w:val="none" w:color="auto"/>
          <w:lang w:val="en-US" w:eastAsia="zh-CN"/>
        </w:rPr>
        <w:t>，</w:t>
      </w:r>
      <w:r>
        <w:rPr>
          <w:rFonts w:hint="default" w:ascii="Times New Roman" w:hAnsi="Times New Roman" w:cs="Times New Roman"/>
          <w:sz w:val="24"/>
          <w:szCs w:val="24"/>
          <w:u w:val="none" w:color="auto"/>
        </w:rPr>
        <w:t>为了便于</w:t>
      </w:r>
      <w:r>
        <w:rPr>
          <w:rFonts w:hint="default" w:ascii="Times New Roman" w:hAnsi="Times New Roman" w:cs="Times New Roman"/>
          <w:sz w:val="24"/>
          <w:szCs w:val="24"/>
          <w:u w:val="none" w:color="auto"/>
          <w:lang w:eastAsia="zh-CN"/>
        </w:rPr>
        <w:t>项目</w:t>
      </w:r>
      <w:r>
        <w:rPr>
          <w:rFonts w:hint="eastAsia" w:cs="Times New Roman"/>
          <w:sz w:val="24"/>
          <w:szCs w:val="24"/>
          <w:u w:val="none" w:color="auto"/>
          <w:lang w:val="en-US" w:eastAsia="zh-CN"/>
        </w:rPr>
        <w:t>顺利验收</w:t>
      </w:r>
      <w:r>
        <w:rPr>
          <w:rFonts w:hint="default" w:ascii="Times New Roman" w:hAnsi="Times New Roman" w:cs="Times New Roman"/>
          <w:sz w:val="24"/>
          <w:szCs w:val="24"/>
          <w:u w:val="none" w:color="auto"/>
        </w:rPr>
        <w:t>，20</w:t>
      </w:r>
      <w:r>
        <w:rPr>
          <w:rFonts w:hint="default" w:ascii="Times New Roman" w:hAnsi="Times New Roman" w:cs="Times New Roman"/>
          <w:sz w:val="24"/>
          <w:szCs w:val="24"/>
          <w:u w:val="none" w:color="auto"/>
          <w:lang w:val="en-US" w:eastAsia="zh-CN"/>
        </w:rPr>
        <w:t>2</w:t>
      </w:r>
      <w:r>
        <w:rPr>
          <w:rFonts w:hint="eastAsia" w:cs="Times New Roman"/>
          <w:sz w:val="24"/>
          <w:szCs w:val="24"/>
          <w:highlight w:val="none"/>
          <w:u w:val="none" w:color="auto"/>
          <w:lang w:val="en-US" w:eastAsia="zh-CN"/>
        </w:rPr>
        <w:t>5</w:t>
      </w:r>
      <w:r>
        <w:rPr>
          <w:rFonts w:hint="default" w:ascii="Times New Roman" w:hAnsi="Times New Roman" w:cs="Times New Roman"/>
          <w:sz w:val="24"/>
          <w:szCs w:val="24"/>
          <w:highlight w:val="none"/>
          <w:u w:val="none" w:color="auto"/>
        </w:rPr>
        <w:t>年</w:t>
      </w:r>
      <w:r>
        <w:rPr>
          <w:rFonts w:hint="eastAsia" w:cs="Times New Roman"/>
          <w:sz w:val="24"/>
          <w:szCs w:val="24"/>
          <w:highlight w:val="none"/>
          <w:u w:val="none" w:color="auto"/>
          <w:lang w:val="en-US" w:eastAsia="zh-CN"/>
        </w:rPr>
        <w:t>3</w:t>
      </w:r>
      <w:r>
        <w:rPr>
          <w:rFonts w:hint="default" w:ascii="Times New Roman" w:hAnsi="Times New Roman" w:cs="Times New Roman"/>
          <w:sz w:val="24"/>
          <w:szCs w:val="24"/>
          <w:highlight w:val="none"/>
          <w:u w:val="none" w:color="auto"/>
        </w:rPr>
        <w:t>月</w:t>
      </w:r>
      <w:r>
        <w:rPr>
          <w:rFonts w:hint="default" w:ascii="Times New Roman" w:hAnsi="Times New Roman" w:cs="Times New Roman"/>
          <w:sz w:val="24"/>
          <w:szCs w:val="24"/>
          <w:u w:val="none" w:color="auto"/>
        </w:rPr>
        <w:t>，建设单</w:t>
      </w:r>
      <w:r>
        <w:rPr>
          <w:rFonts w:hint="default" w:ascii="Times New Roman" w:hAnsi="Times New Roman" w:eastAsia="宋体" w:cs="Times New Roman"/>
          <w:sz w:val="24"/>
          <w:szCs w:val="24"/>
          <w:u w:val="none" w:color="auto"/>
        </w:rPr>
        <w:t>位</w:t>
      </w:r>
      <w:r>
        <w:rPr>
          <w:rFonts w:hint="eastAsia"/>
          <w:color w:val="auto"/>
          <w:szCs w:val="21"/>
        </w:rPr>
        <w:t>湖南华电</w:t>
      </w:r>
      <w:r>
        <w:rPr>
          <w:rFonts w:hint="eastAsia"/>
          <w:color w:val="auto"/>
          <w:szCs w:val="21"/>
          <w:lang w:val="en-US" w:eastAsia="zh-CN"/>
        </w:rPr>
        <w:t>永蓝</w:t>
      </w:r>
      <w:r>
        <w:rPr>
          <w:rFonts w:hint="eastAsia"/>
          <w:color w:val="auto"/>
          <w:szCs w:val="21"/>
        </w:rPr>
        <w:t>新能源有限公司</w:t>
      </w:r>
      <w:r>
        <w:rPr>
          <w:rFonts w:hint="default" w:ascii="Times New Roman" w:hAnsi="Times New Roman" w:eastAsia="宋体" w:cs="Times New Roman"/>
          <w:sz w:val="24"/>
          <w:szCs w:val="24"/>
          <w:u w:val="none" w:color="auto"/>
        </w:rPr>
        <w:t>委托湖南天瑶环境技术有限公司承担</w:t>
      </w:r>
      <w:r>
        <w:rPr>
          <w:rFonts w:hint="eastAsia"/>
          <w:color w:val="auto"/>
          <w:szCs w:val="21"/>
        </w:rPr>
        <w:t>湖南华电永州蓝山大源风电项目</w:t>
      </w:r>
      <w:r>
        <w:rPr>
          <w:rFonts w:hint="eastAsia"/>
          <w:color w:val="auto"/>
          <w:szCs w:val="21"/>
          <w:lang w:val="en-US" w:eastAsia="zh-CN"/>
        </w:rPr>
        <w:t>变更</w:t>
      </w:r>
      <w:r>
        <w:rPr>
          <w:rFonts w:hint="default" w:ascii="Times New Roman" w:hAnsi="Times New Roman" w:eastAsia="宋体" w:cs="Times New Roman"/>
          <w:sz w:val="24"/>
          <w:szCs w:val="24"/>
          <w:u w:val="none" w:color="auto"/>
        </w:rPr>
        <w:t>环境影响评价工作（委托函见</w:t>
      </w:r>
      <w:r>
        <w:rPr>
          <w:rFonts w:hint="default" w:ascii="Times New Roman" w:hAnsi="Times New Roman" w:cs="Times New Roman"/>
          <w:sz w:val="24"/>
          <w:szCs w:val="24"/>
          <w:u w:val="none" w:color="auto"/>
        </w:rPr>
        <w:t>附件1）。评价单位接受委托后组织人员进行了现场调查、踏勘和资料收集等工作，根据调查结果和环评技术导则要求，结合工程的实际情况、区域环境质量现状，编制了</w:t>
      </w:r>
      <w:r>
        <w:rPr>
          <w:rFonts w:hint="eastAsia" w:ascii="Times New Roman" w:hAnsi="Times New Roman" w:cs="Times New Roman"/>
          <w:sz w:val="24"/>
          <w:szCs w:val="24"/>
          <w:u w:val="none" w:color="auto"/>
          <w:lang w:eastAsia="zh-CN"/>
        </w:rPr>
        <w:t>《</w:t>
      </w:r>
      <w:r>
        <w:rPr>
          <w:rFonts w:hint="eastAsia"/>
          <w:color w:val="auto"/>
          <w:szCs w:val="21"/>
        </w:rPr>
        <w:t>湖南华电永州蓝山大源风电项目</w:t>
      </w:r>
      <w:r>
        <w:rPr>
          <w:rFonts w:hint="default" w:ascii="Times New Roman" w:hAnsi="Times New Roman" w:cs="Times New Roman"/>
          <w:sz w:val="24"/>
          <w:szCs w:val="24"/>
          <w:u w:val="none" w:color="auto"/>
        </w:rPr>
        <w:t>变更环境影响报告</w:t>
      </w:r>
      <w:r>
        <w:rPr>
          <w:rFonts w:hint="eastAsia" w:ascii="Times New Roman" w:hAnsi="Times New Roman" w:cs="Times New Roman"/>
          <w:sz w:val="24"/>
          <w:szCs w:val="24"/>
          <w:u w:val="none" w:color="auto"/>
          <w:lang w:eastAsia="zh-CN"/>
        </w:rPr>
        <w:t>书》</w:t>
      </w:r>
      <w:r>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b/>
          <w:bCs/>
          <w:color w:val="000000" w:themeColor="text1"/>
          <w:kern w:val="2"/>
          <w:sz w:val="32"/>
          <w:szCs w:val="32"/>
          <w:u w:val="none" w:color="auto"/>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32"/>
          <w:szCs w:val="32"/>
          <w:u w:val="none" w:color="auto"/>
          <w:lang w:val="en-US" w:eastAsia="zh-CN" w:bidi="ar-SA"/>
          <w14:textFill>
            <w14:solidFill>
              <w14:schemeClr w14:val="tx1"/>
            </w14:solidFill>
          </w14:textFill>
        </w:rPr>
        <w:t>◆ 环境影响评价工作过程</w:t>
      </w:r>
    </w:p>
    <w:p>
      <w:pPr>
        <w:ind w:firstLine="496"/>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t>本项目环境影响评价工作分三个阶段：调查分析和工作方案制定阶段，分析论证和预测评价阶段，环境影响报告书编制阶段。具体流程见</w:t>
      </w:r>
      <w:r>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fldChar w:fldCharType="begin"/>
      </w:r>
      <w:r>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instrText xml:space="preserve"> REF _Ref496082590 \h </w:instrText>
      </w:r>
      <w:r>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fldChar w:fldCharType="separate"/>
      </w:r>
      <w:r>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t>图1</w:t>
      </w:r>
      <w:r>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fldChar w:fldCharType="end"/>
      </w:r>
      <w:r>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t>。</w:t>
      </w:r>
    </w:p>
    <w:p>
      <w:pPr>
        <w:pStyle w:val="462"/>
        <w:rPr>
          <w:u w:val="none" w:color="auto"/>
        </w:rPr>
      </w:pPr>
      <w:r>
        <w:rPr>
          <w:u w:val="none" w:color="auto"/>
        </w:rPr>
        <w:drawing>
          <wp:inline distT="0" distB="0" distL="114300" distR="114300">
            <wp:extent cx="5269230" cy="5035550"/>
            <wp:effectExtent l="0" t="0" r="7620" b="12700"/>
            <wp:docPr id="13" name="图片 3" descr="1建设项目环境影响评价技术导则 总纲(HJ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3" descr="1建设项目环境影响评价技术导则 总纲(HJ2"/>
                    <pic:cNvPicPr>
                      <a:picLocks noChangeAspect="true"/>
                    </pic:cNvPicPr>
                  </pic:nvPicPr>
                  <pic:blipFill>
                    <a:blip r:embed="rId13"/>
                    <a:srcRect l="15134" t="11253" r="14467" b="41177"/>
                    <a:stretch>
                      <a:fillRect/>
                    </a:stretch>
                  </pic:blipFill>
                  <pic:spPr>
                    <a:xfrm>
                      <a:off x="0" y="0"/>
                      <a:ext cx="5269230" cy="5035550"/>
                    </a:xfrm>
                    <a:prstGeom prst="rect">
                      <a:avLst/>
                    </a:prstGeom>
                    <a:noFill/>
                    <a:ln>
                      <a:noFill/>
                    </a:ln>
                  </pic:spPr>
                </pic:pic>
              </a:graphicData>
            </a:graphic>
          </wp:inline>
        </w:drawing>
      </w:r>
    </w:p>
    <w:p>
      <w:pPr>
        <w:pStyle w:val="462"/>
        <w:jc w:val="center"/>
        <w:rPr>
          <w:b/>
          <w:bCs/>
          <w:u w:val="none" w:color="auto"/>
        </w:rPr>
      </w:pPr>
      <w:bookmarkStart w:id="8" w:name="_Ref496082590"/>
      <w:r>
        <w:rPr>
          <w:b/>
          <w:bCs/>
          <w:szCs w:val="24"/>
          <w:u w:val="none" w:color="auto"/>
        </w:rPr>
        <w:t xml:space="preserve">图 </w:t>
      </w:r>
      <w:bookmarkEnd w:id="8"/>
      <w:r>
        <w:rPr>
          <w:rFonts w:hint="eastAsia"/>
          <w:b/>
          <w:bCs/>
          <w:szCs w:val="24"/>
          <w:u w:val="none" w:color="auto"/>
          <w:lang w:val="en-US" w:eastAsia="zh-CN"/>
        </w:rPr>
        <w:t xml:space="preserve">1 </w:t>
      </w:r>
      <w:r>
        <w:rPr>
          <w:b/>
          <w:bCs/>
          <w:szCs w:val="24"/>
          <w:u w:val="none" w:color="auto"/>
        </w:rPr>
        <w:t>环境影响评价工作程序图</w:t>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b/>
          <w:bCs/>
          <w:color w:val="000000" w:themeColor="text1"/>
          <w:kern w:val="2"/>
          <w:sz w:val="32"/>
          <w:szCs w:val="32"/>
          <w:u w:val="none" w:color="auto"/>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32"/>
          <w:szCs w:val="32"/>
          <w:u w:val="none" w:color="auto"/>
          <w:lang w:val="en-US" w:eastAsia="zh-CN" w:bidi="ar-SA"/>
          <w14:textFill>
            <w14:solidFill>
              <w14:schemeClr w14:val="tx1"/>
            </w14:solidFill>
          </w14:textFill>
        </w:rPr>
        <w:t>◆ 分析判定相关情况</w:t>
      </w:r>
    </w:p>
    <w:p>
      <w:pPr>
        <w:pStyle w:val="462"/>
        <w:ind w:firstLine="480"/>
        <w:rPr>
          <w:rFonts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14:textFill>
            <w14:solidFill>
              <w14:schemeClr w14:val="tx1"/>
            </w14:solidFill>
          </w14:textFill>
        </w:rPr>
        <w:t>本项目符合《产业结构调整指导目录（2024年本）》等国家产业政策，符合《湖南主体功能区规划》等地方相关规划，项目已纳入湖南省发展和改革委员会《关于同意全省“十四五”第一批风电、集中式光伏发电项目开发建设的复函》（湘发改函[2022]52号）；本项目建设区占地范围内不涉及自然保护区、世界文化和自然遗产地、风景名胜区、地质公园、森林公园、重要湿地等生态敏感区，项目符合</w:t>
      </w:r>
      <w:r>
        <w:rPr>
          <w:rFonts w:hint="eastAsia" w:cs="Times New Roman"/>
          <w:color w:val="000000" w:themeColor="text1"/>
          <w:u w:val="none" w:color="auto"/>
          <w:lang w:val="en-US" w:eastAsia="zh-CN"/>
          <w14:textFill>
            <w14:solidFill>
              <w14:schemeClr w14:val="tx1"/>
            </w14:solidFill>
          </w14:textFill>
        </w:rPr>
        <w:t>永州市生态环境分区管控</w:t>
      </w:r>
      <w:r>
        <w:rPr>
          <w:rFonts w:hint="eastAsia" w:ascii="Times New Roman" w:hAnsi="Times New Roman" w:eastAsia="宋体" w:cs="Times New Roman"/>
          <w:color w:val="000000" w:themeColor="text1"/>
          <w:u w:val="none" w:color="auto"/>
          <w14:textFill>
            <w14:solidFill>
              <w14:schemeClr w14:val="tx1"/>
            </w14:solidFill>
          </w14:textFill>
        </w:rPr>
        <w:t>要求；项目与《“十四五”可再生能源发展规划》、《关于进一步规范风电发展的通知》(湘发改能源〔2016〕822号)、《湖南省“十四五”可再生能源发展规划》（湘发改能源规〔2022〕405号）、《关于规范风电场项目建设使用林地的通知》等要求相符。</w:t>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b/>
          <w:bCs/>
          <w:color w:val="000000" w:themeColor="text1"/>
          <w:kern w:val="2"/>
          <w:sz w:val="32"/>
          <w:szCs w:val="32"/>
          <w:u w:val="none" w:color="auto"/>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32"/>
          <w:szCs w:val="32"/>
          <w:u w:val="none" w:color="auto"/>
          <w:lang w:val="en-US" w:eastAsia="zh-CN" w:bidi="ar-SA"/>
          <w14:textFill>
            <w14:solidFill>
              <w14:schemeClr w14:val="tx1"/>
            </w14:solidFill>
          </w14:textFill>
        </w:rPr>
        <w:t>◆ 项目关注的主要环境问题及环境影响</w:t>
      </w:r>
    </w:p>
    <w:p>
      <w:pPr>
        <w:pStyle w:val="462"/>
        <w:ind w:firstLine="480"/>
        <w:rPr>
          <w:rFonts w:cs="Times New Roman"/>
          <w:color w:val="000000" w:themeColor="text1"/>
          <w:u w:val="none" w:color="auto"/>
          <w14:textFill>
            <w14:solidFill>
              <w14:schemeClr w14:val="tx1"/>
            </w14:solidFill>
          </w14:textFill>
        </w:rPr>
      </w:pPr>
      <w:r>
        <w:rPr>
          <w:rFonts w:cs="Times New Roman"/>
          <w:color w:val="000000" w:themeColor="text1"/>
          <w:u w:val="none" w:color="auto"/>
          <w14:textFill>
            <w14:solidFill>
              <w14:schemeClr w14:val="tx1"/>
            </w14:solidFill>
          </w14:textFill>
        </w:rPr>
        <w:t>根据《环境影响评价技术导则》的要求，结合项目特点和区域环境功能现状等的要求，本次评价关注的主要环境问题为：</w:t>
      </w:r>
    </w:p>
    <w:p>
      <w:pPr>
        <w:pStyle w:val="462"/>
        <w:numPr>
          <w:ilvl w:val="0"/>
          <w:numId w:val="50"/>
        </w:numPr>
        <w:ind w:left="0" w:firstLine="480"/>
        <w:rPr>
          <w:rFonts w:hint="eastAsia" w:cs="Times New Roman"/>
          <w:color w:val="000000" w:themeColor="text1"/>
          <w:highlight w:val="none"/>
          <w:u w:val="none" w:color="auto"/>
          <w14:textFill>
            <w14:solidFill>
              <w14:schemeClr w14:val="tx1"/>
            </w14:solidFill>
          </w14:textFill>
        </w:rPr>
      </w:pPr>
      <w:r>
        <w:rPr>
          <w:rFonts w:hint="eastAsia" w:cs="Times New Roman"/>
          <w:color w:val="000000" w:themeColor="text1"/>
          <w:highlight w:val="none"/>
          <w:u w:val="none" w:color="auto"/>
          <w:lang w:val="en-US" w:eastAsia="zh-CN"/>
          <w14:textFill>
            <w14:solidFill>
              <w14:schemeClr w14:val="tx1"/>
            </w14:solidFill>
          </w14:textFill>
        </w:rPr>
        <w:t>施工期生产废水、水土流失对饮用水源保护区的回顾性影响调查。</w:t>
      </w:r>
    </w:p>
    <w:p>
      <w:pPr>
        <w:pStyle w:val="462"/>
        <w:numPr>
          <w:ilvl w:val="0"/>
          <w:numId w:val="50"/>
        </w:numPr>
        <w:ind w:left="0" w:firstLine="480"/>
        <w:rPr>
          <w:rFonts w:hint="eastAsia" w:cs="Times New Roman"/>
          <w:color w:val="000000" w:themeColor="text1"/>
          <w:highlight w:val="none"/>
          <w:u w:val="none" w:color="auto"/>
          <w14:textFill>
            <w14:solidFill>
              <w14:schemeClr w14:val="tx1"/>
            </w14:solidFill>
          </w14:textFill>
        </w:rPr>
      </w:pPr>
      <w:r>
        <w:rPr>
          <w:rFonts w:hint="eastAsia" w:cs="Times New Roman"/>
          <w:color w:val="000000" w:themeColor="text1"/>
          <w:highlight w:val="none"/>
          <w:u w:val="none" w:color="auto"/>
          <w:lang w:val="en-US" w:eastAsia="zh-CN"/>
          <w14:textFill>
            <w14:solidFill>
              <w14:schemeClr w14:val="tx1"/>
            </w14:solidFill>
          </w14:textFill>
        </w:rPr>
        <w:t>施工占地、水土流失对生态</w:t>
      </w:r>
      <w:r>
        <w:rPr>
          <w:rFonts w:hint="eastAsia" w:cs="Times New Roman"/>
          <w:color w:val="000000" w:themeColor="text1"/>
          <w:highlight w:val="none"/>
          <w:u w:val="none" w:color="auto"/>
          <w:lang w:eastAsia="zh-CN"/>
          <w14:textFill>
            <w14:solidFill>
              <w14:schemeClr w14:val="tx1"/>
            </w14:solidFill>
          </w14:textFill>
        </w:rPr>
        <w:t>系统和生态评价范围内动植物</w:t>
      </w:r>
      <w:r>
        <w:rPr>
          <w:rFonts w:hint="eastAsia" w:cs="Times New Roman"/>
          <w:color w:val="000000" w:themeColor="text1"/>
          <w:highlight w:val="none"/>
          <w:u w:val="none" w:color="auto"/>
          <w14:textFill>
            <w14:solidFill>
              <w14:schemeClr w14:val="tx1"/>
            </w14:solidFill>
          </w14:textFill>
        </w:rPr>
        <w:t>的</w:t>
      </w:r>
      <w:r>
        <w:rPr>
          <w:rFonts w:hint="eastAsia" w:cs="Times New Roman"/>
          <w:color w:val="000000" w:themeColor="text1"/>
          <w:highlight w:val="none"/>
          <w:u w:val="none" w:color="auto"/>
          <w:lang w:val="en-US" w:eastAsia="zh-CN"/>
          <w14:textFill>
            <w14:solidFill>
              <w14:schemeClr w14:val="tx1"/>
            </w14:solidFill>
          </w14:textFill>
        </w:rPr>
        <w:t>回顾性</w:t>
      </w:r>
      <w:r>
        <w:rPr>
          <w:rFonts w:hint="eastAsia" w:cs="Times New Roman"/>
          <w:color w:val="000000" w:themeColor="text1"/>
          <w:highlight w:val="none"/>
          <w:u w:val="none" w:color="auto"/>
          <w14:textFill>
            <w14:solidFill>
              <w14:schemeClr w14:val="tx1"/>
            </w14:solidFill>
          </w14:textFill>
        </w:rPr>
        <w:t>影响</w:t>
      </w:r>
      <w:r>
        <w:rPr>
          <w:rFonts w:hint="eastAsia" w:cs="Times New Roman"/>
          <w:color w:val="000000" w:themeColor="text1"/>
          <w:highlight w:val="none"/>
          <w:u w:val="none" w:color="auto"/>
          <w:lang w:val="en-US" w:eastAsia="zh-CN"/>
          <w14:textFill>
            <w14:solidFill>
              <w14:schemeClr w14:val="tx1"/>
            </w14:solidFill>
          </w14:textFill>
        </w:rPr>
        <w:t>调查</w:t>
      </w:r>
      <w:r>
        <w:rPr>
          <w:rFonts w:hint="eastAsia" w:cs="Times New Roman"/>
          <w:color w:val="000000" w:themeColor="text1"/>
          <w:highlight w:val="none"/>
          <w:u w:val="none" w:color="auto"/>
          <w:lang w:eastAsia="zh-CN"/>
          <w14:textFill>
            <w14:solidFill>
              <w14:schemeClr w14:val="tx1"/>
            </w14:solidFill>
          </w14:textFill>
        </w:rPr>
        <w:t>。</w:t>
      </w:r>
    </w:p>
    <w:p>
      <w:pPr>
        <w:pStyle w:val="462"/>
        <w:numPr>
          <w:ilvl w:val="0"/>
          <w:numId w:val="50"/>
        </w:numPr>
        <w:ind w:left="0" w:firstLine="480"/>
        <w:rPr>
          <w:rFonts w:hint="eastAsia" w:cs="Times New Roman"/>
          <w:color w:val="000000" w:themeColor="text1"/>
          <w:highlight w:val="none"/>
          <w:u w:val="none" w:color="auto"/>
          <w14:textFill>
            <w14:solidFill>
              <w14:schemeClr w14:val="tx1"/>
            </w14:solidFill>
          </w14:textFill>
        </w:rPr>
      </w:pPr>
      <w:r>
        <w:rPr>
          <w:rFonts w:hint="eastAsia" w:cs="Times New Roman"/>
          <w:color w:val="000000" w:themeColor="text1"/>
          <w:highlight w:val="none"/>
          <w:u w:val="none" w:color="auto"/>
          <w:lang w:eastAsia="zh-CN"/>
          <w14:textFill>
            <w14:solidFill>
              <w14:schemeClr w14:val="tx1"/>
            </w14:solidFill>
          </w14:textFill>
        </w:rPr>
        <w:t>运营期风机噪声对周边敏感目标的影响</w:t>
      </w:r>
      <w:r>
        <w:rPr>
          <w:rFonts w:hint="eastAsia" w:cs="Times New Roman"/>
          <w:color w:val="000000" w:themeColor="text1"/>
          <w:highlight w:val="none"/>
          <w:u w:val="none" w:color="auto"/>
          <w14:textFill>
            <w14:solidFill>
              <w14:schemeClr w14:val="tx1"/>
            </w14:solidFill>
          </w14:textFill>
        </w:rPr>
        <w:t>。</w:t>
      </w:r>
    </w:p>
    <w:p>
      <w:pPr>
        <w:pStyle w:val="462"/>
        <w:numPr>
          <w:ilvl w:val="0"/>
          <w:numId w:val="50"/>
        </w:numPr>
        <w:ind w:left="0" w:firstLine="480"/>
        <w:rPr>
          <w:rFonts w:hint="eastAsia" w:cs="Times New Roman"/>
          <w:color w:val="000000" w:themeColor="text1"/>
          <w:u w:val="none" w:color="auto"/>
          <w14:textFill>
            <w14:solidFill>
              <w14:schemeClr w14:val="tx1"/>
            </w14:solidFill>
          </w14:textFill>
        </w:rPr>
      </w:pPr>
      <w:r>
        <w:rPr>
          <w:rFonts w:hint="eastAsia" w:cs="Times New Roman"/>
          <w:color w:val="000000" w:themeColor="text1"/>
          <w:u w:val="none" w:color="auto"/>
          <w:lang w:eastAsia="zh-CN"/>
          <w14:textFill>
            <w14:solidFill>
              <w14:schemeClr w14:val="tx1"/>
            </w14:solidFill>
          </w14:textFill>
        </w:rPr>
        <w:t>风机</w:t>
      </w:r>
      <w:r>
        <w:rPr>
          <w:rFonts w:hint="eastAsia" w:cs="Times New Roman"/>
          <w:color w:val="000000" w:themeColor="text1"/>
          <w:u w:val="none" w:color="auto"/>
          <w14:textFill>
            <w14:solidFill>
              <w14:schemeClr w14:val="tx1"/>
            </w14:solidFill>
          </w14:textFill>
        </w:rPr>
        <w:t>运行对</w:t>
      </w:r>
      <w:r>
        <w:rPr>
          <w:rFonts w:hint="eastAsia" w:cs="Times New Roman"/>
          <w:color w:val="000000" w:themeColor="text1"/>
          <w:u w:val="none" w:color="auto"/>
          <w:lang w:eastAsia="zh-CN"/>
          <w14:textFill>
            <w14:solidFill>
              <w14:schemeClr w14:val="tx1"/>
            </w14:solidFill>
          </w14:textFill>
        </w:rPr>
        <w:t>鸟类</w:t>
      </w:r>
      <w:r>
        <w:rPr>
          <w:rFonts w:hint="eastAsia" w:cs="Times New Roman"/>
          <w:color w:val="000000" w:themeColor="text1"/>
          <w:u w:val="none" w:color="auto"/>
          <w14:textFill>
            <w14:solidFill>
              <w14:schemeClr w14:val="tx1"/>
            </w14:solidFill>
          </w14:textFill>
        </w:rPr>
        <w:t>的影响</w:t>
      </w:r>
      <w:r>
        <w:rPr>
          <w:rFonts w:hint="eastAsia" w:cs="Times New Roman"/>
          <w:color w:val="000000" w:themeColor="text1"/>
          <w:u w:val="none" w:color="auto"/>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b/>
          <w:bCs/>
          <w:color w:val="000000" w:themeColor="text1"/>
          <w:kern w:val="2"/>
          <w:sz w:val="32"/>
          <w:szCs w:val="32"/>
          <w:u w:val="none" w:color="auto"/>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32"/>
          <w:szCs w:val="32"/>
          <w:u w:val="none" w:color="auto"/>
          <w:lang w:val="en-US" w:eastAsia="zh-CN" w:bidi="ar-SA"/>
          <w14:textFill>
            <w14:solidFill>
              <w14:schemeClr w14:val="tx1"/>
            </w14:solidFill>
          </w14:textFill>
        </w:rPr>
        <w:t>◆ 环境影响评价主要结论</w:t>
      </w:r>
    </w:p>
    <w:p>
      <w:pPr>
        <w:pStyle w:val="462"/>
        <w:ind w:firstLine="480"/>
        <w:rPr>
          <w:rFonts w:ascii="Times New Roman" w:hAnsi="Times New Roman" w:eastAsia="宋体" w:cs="Times New Roman"/>
          <w:color w:val="000000" w:themeColor="text1"/>
          <w:u w:val="none" w:color="auto"/>
          <w14:textFill>
            <w14:solidFill>
              <w14:schemeClr w14:val="tx1"/>
            </w14:solidFill>
          </w14:textFill>
        </w:rPr>
      </w:pPr>
      <w:r>
        <w:rPr>
          <w:u w:val="none" w:color="auto"/>
          <w:lang w:val="zh-CN"/>
        </w:rPr>
        <w:t>本项目的建设符合国家产业政策，</w:t>
      </w:r>
      <w:r>
        <w:rPr>
          <w:rFonts w:hint="eastAsia" w:ascii="Times New Roman" w:hAnsi="Times New Roman" w:eastAsia="宋体" w:cs="Times New Roman"/>
          <w:color w:val="000000" w:themeColor="text1"/>
          <w:u w:val="none" w:color="auto"/>
          <w14:textFill>
            <w14:solidFill>
              <w14:schemeClr w14:val="tx1"/>
            </w14:solidFill>
          </w14:textFill>
        </w:rPr>
        <w:t>符合</w:t>
      </w:r>
      <w:r>
        <w:rPr>
          <w:rFonts w:hint="eastAsia" w:cs="Times New Roman"/>
          <w:color w:val="000000" w:themeColor="text1"/>
          <w:u w:val="none" w:color="auto"/>
          <w:lang w:eastAsia="zh-CN"/>
          <w14:textFill>
            <w14:solidFill>
              <w14:schemeClr w14:val="tx1"/>
            </w14:solidFill>
          </w14:textFill>
        </w:rPr>
        <w:t>风电行业发展规范要求</w:t>
      </w:r>
      <w:r>
        <w:rPr>
          <w:rFonts w:hint="eastAsia" w:cs="Times New Roman"/>
          <w:b w:val="0"/>
          <w:bCs/>
          <w:color w:val="000000" w:themeColor="text1"/>
          <w:highlight w:val="none"/>
          <w:u w:val="none" w:color="auto"/>
          <w:lang w:eastAsia="zh-CN"/>
          <w14:textFill>
            <w14:solidFill>
              <w14:schemeClr w14:val="tx1"/>
            </w14:solidFill>
          </w14:textFill>
        </w:rPr>
        <w:t>，符合</w:t>
      </w:r>
      <w:r>
        <w:rPr>
          <w:rFonts w:hint="eastAsia" w:cs="Times New Roman"/>
          <w:color w:val="000000" w:themeColor="text1"/>
          <w:u w:val="none" w:color="auto"/>
          <w:lang w:val="en-US" w:eastAsia="zh-CN"/>
          <w14:textFill>
            <w14:solidFill>
              <w14:schemeClr w14:val="tx1"/>
            </w14:solidFill>
          </w14:textFill>
        </w:rPr>
        <w:t>永州市生态环境分区管控要求</w:t>
      </w:r>
      <w:r>
        <w:rPr>
          <w:rFonts w:hint="eastAsia" w:ascii="Times New Roman" w:hAnsi="Times New Roman" w:eastAsia="宋体" w:cs="Times New Roman"/>
          <w:color w:val="000000" w:themeColor="text1"/>
          <w:u w:val="none" w:color="auto"/>
          <w:lang w:eastAsia="zh-CN"/>
          <w14:textFill>
            <w14:solidFill>
              <w14:schemeClr w14:val="tx1"/>
            </w14:solidFill>
          </w14:textFill>
        </w:rPr>
        <w:t>。工程的实施具有良好的经济效益和社会效益；建设单位通过严格执行国家有关环境保护法规，严格执行“三同时”制度，认真落实评价中提出的生态环境保护和恢复措施、污染防治措施、环境风险防范措施和环境管理措施后，可使项目建成后对周围环境影响减少到最低限度，项目的建设从环境保护角度而言是可行的。</w:t>
      </w:r>
    </w:p>
    <w:p>
      <w:pPr>
        <w:pStyle w:val="462"/>
        <w:ind w:firstLine="480"/>
        <w:rPr>
          <w:rFonts w:ascii="Times New Roman" w:hAnsi="Times New Roman" w:eastAsia="宋体" w:cs="Times New Roman"/>
          <w:color w:val="000000" w:themeColor="text1"/>
          <w:u w:val="none" w:color="auto"/>
          <w14:textFill>
            <w14:solidFill>
              <w14:schemeClr w14:val="tx1"/>
            </w14:solidFill>
          </w14:textFill>
        </w:rPr>
        <w:sectPr>
          <w:headerReference r:id="rId7" w:type="default"/>
          <w:footerReference r:id="rId8" w:type="default"/>
          <w:pgSz w:w="11905" w:h="16838"/>
          <w:pgMar w:top="1417" w:right="1417" w:bottom="1417" w:left="1417" w:header="851" w:footer="992" w:gutter="0"/>
          <w:pgBorders>
            <w:top w:val="none" w:sz="0" w:space="0"/>
            <w:left w:val="none" w:sz="0" w:space="0"/>
            <w:bottom w:val="none" w:sz="0" w:space="0"/>
            <w:right w:val="none" w:sz="0" w:space="0"/>
          </w:pgBorders>
          <w:pgNumType w:fmt="decimal" w:start="1"/>
          <w:cols w:space="0" w:num="1"/>
          <w:rtlGutter w:val="0"/>
          <w:docGrid w:type="lines" w:linePitch="333" w:charSpace="0"/>
        </w:sectPr>
      </w:pPr>
    </w:p>
    <w:p>
      <w:pPr>
        <w:pStyle w:val="461"/>
        <w:bidi w:val="0"/>
      </w:pPr>
      <w:bookmarkStart w:id="9" w:name="_Toc401255934"/>
      <w:bookmarkStart w:id="10" w:name="_Toc18773468"/>
      <w:r>
        <w:t xml:space="preserve">  </w:t>
      </w:r>
      <w:bookmarkStart w:id="11" w:name="_Toc15050"/>
      <w:r>
        <w:t>总则</w:t>
      </w:r>
      <w:bookmarkEnd w:id="9"/>
      <w:bookmarkEnd w:id="11"/>
    </w:p>
    <w:bookmarkEnd w:id="10"/>
    <w:p>
      <w:pPr>
        <w:pStyle w:val="457"/>
        <w:ind w:firstLine="643"/>
        <w:rPr>
          <w:rFonts w:ascii="Times New Roman" w:cs="Times New Roman"/>
          <w:color w:val="000000" w:themeColor="text1"/>
          <w:u w:val="none" w:color="auto"/>
          <w14:textFill>
            <w14:solidFill>
              <w14:schemeClr w14:val="tx1"/>
            </w14:solidFill>
          </w14:textFill>
        </w:rPr>
      </w:pPr>
      <w:bookmarkStart w:id="12" w:name="_Toc401255937"/>
      <w:bookmarkStart w:id="13" w:name="_Toc10413"/>
      <w:bookmarkStart w:id="14" w:name="_Toc439880008"/>
      <w:r>
        <w:rPr>
          <w:rFonts w:ascii="Times New Roman" w:cs="Times New Roman"/>
          <w:color w:val="000000" w:themeColor="text1"/>
          <w:u w:val="none" w:color="auto"/>
          <w14:textFill>
            <w14:solidFill>
              <w14:schemeClr w14:val="tx1"/>
            </w14:solidFill>
          </w14:textFill>
        </w:rPr>
        <w:t>编制依据</w:t>
      </w:r>
      <w:bookmarkEnd w:id="12"/>
      <w:bookmarkEnd w:id="13"/>
      <w:bookmarkEnd w:id="14"/>
    </w:p>
    <w:p>
      <w:pPr>
        <w:pStyle w:val="458"/>
        <w:ind w:firstLine="602"/>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国家法律法规和部门规章</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《中华人民共和国环境保护法》（2015年1月1日施行）；</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《中华人民共和国环境影响评价法》（2018年12月29日修订）；</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《中华人民共和国水污染防治法》（2017年6月27日修订）；</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《中华人民共和国大气污染防治法》（2018年10月26日修订）；</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《中华人民共和国噪声污染防治法》（</w:t>
      </w:r>
      <w:r>
        <w:rPr>
          <w:rFonts w:hint="eastAsia"/>
          <w:color w:val="000000" w:themeColor="text1"/>
          <w:u w:val="none" w:color="auto"/>
          <w:lang w:val="en-US" w:eastAsia="zh-CN"/>
          <w14:textFill>
            <w14:solidFill>
              <w14:schemeClr w14:val="tx1"/>
            </w14:solidFill>
          </w14:textFill>
        </w:rPr>
        <w:t>2022年6月5日施行</w:t>
      </w:r>
      <w:r>
        <w:rPr>
          <w:color w:val="000000" w:themeColor="text1"/>
          <w:u w:val="none" w:color="auto"/>
          <w14:textFill>
            <w14:solidFill>
              <w14:schemeClr w14:val="tx1"/>
            </w14:solidFill>
          </w14:textFill>
        </w:rPr>
        <w:t>）；</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《中华人民共和国固体废物污染环境防治法》（2020年4月29日修订）；</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《中华人民共和国土壤污染防治法》（2019年1月1日起施行）；</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《中华人民共和国土地管理法》（2019年8月26日修订）；</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《中华人民共和国水土保持法》（2010年12月25日修订）；</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《建设项目环境保护管理条例》（国务院令第682号，2017年7月16日修订）；</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rFonts w:hint="eastAsia" w:cs="Times New Roman"/>
          <w:bCs/>
          <w:color w:val="auto"/>
          <w:szCs w:val="24"/>
          <w:u w:val="none" w:color="auto"/>
        </w:rPr>
        <w:t>《中华人民共和国野生动物保护法》(</w:t>
      </w:r>
      <w:r>
        <w:rPr>
          <w:rFonts w:cs="Times New Roman"/>
          <w:bCs/>
          <w:color w:val="auto"/>
          <w:szCs w:val="24"/>
          <w:u w:val="none" w:color="auto"/>
        </w:rPr>
        <w:t>201</w:t>
      </w:r>
      <w:r>
        <w:rPr>
          <w:rFonts w:hint="eastAsia" w:cs="Times New Roman"/>
          <w:bCs/>
          <w:color w:val="auto"/>
          <w:szCs w:val="24"/>
          <w:u w:val="none" w:color="auto"/>
          <w:lang w:val="en-US" w:eastAsia="zh-CN"/>
        </w:rPr>
        <w:t>8</w:t>
      </w:r>
      <w:r>
        <w:rPr>
          <w:rFonts w:hint="eastAsia" w:cs="Times New Roman"/>
          <w:bCs/>
          <w:color w:val="auto"/>
          <w:szCs w:val="24"/>
          <w:u w:val="none" w:color="auto"/>
        </w:rPr>
        <w:t>年</w:t>
      </w:r>
      <w:r>
        <w:rPr>
          <w:rFonts w:cs="Times New Roman"/>
          <w:bCs/>
          <w:color w:val="auto"/>
          <w:szCs w:val="24"/>
          <w:u w:val="none" w:color="auto"/>
        </w:rPr>
        <w:t>1</w:t>
      </w:r>
      <w:r>
        <w:rPr>
          <w:rFonts w:hint="eastAsia" w:cs="Times New Roman"/>
          <w:bCs/>
          <w:color w:val="auto"/>
          <w:szCs w:val="24"/>
          <w:u w:val="none" w:color="auto"/>
          <w:lang w:val="en-US" w:eastAsia="zh-CN"/>
        </w:rPr>
        <w:t>0</w:t>
      </w:r>
      <w:r>
        <w:rPr>
          <w:rFonts w:hint="eastAsia" w:cs="Times New Roman"/>
          <w:bCs/>
          <w:color w:val="auto"/>
          <w:szCs w:val="24"/>
          <w:u w:val="none" w:color="auto"/>
        </w:rPr>
        <w:t>月</w:t>
      </w:r>
      <w:r>
        <w:rPr>
          <w:rFonts w:hint="eastAsia" w:cs="Times New Roman"/>
          <w:bCs/>
          <w:color w:val="auto"/>
          <w:szCs w:val="24"/>
          <w:u w:val="none" w:color="auto"/>
          <w:lang w:val="en-US" w:eastAsia="zh-CN"/>
        </w:rPr>
        <w:t>26</w:t>
      </w:r>
      <w:r>
        <w:rPr>
          <w:rFonts w:hint="eastAsia" w:cs="Times New Roman"/>
          <w:bCs/>
          <w:color w:val="auto"/>
          <w:szCs w:val="24"/>
          <w:u w:val="none" w:color="auto"/>
        </w:rPr>
        <w:t>日修订)；</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rFonts w:hint="eastAsia" w:cs="Times New Roman"/>
          <w:bCs/>
          <w:color w:val="auto"/>
          <w:szCs w:val="24"/>
          <w:u w:val="none" w:color="auto"/>
        </w:rPr>
        <w:t>《中华人民共和国森林法》(</w:t>
      </w:r>
      <w:r>
        <w:rPr>
          <w:rFonts w:hint="eastAsia" w:ascii="Times New Roman" w:hAnsi="Times New Roman" w:eastAsia="宋体" w:cs="Times New Roman"/>
          <w:caps w:val="0"/>
          <w:smallCaps w:val="0"/>
          <w:snapToGrid/>
          <w:color w:val="auto"/>
          <w:spacing w:val="0"/>
          <w:kern w:val="0"/>
          <w:highlight w:val="none"/>
          <w:u w:val="none" w:color="auto"/>
        </w:rPr>
        <w:t>2020年7月1日起施行</w:t>
      </w:r>
      <w:r>
        <w:rPr>
          <w:rFonts w:hint="eastAsia" w:cs="Times New Roman"/>
          <w:bCs/>
          <w:color w:val="auto"/>
          <w:szCs w:val="24"/>
          <w:u w:val="none" w:color="auto"/>
        </w:rPr>
        <w:t>)；</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rFonts w:hint="eastAsia" w:cs="Times New Roman"/>
          <w:bCs/>
          <w:color w:val="auto"/>
          <w:szCs w:val="24"/>
          <w:u w:val="none" w:color="auto"/>
        </w:rPr>
        <w:t>《中华人民共和国野生植物保护条例》(</w:t>
      </w:r>
      <w:r>
        <w:rPr>
          <w:rFonts w:cs="Times New Roman"/>
          <w:bCs/>
          <w:color w:val="auto"/>
          <w:szCs w:val="24"/>
          <w:u w:val="none" w:color="auto"/>
        </w:rPr>
        <w:t>2017</w:t>
      </w:r>
      <w:r>
        <w:rPr>
          <w:rFonts w:hint="eastAsia" w:cs="Times New Roman"/>
          <w:bCs/>
          <w:color w:val="auto"/>
          <w:szCs w:val="24"/>
          <w:u w:val="none" w:color="auto"/>
        </w:rPr>
        <w:t>年</w:t>
      </w:r>
      <w:r>
        <w:rPr>
          <w:rFonts w:cs="Times New Roman"/>
          <w:bCs/>
          <w:color w:val="auto"/>
          <w:szCs w:val="24"/>
          <w:u w:val="none" w:color="auto"/>
        </w:rPr>
        <w:t>10</w:t>
      </w:r>
      <w:r>
        <w:rPr>
          <w:rFonts w:hint="eastAsia" w:cs="Times New Roman"/>
          <w:bCs/>
          <w:color w:val="auto"/>
          <w:szCs w:val="24"/>
          <w:u w:val="none" w:color="auto"/>
        </w:rPr>
        <w:t>月</w:t>
      </w:r>
      <w:r>
        <w:rPr>
          <w:rFonts w:cs="Times New Roman"/>
          <w:bCs/>
          <w:color w:val="auto"/>
          <w:szCs w:val="24"/>
          <w:u w:val="none" w:color="auto"/>
        </w:rPr>
        <w:t>7</w:t>
      </w:r>
      <w:r>
        <w:rPr>
          <w:rFonts w:hint="eastAsia" w:cs="Times New Roman"/>
          <w:bCs/>
          <w:color w:val="auto"/>
          <w:szCs w:val="24"/>
          <w:u w:val="none" w:color="auto"/>
        </w:rPr>
        <w:t>日修订)；</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rFonts w:hint="eastAsia" w:cs="Times New Roman"/>
          <w:bCs/>
          <w:color w:val="auto"/>
          <w:szCs w:val="24"/>
          <w:u w:val="none" w:color="auto"/>
        </w:rPr>
        <w:t>《中华人民共和国陆生野生动物保护实施条例》(</w:t>
      </w:r>
      <w:r>
        <w:rPr>
          <w:rFonts w:cs="Times New Roman"/>
          <w:bCs/>
          <w:color w:val="auto"/>
          <w:szCs w:val="24"/>
          <w:u w:val="none" w:color="auto"/>
        </w:rPr>
        <w:t>2016</w:t>
      </w:r>
      <w:r>
        <w:rPr>
          <w:rFonts w:hint="eastAsia" w:cs="Times New Roman"/>
          <w:bCs/>
          <w:color w:val="auto"/>
          <w:szCs w:val="24"/>
          <w:u w:val="none" w:color="auto"/>
        </w:rPr>
        <w:t>年</w:t>
      </w:r>
      <w:r>
        <w:rPr>
          <w:rFonts w:cs="Times New Roman"/>
          <w:bCs/>
          <w:color w:val="auto"/>
          <w:szCs w:val="24"/>
          <w:u w:val="none" w:color="auto"/>
        </w:rPr>
        <w:t>2</w:t>
      </w:r>
      <w:r>
        <w:rPr>
          <w:rFonts w:hint="eastAsia" w:cs="Times New Roman"/>
          <w:bCs/>
          <w:color w:val="auto"/>
          <w:szCs w:val="24"/>
          <w:u w:val="none" w:color="auto"/>
        </w:rPr>
        <w:t>月</w:t>
      </w:r>
      <w:r>
        <w:rPr>
          <w:rFonts w:cs="Times New Roman"/>
          <w:bCs/>
          <w:color w:val="auto"/>
          <w:szCs w:val="24"/>
          <w:u w:val="none" w:color="auto"/>
        </w:rPr>
        <w:t>6</w:t>
      </w:r>
      <w:r>
        <w:rPr>
          <w:rFonts w:hint="eastAsia" w:cs="Times New Roman"/>
          <w:bCs/>
          <w:color w:val="auto"/>
          <w:szCs w:val="24"/>
          <w:u w:val="none" w:color="auto"/>
        </w:rPr>
        <w:t>日修订)；</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rFonts w:hint="eastAsia" w:cs="Times New Roman"/>
          <w:bCs/>
          <w:color w:val="auto"/>
          <w:szCs w:val="24"/>
          <w:u w:val="none" w:color="auto"/>
        </w:rPr>
        <w:t>《中华人民共和国森林法实施条例》（</w:t>
      </w:r>
      <w:r>
        <w:rPr>
          <w:rFonts w:cs="Times New Roman"/>
          <w:bCs/>
          <w:color w:val="auto"/>
          <w:szCs w:val="24"/>
          <w:u w:val="none" w:color="auto"/>
        </w:rPr>
        <w:t>2016</w:t>
      </w:r>
      <w:r>
        <w:rPr>
          <w:rFonts w:hint="eastAsia" w:cs="Times New Roman"/>
          <w:bCs/>
          <w:color w:val="auto"/>
          <w:szCs w:val="24"/>
          <w:u w:val="none" w:color="auto"/>
        </w:rPr>
        <w:t>年</w:t>
      </w:r>
      <w:r>
        <w:rPr>
          <w:rFonts w:cs="Times New Roman"/>
          <w:bCs/>
          <w:color w:val="auto"/>
          <w:szCs w:val="24"/>
          <w:u w:val="none" w:color="auto"/>
        </w:rPr>
        <w:t>2</w:t>
      </w:r>
      <w:r>
        <w:rPr>
          <w:rFonts w:hint="eastAsia" w:cs="Times New Roman"/>
          <w:bCs/>
          <w:color w:val="auto"/>
          <w:szCs w:val="24"/>
          <w:u w:val="none" w:color="auto"/>
        </w:rPr>
        <w:t>月</w:t>
      </w:r>
      <w:r>
        <w:rPr>
          <w:rFonts w:cs="Times New Roman"/>
          <w:bCs/>
          <w:color w:val="auto"/>
          <w:szCs w:val="24"/>
          <w:u w:val="none" w:color="auto"/>
        </w:rPr>
        <w:t>6</w:t>
      </w:r>
      <w:r>
        <w:rPr>
          <w:rFonts w:hint="eastAsia" w:cs="Times New Roman"/>
          <w:bCs/>
          <w:color w:val="auto"/>
          <w:szCs w:val="24"/>
          <w:u w:val="none" w:color="auto"/>
        </w:rPr>
        <w:t>日修订）；</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《国务院关于印发大气污染防治行动计划的通知》（国发[2013]37号）；</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《国务院关于印发水污染防治行动计划的通知》（国发[2015]17号）；</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《国务院关于印发土壤污染防治行动计划的通知》（国发[2016]31号）；</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《产业结构调整指导目录（20</w:t>
      </w:r>
      <w:r>
        <w:rPr>
          <w:rFonts w:hint="eastAsia"/>
          <w:color w:val="000000" w:themeColor="text1"/>
          <w:u w:val="none" w:color="auto"/>
          <w:lang w:val="en-US" w:eastAsia="zh-CN"/>
          <w14:textFill>
            <w14:solidFill>
              <w14:schemeClr w14:val="tx1"/>
            </w14:solidFill>
          </w14:textFill>
        </w:rPr>
        <w:t>24</w:t>
      </w:r>
      <w:r>
        <w:rPr>
          <w:color w:val="000000" w:themeColor="text1"/>
          <w:u w:val="none" w:color="auto"/>
          <w14:textFill>
            <w14:solidFill>
              <w14:schemeClr w14:val="tx1"/>
            </w14:solidFill>
          </w14:textFill>
        </w:rPr>
        <w:t>年本）》</w:t>
      </w:r>
      <w:r>
        <w:rPr>
          <w:rFonts w:hint="eastAsia"/>
          <w:color w:val="000000" w:themeColor="text1"/>
          <w:u w:val="none" w:color="auto"/>
          <w:lang w:eastAsia="zh-CN"/>
          <w14:textFill>
            <w14:solidFill>
              <w14:schemeClr w14:val="tx1"/>
            </w14:solidFill>
          </w14:textFill>
        </w:rPr>
        <w:t>；</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snapToGrid w:val="0"/>
          <w:color w:val="000000" w:themeColor="text1"/>
          <w:u w:val="none" w:color="auto"/>
          <w14:textFill>
            <w14:solidFill>
              <w14:schemeClr w14:val="tx1"/>
            </w14:solidFill>
          </w14:textFill>
        </w:rPr>
        <w:t>《建设项目环境影响评价分类管理名录（2021年版）》；</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《环境影响评价公众参与办法》（2019年1月1日起施行）；</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《关于进一步加强环境影响评价管理防范环境风险的通知》（环发</w:t>
      </w:r>
      <w:r>
        <w:rPr>
          <w:rFonts w:hint="eastAsia"/>
          <w:color w:val="000000" w:themeColor="text1"/>
          <w:u w:val="none" w:color="auto"/>
          <w:lang w:val="en-US" w:eastAsia="zh-CN"/>
          <w14:textFill>
            <w14:solidFill>
              <w14:schemeClr w14:val="tx1"/>
            </w14:solidFill>
          </w14:textFill>
        </w:rPr>
        <w:t>[</w:t>
      </w:r>
      <w:r>
        <w:rPr>
          <w:color w:val="000000" w:themeColor="text1"/>
          <w:u w:val="none" w:color="auto"/>
          <w14:textFill>
            <w14:solidFill>
              <w14:schemeClr w14:val="tx1"/>
            </w14:solidFill>
          </w14:textFill>
        </w:rPr>
        <w:t>2012</w:t>
      </w:r>
      <w:r>
        <w:rPr>
          <w:rFonts w:hint="eastAsia"/>
          <w:color w:val="000000" w:themeColor="text1"/>
          <w:u w:val="none" w:color="auto"/>
          <w:lang w:val="en-US" w:eastAsia="zh-CN"/>
          <w14:textFill>
            <w14:solidFill>
              <w14:schemeClr w14:val="tx1"/>
            </w14:solidFill>
          </w14:textFill>
        </w:rPr>
        <w:t>]</w:t>
      </w:r>
      <w:r>
        <w:rPr>
          <w:color w:val="000000" w:themeColor="text1"/>
          <w:u w:val="none" w:color="auto"/>
          <w14:textFill>
            <w14:solidFill>
              <w14:schemeClr w14:val="tx1"/>
            </w14:solidFill>
          </w14:textFill>
        </w:rPr>
        <w:t>77号，</w:t>
      </w:r>
      <w:r>
        <w:rPr>
          <w:snapToGrid w:val="0"/>
          <w:color w:val="000000" w:themeColor="text1"/>
          <w:u w:val="none" w:color="auto"/>
          <w14:textFill>
            <w14:solidFill>
              <w14:schemeClr w14:val="tx1"/>
            </w14:solidFill>
          </w14:textFill>
        </w:rPr>
        <w:t>2012年7月3日起施行</w:t>
      </w:r>
      <w:r>
        <w:rPr>
          <w:color w:val="000000" w:themeColor="text1"/>
          <w:u w:val="none" w:color="auto"/>
          <w14:textFill>
            <w14:solidFill>
              <w14:schemeClr w14:val="tx1"/>
            </w14:solidFill>
          </w14:textFill>
        </w:rPr>
        <w:t>）；</w:t>
      </w:r>
    </w:p>
    <w:p>
      <w:pPr>
        <w:pStyle w:val="210"/>
        <w:numPr>
          <w:ilvl w:val="0"/>
          <w:numId w:val="51"/>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《关于切实加强风险防范严格环境影响评价管理的通知》（环发</w:t>
      </w:r>
      <w:r>
        <w:rPr>
          <w:rFonts w:hint="eastAsia"/>
          <w:color w:val="000000" w:themeColor="text1"/>
          <w:u w:val="none" w:color="auto"/>
          <w:lang w:val="en-US" w:eastAsia="zh-CN"/>
          <w14:textFill>
            <w14:solidFill>
              <w14:schemeClr w14:val="tx1"/>
            </w14:solidFill>
          </w14:textFill>
        </w:rPr>
        <w:t>[</w:t>
      </w:r>
      <w:r>
        <w:rPr>
          <w:color w:val="000000" w:themeColor="text1"/>
          <w:u w:val="none" w:color="auto"/>
          <w14:textFill>
            <w14:solidFill>
              <w14:schemeClr w14:val="tx1"/>
            </w14:solidFill>
          </w14:textFill>
        </w:rPr>
        <w:t>2012</w:t>
      </w:r>
      <w:r>
        <w:rPr>
          <w:rFonts w:hint="eastAsia"/>
          <w:color w:val="000000" w:themeColor="text1"/>
          <w:u w:val="none" w:color="auto"/>
          <w:lang w:val="en-US" w:eastAsia="zh-CN"/>
          <w14:textFill>
            <w14:solidFill>
              <w14:schemeClr w14:val="tx1"/>
            </w14:solidFill>
          </w14:textFill>
        </w:rPr>
        <w:t>]</w:t>
      </w:r>
      <w:r>
        <w:rPr>
          <w:color w:val="000000" w:themeColor="text1"/>
          <w:u w:val="none" w:color="auto"/>
          <w14:textFill>
            <w14:solidFill>
              <w14:schemeClr w14:val="tx1"/>
            </w14:solidFill>
          </w14:textFill>
        </w:rPr>
        <w:t>98号，</w:t>
      </w:r>
      <w:r>
        <w:rPr>
          <w:snapToGrid w:val="0"/>
          <w:color w:val="000000" w:themeColor="text1"/>
          <w:u w:val="none" w:color="auto"/>
          <w14:textFill>
            <w14:solidFill>
              <w14:schemeClr w14:val="tx1"/>
            </w14:solidFill>
          </w14:textFill>
        </w:rPr>
        <w:t>2012年8月8日起施行</w:t>
      </w:r>
      <w:r>
        <w:rPr>
          <w:color w:val="000000" w:themeColor="text1"/>
          <w:u w:val="none" w:color="auto"/>
          <w14:textFill>
            <w14:solidFill>
              <w14:schemeClr w14:val="tx1"/>
            </w14:solidFill>
          </w14:textFill>
        </w:rPr>
        <w:t>）；</w:t>
      </w:r>
    </w:p>
    <w:p>
      <w:pPr>
        <w:pStyle w:val="210"/>
        <w:numPr>
          <w:ilvl w:val="0"/>
          <w:numId w:val="51"/>
        </w:numPr>
        <w:tabs>
          <w:tab w:val="left" w:pos="900"/>
        </w:tabs>
        <w:spacing w:line="360" w:lineRule="auto"/>
        <w:ind w:left="0" w:firstLine="480"/>
        <w:rPr>
          <w:rFonts w:cs="Times New Roman"/>
          <w:color w:val="auto"/>
          <w:szCs w:val="24"/>
          <w:u w:val="none" w:color="auto"/>
        </w:rPr>
      </w:pPr>
      <w:r>
        <w:rPr>
          <w:rFonts w:ascii="宋体" w:hAnsi="宋体" w:eastAsia="宋体" w:cs="宋体"/>
          <w:spacing w:val="7"/>
          <w:sz w:val="24"/>
          <w:szCs w:val="24"/>
          <w:u w:val="none" w:color="auto"/>
        </w:rPr>
        <w:t>《关于进一步推进建设项目环境监理试点工作的通知》环办〔</w:t>
      </w:r>
      <w:r>
        <w:rPr>
          <w:rFonts w:ascii="Times New Roman" w:hAnsi="Times New Roman" w:eastAsia="Times New Roman" w:cs="Times New Roman"/>
          <w:spacing w:val="7"/>
          <w:sz w:val="24"/>
          <w:szCs w:val="24"/>
          <w:u w:val="none" w:color="auto"/>
        </w:rPr>
        <w:t>2012</w:t>
      </w:r>
      <w:r>
        <w:rPr>
          <w:rFonts w:ascii="宋体" w:hAnsi="宋体" w:eastAsia="宋体" w:cs="宋体"/>
          <w:spacing w:val="7"/>
          <w:sz w:val="24"/>
          <w:szCs w:val="24"/>
          <w:u w:val="none" w:color="auto"/>
        </w:rPr>
        <w:t>〕</w:t>
      </w:r>
      <w:r>
        <w:rPr>
          <w:rFonts w:ascii="Times New Roman" w:hAnsi="Times New Roman" w:eastAsia="Times New Roman" w:cs="Times New Roman"/>
          <w:spacing w:val="7"/>
          <w:sz w:val="24"/>
          <w:szCs w:val="24"/>
          <w:u w:val="none" w:color="auto"/>
        </w:rPr>
        <w:t xml:space="preserve">5 </w:t>
      </w:r>
      <w:r>
        <w:rPr>
          <w:rFonts w:ascii="宋体" w:hAnsi="宋体" w:eastAsia="宋体" w:cs="宋体"/>
          <w:spacing w:val="7"/>
          <w:sz w:val="24"/>
          <w:szCs w:val="24"/>
          <w:u w:val="none" w:color="auto"/>
        </w:rPr>
        <w:t>号</w:t>
      </w:r>
      <w:r>
        <w:rPr>
          <w:rFonts w:hint="eastAsia" w:ascii="宋体" w:hAnsi="宋体" w:cs="宋体"/>
          <w:spacing w:val="7"/>
          <w:sz w:val="24"/>
          <w:szCs w:val="24"/>
          <w:u w:val="none" w:color="auto"/>
          <w:lang w:eastAsia="zh-CN"/>
        </w:rPr>
        <w:t>；</w:t>
      </w:r>
    </w:p>
    <w:p>
      <w:pPr>
        <w:pStyle w:val="210"/>
        <w:numPr>
          <w:ilvl w:val="0"/>
          <w:numId w:val="51"/>
        </w:numPr>
        <w:tabs>
          <w:tab w:val="left" w:pos="900"/>
        </w:tabs>
        <w:spacing w:line="360" w:lineRule="auto"/>
        <w:ind w:left="0" w:firstLine="480"/>
        <w:rPr>
          <w:rFonts w:cs="Times New Roman"/>
          <w:color w:val="auto"/>
          <w:szCs w:val="24"/>
          <w:u w:val="none" w:color="auto"/>
        </w:rPr>
      </w:pPr>
      <w:r>
        <w:rPr>
          <w:rFonts w:hint="eastAsia" w:cs="Times New Roman"/>
          <w:color w:val="auto"/>
          <w:szCs w:val="24"/>
          <w:u w:val="none" w:color="auto"/>
        </w:rPr>
        <w:t>《建设项目使用林地审核审批管理办法》（</w:t>
      </w:r>
      <w:r>
        <w:rPr>
          <w:rFonts w:cs="Times New Roman"/>
          <w:color w:val="auto"/>
          <w:szCs w:val="24"/>
          <w:u w:val="none" w:color="auto"/>
        </w:rPr>
        <w:t>2015</w:t>
      </w:r>
      <w:r>
        <w:rPr>
          <w:rFonts w:hint="eastAsia" w:cs="Times New Roman"/>
          <w:color w:val="auto"/>
          <w:szCs w:val="24"/>
          <w:u w:val="none" w:color="auto"/>
        </w:rPr>
        <w:t>年</w:t>
      </w:r>
      <w:r>
        <w:rPr>
          <w:rFonts w:cs="Times New Roman"/>
          <w:color w:val="auto"/>
          <w:szCs w:val="24"/>
          <w:u w:val="none" w:color="auto"/>
        </w:rPr>
        <w:t>5</w:t>
      </w:r>
      <w:r>
        <w:rPr>
          <w:rFonts w:hint="eastAsia" w:cs="Times New Roman"/>
          <w:color w:val="auto"/>
          <w:szCs w:val="24"/>
          <w:u w:val="none" w:color="auto"/>
        </w:rPr>
        <w:t>月</w:t>
      </w:r>
      <w:r>
        <w:rPr>
          <w:rFonts w:cs="Times New Roman"/>
          <w:color w:val="auto"/>
          <w:szCs w:val="24"/>
          <w:u w:val="none" w:color="auto"/>
        </w:rPr>
        <w:t>1</w:t>
      </w:r>
      <w:r>
        <w:rPr>
          <w:rFonts w:hint="eastAsia" w:cs="Times New Roman"/>
          <w:color w:val="auto"/>
          <w:szCs w:val="24"/>
          <w:u w:val="none" w:color="auto"/>
        </w:rPr>
        <w:t>日实施）；</w:t>
      </w:r>
    </w:p>
    <w:p>
      <w:pPr>
        <w:pStyle w:val="210"/>
        <w:numPr>
          <w:ilvl w:val="0"/>
          <w:numId w:val="51"/>
        </w:numPr>
        <w:tabs>
          <w:tab w:val="left" w:pos="900"/>
        </w:tabs>
        <w:spacing w:line="360" w:lineRule="auto"/>
        <w:ind w:left="0" w:firstLine="480"/>
        <w:rPr>
          <w:rFonts w:cs="Times New Roman"/>
          <w:color w:val="auto"/>
          <w:szCs w:val="24"/>
          <w:u w:val="none" w:color="auto"/>
        </w:rPr>
      </w:pPr>
      <w:r>
        <w:rPr>
          <w:rFonts w:hint="eastAsia" w:cs="Times New Roman"/>
          <w:color w:val="auto"/>
          <w:szCs w:val="24"/>
          <w:u w:val="none" w:color="auto"/>
        </w:rPr>
        <w:t>《全国生态功能区划》（修编）（</w:t>
      </w:r>
      <w:r>
        <w:rPr>
          <w:rFonts w:cs="Times New Roman"/>
          <w:color w:val="auto"/>
          <w:szCs w:val="24"/>
          <w:u w:val="none" w:color="auto"/>
        </w:rPr>
        <w:t>2015</w:t>
      </w:r>
      <w:r>
        <w:rPr>
          <w:rFonts w:hint="eastAsia" w:cs="Times New Roman"/>
          <w:color w:val="auto"/>
          <w:szCs w:val="24"/>
          <w:u w:val="none" w:color="auto"/>
        </w:rPr>
        <w:t>年</w:t>
      </w:r>
      <w:r>
        <w:rPr>
          <w:rFonts w:cs="Times New Roman"/>
          <w:color w:val="auto"/>
          <w:szCs w:val="24"/>
          <w:u w:val="none" w:color="auto"/>
        </w:rPr>
        <w:t>11</w:t>
      </w:r>
      <w:r>
        <w:rPr>
          <w:rFonts w:hint="eastAsia" w:cs="Times New Roman"/>
          <w:color w:val="auto"/>
          <w:szCs w:val="24"/>
          <w:u w:val="none" w:color="auto"/>
        </w:rPr>
        <w:t>月）；</w:t>
      </w:r>
    </w:p>
    <w:p>
      <w:pPr>
        <w:pStyle w:val="210"/>
        <w:numPr>
          <w:ilvl w:val="0"/>
          <w:numId w:val="51"/>
        </w:numPr>
        <w:tabs>
          <w:tab w:val="left" w:pos="900"/>
        </w:tabs>
        <w:spacing w:line="360" w:lineRule="auto"/>
        <w:ind w:left="0" w:firstLine="480"/>
        <w:rPr>
          <w:rFonts w:cs="Times New Roman"/>
          <w:color w:val="auto"/>
          <w:szCs w:val="24"/>
          <w:u w:val="none" w:color="auto"/>
        </w:rPr>
      </w:pPr>
      <w:r>
        <w:rPr>
          <w:rFonts w:ascii="Times New Roman" w:hAnsi="宋体" w:eastAsia="宋体" w:cs="Times New Roman"/>
          <w:color w:val="auto"/>
          <w:sz w:val="24"/>
          <w:szCs w:val="24"/>
          <w:u w:val="none" w:color="auto"/>
        </w:rPr>
        <w:t>《关于规范风电场项目建设使用林地的通知》（林资发[2019]17号）；</w:t>
      </w:r>
    </w:p>
    <w:p>
      <w:pPr>
        <w:pStyle w:val="210"/>
        <w:numPr>
          <w:ilvl w:val="0"/>
          <w:numId w:val="51"/>
        </w:numPr>
        <w:tabs>
          <w:tab w:val="left" w:pos="900"/>
        </w:tabs>
        <w:spacing w:line="360" w:lineRule="auto"/>
        <w:ind w:left="0" w:firstLine="480"/>
        <w:rPr>
          <w:rFonts w:cs="Times New Roman"/>
          <w:color w:val="auto"/>
          <w:szCs w:val="24"/>
          <w:u w:val="none" w:color="auto"/>
        </w:rPr>
      </w:pPr>
      <w:r>
        <w:rPr>
          <w:rFonts w:ascii="Times New Roman" w:hAnsi="Times New Roman" w:eastAsia="宋体" w:cs="Times New Roman"/>
          <w:caps w:val="0"/>
          <w:smallCaps w:val="0"/>
          <w:snapToGrid/>
          <w:color w:val="auto"/>
          <w:spacing w:val="0"/>
          <w:kern w:val="0"/>
          <w:highlight w:val="none"/>
          <w:u w:val="none" w:color="auto"/>
        </w:rPr>
        <w:t>《建设项目使用林地审核审批管理办法》（2015年5月1日实施）；</w:t>
      </w:r>
    </w:p>
    <w:p>
      <w:pPr>
        <w:pStyle w:val="210"/>
        <w:numPr>
          <w:ilvl w:val="0"/>
          <w:numId w:val="51"/>
        </w:numPr>
        <w:tabs>
          <w:tab w:val="left" w:pos="900"/>
        </w:tabs>
        <w:spacing w:line="360" w:lineRule="auto"/>
        <w:ind w:left="0" w:firstLine="480"/>
        <w:rPr>
          <w:rFonts w:cs="Times New Roman"/>
          <w:color w:val="auto"/>
          <w:szCs w:val="24"/>
          <w:u w:val="none" w:color="auto"/>
        </w:rPr>
      </w:pPr>
      <w:r>
        <w:rPr>
          <w:rFonts w:hint="eastAsia" w:cs="Times New Roman"/>
          <w:color w:val="auto"/>
          <w:szCs w:val="24"/>
          <w:u w:val="none" w:color="auto"/>
        </w:rPr>
        <w:t>《饮用水水源保护区污染防治管理规定》 ，环境保护部令第 16 号，2010 年12月22日修订；</w:t>
      </w:r>
    </w:p>
    <w:p>
      <w:pPr>
        <w:pStyle w:val="210"/>
        <w:numPr>
          <w:ilvl w:val="0"/>
          <w:numId w:val="51"/>
        </w:numPr>
        <w:tabs>
          <w:tab w:val="left" w:pos="900"/>
        </w:tabs>
        <w:spacing w:line="360" w:lineRule="auto"/>
        <w:ind w:left="0" w:firstLine="480"/>
        <w:rPr>
          <w:rFonts w:cs="Times New Roman"/>
          <w:color w:val="auto"/>
          <w:szCs w:val="24"/>
          <w:u w:val="none" w:color="auto"/>
        </w:rPr>
      </w:pPr>
      <w:r>
        <w:rPr>
          <w:rFonts w:hint="default" w:ascii="Times New Roman" w:hAnsi="Times New Roman" w:cs="Times New Roman"/>
          <w:color w:val="auto"/>
          <w:u w:val="none"/>
        </w:rPr>
        <w:t>《长江经济带发展负面清单指南（试行</w:t>
      </w:r>
      <w:r>
        <w:rPr>
          <w:rFonts w:hint="eastAsia" w:cs="Times New Roman"/>
          <w:color w:val="auto"/>
          <w:u w:val="none"/>
          <w:lang w:eastAsia="zh-CN"/>
        </w:rPr>
        <w:t>，</w:t>
      </w:r>
      <w:r>
        <w:rPr>
          <w:rFonts w:hint="eastAsia" w:cs="Times New Roman"/>
          <w:color w:val="auto"/>
          <w:u w:val="none"/>
          <w:lang w:val="en-US" w:eastAsia="zh-CN"/>
        </w:rPr>
        <w:t>2022年版</w:t>
      </w:r>
      <w:r>
        <w:rPr>
          <w:rFonts w:hint="default" w:ascii="Times New Roman" w:hAnsi="Times New Roman" w:cs="Times New Roman"/>
          <w:color w:val="auto"/>
          <w:u w:val="none"/>
        </w:rPr>
        <w:t>）》</w:t>
      </w:r>
      <w:r>
        <w:rPr>
          <w:rFonts w:hint="eastAsia" w:ascii="Times New Roman" w:hAnsi="Times New Roman" w:cs="Times New Roman"/>
          <w:color w:val="auto"/>
          <w:u w:val="none"/>
          <w:lang w:eastAsia="zh-CN"/>
        </w:rPr>
        <w:t>；</w:t>
      </w:r>
    </w:p>
    <w:p>
      <w:pPr>
        <w:pStyle w:val="210"/>
        <w:numPr>
          <w:ilvl w:val="0"/>
          <w:numId w:val="51"/>
        </w:numPr>
        <w:tabs>
          <w:tab w:val="left" w:pos="900"/>
        </w:tabs>
        <w:spacing w:line="360" w:lineRule="auto"/>
        <w:ind w:left="0" w:firstLine="480"/>
        <w:rPr>
          <w:rFonts w:cs="Times New Roman"/>
          <w:color w:val="auto"/>
          <w:szCs w:val="24"/>
          <w:u w:val="none" w:color="auto"/>
        </w:rPr>
      </w:pPr>
      <w:r>
        <w:rPr>
          <w:rFonts w:hint="eastAsia" w:cs="Times New Roman"/>
          <w:color w:val="auto"/>
          <w:szCs w:val="24"/>
          <w:u w:val="none" w:color="auto"/>
        </w:rPr>
        <w:t>《关于实施“三线一单”生态环境分区管控的指导意见（试行）》（环环评〔2021〕108号）</w:t>
      </w:r>
      <w:r>
        <w:rPr>
          <w:rFonts w:hint="eastAsia" w:cs="Times New Roman"/>
          <w:color w:val="auto"/>
          <w:szCs w:val="24"/>
          <w:u w:val="none" w:color="auto"/>
          <w:lang w:eastAsia="zh-CN"/>
        </w:rPr>
        <w:t>；</w:t>
      </w:r>
    </w:p>
    <w:p>
      <w:pPr>
        <w:pStyle w:val="210"/>
        <w:numPr>
          <w:ilvl w:val="0"/>
          <w:numId w:val="51"/>
        </w:numPr>
        <w:tabs>
          <w:tab w:val="left" w:pos="900"/>
        </w:tabs>
        <w:spacing w:line="360" w:lineRule="auto"/>
        <w:ind w:left="0" w:firstLine="480"/>
        <w:rPr>
          <w:rFonts w:cs="Times New Roman"/>
          <w:color w:val="auto"/>
          <w:szCs w:val="24"/>
          <w:u w:val="none" w:color="auto"/>
        </w:rPr>
      </w:pPr>
      <w:r>
        <w:rPr>
          <w:rFonts w:hint="eastAsia" w:cs="Times New Roman"/>
          <w:color w:val="auto"/>
          <w:szCs w:val="24"/>
          <w:u w:val="none" w:color="auto"/>
        </w:rPr>
        <w:t>《关于以改善环境质量为核心加强环境影响评价管理的通知》，环环评[2016]150号；</w:t>
      </w:r>
    </w:p>
    <w:p>
      <w:pPr>
        <w:pStyle w:val="210"/>
        <w:numPr>
          <w:ilvl w:val="0"/>
          <w:numId w:val="51"/>
        </w:numPr>
        <w:tabs>
          <w:tab w:val="left" w:pos="900"/>
        </w:tabs>
        <w:spacing w:line="360" w:lineRule="auto"/>
        <w:ind w:left="0" w:firstLine="480"/>
        <w:rPr>
          <w:rFonts w:cs="Times New Roman"/>
          <w:color w:val="auto"/>
          <w:szCs w:val="24"/>
          <w:u w:val="none" w:color="auto"/>
        </w:rPr>
      </w:pPr>
      <w:r>
        <w:rPr>
          <w:rFonts w:hint="eastAsia" w:cs="Times New Roman"/>
          <w:color w:val="auto"/>
          <w:szCs w:val="24"/>
          <w:u w:val="none" w:color="auto"/>
        </w:rPr>
        <w:t>《中共中央办公厅　国务院办公厅关于加强生态环境分区管控的意见》，2024.3；</w:t>
      </w:r>
    </w:p>
    <w:p>
      <w:pPr>
        <w:pStyle w:val="458"/>
        <w:ind w:firstLine="602"/>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地方法规和环境保护文件</w:t>
      </w:r>
    </w:p>
    <w:p>
      <w:pPr>
        <w:pStyle w:val="210"/>
        <w:numPr>
          <w:ilvl w:val="0"/>
          <w:numId w:val="52"/>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《湖南省环境保护条例》（</w:t>
      </w:r>
      <w:r>
        <w:rPr>
          <w:rFonts w:hint="default" w:ascii="Times New Roman" w:hAnsi="Times New Roman" w:cs="Times New Roman"/>
          <w:color w:val="auto"/>
          <w:u w:val="none"/>
        </w:rPr>
        <w:t>2024年11月29日修</w:t>
      </w:r>
      <w:r>
        <w:rPr>
          <w:rFonts w:hint="eastAsia" w:cs="Times New Roman"/>
          <w:color w:val="auto"/>
          <w:u w:val="none"/>
          <w:lang w:val="en-US" w:eastAsia="zh-CN"/>
        </w:rPr>
        <w:t>正</w:t>
      </w:r>
      <w:r>
        <w:rPr>
          <w:color w:val="000000" w:themeColor="text1"/>
          <w:u w:val="none" w:color="auto"/>
          <w14:textFill>
            <w14:solidFill>
              <w14:schemeClr w14:val="tx1"/>
            </w14:solidFill>
          </w14:textFill>
        </w:rPr>
        <w:t>）；</w:t>
      </w:r>
    </w:p>
    <w:p>
      <w:pPr>
        <w:pStyle w:val="210"/>
        <w:numPr>
          <w:ilvl w:val="0"/>
          <w:numId w:val="52"/>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《湖南省生态文明体制改革实施方案（2014-2020 年）》（湘办发〔2015〕15 号）；</w:t>
      </w:r>
    </w:p>
    <w:p>
      <w:pPr>
        <w:pStyle w:val="210"/>
        <w:numPr>
          <w:ilvl w:val="0"/>
          <w:numId w:val="52"/>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《湖南省人民政府关于实施“三线一单”生态环境分区管控的意见》（湘政发〔2020〕12号）；</w:t>
      </w:r>
    </w:p>
    <w:p>
      <w:pPr>
        <w:pStyle w:val="210"/>
        <w:numPr>
          <w:ilvl w:val="0"/>
          <w:numId w:val="52"/>
        </w:numPr>
        <w:tabs>
          <w:tab w:val="left" w:pos="900"/>
        </w:tabs>
        <w:spacing w:line="360" w:lineRule="auto"/>
        <w:ind w:left="0" w:firstLine="480"/>
        <w:rPr>
          <w:color w:val="000000" w:themeColor="text1"/>
          <w:u w:val="none" w:color="auto"/>
          <w14:textFill>
            <w14:solidFill>
              <w14:schemeClr w14:val="tx1"/>
            </w14:solidFill>
          </w14:textFill>
        </w:rPr>
      </w:pPr>
      <w:r>
        <w:rPr>
          <w:u w:val="none" w:color="auto"/>
        </w:rPr>
        <w:t>《</w:t>
      </w:r>
      <w:r>
        <w:rPr>
          <w:rFonts w:hint="eastAsia"/>
          <w:u w:val="none" w:color="auto"/>
        </w:rPr>
        <w:t>湖南省“十四五”生态环境保护规划</w:t>
      </w:r>
      <w:r>
        <w:rPr>
          <w:u w:val="none" w:color="auto"/>
        </w:rPr>
        <w:t>》，</w:t>
      </w:r>
      <w:r>
        <w:rPr>
          <w:rFonts w:hint="eastAsia"/>
          <w:u w:val="none" w:color="auto"/>
        </w:rPr>
        <w:t>湘政办发〔2021〕61号</w:t>
      </w:r>
    </w:p>
    <w:p>
      <w:pPr>
        <w:pStyle w:val="210"/>
        <w:numPr>
          <w:ilvl w:val="0"/>
          <w:numId w:val="52"/>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《湖南省大气污染防治条例》（2017年6月1日</w:t>
      </w:r>
      <w:r>
        <w:rPr>
          <w:rFonts w:hint="eastAsia"/>
          <w:color w:val="000000" w:themeColor="text1"/>
          <w:u w:val="none" w:color="auto"/>
          <w:lang w:eastAsia="zh-CN"/>
          <w14:textFill>
            <w14:solidFill>
              <w14:schemeClr w14:val="tx1"/>
            </w14:solidFill>
          </w14:textFill>
        </w:rPr>
        <w:t>施行</w:t>
      </w:r>
      <w:r>
        <w:rPr>
          <w:color w:val="000000" w:themeColor="text1"/>
          <w:u w:val="none" w:color="auto"/>
          <w14:textFill>
            <w14:solidFill>
              <w14:schemeClr w14:val="tx1"/>
            </w14:solidFill>
          </w14:textFill>
        </w:rPr>
        <w:t>）；</w:t>
      </w:r>
    </w:p>
    <w:p>
      <w:pPr>
        <w:pStyle w:val="210"/>
        <w:numPr>
          <w:ilvl w:val="0"/>
          <w:numId w:val="52"/>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《湖南省主要水系地表水环境功能区划》（DB43/023-2005）；</w:t>
      </w:r>
    </w:p>
    <w:p>
      <w:pPr>
        <w:pStyle w:val="210"/>
        <w:numPr>
          <w:ilvl w:val="0"/>
          <w:numId w:val="52"/>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《湖南省主体功能区规划》（湖南省政府办公厅湘政发〔2012〕39号）；</w:t>
      </w:r>
    </w:p>
    <w:p>
      <w:pPr>
        <w:pStyle w:val="210"/>
        <w:numPr>
          <w:ilvl w:val="0"/>
          <w:numId w:val="52"/>
        </w:numPr>
        <w:tabs>
          <w:tab w:val="left" w:pos="480"/>
          <w:tab w:val="left" w:pos="900"/>
        </w:tabs>
        <w:spacing w:line="360" w:lineRule="auto"/>
        <w:ind w:left="0" w:firstLine="480"/>
        <w:rPr>
          <w:color w:val="000000" w:themeColor="text1"/>
          <w:u w:val="none" w:color="auto"/>
          <w14:textFill>
            <w14:solidFill>
              <w14:schemeClr w14:val="tx1"/>
            </w14:solidFill>
          </w14:textFill>
        </w:rPr>
      </w:pPr>
      <w:r>
        <w:rPr>
          <w:rFonts w:hint="eastAsia"/>
          <w:color w:val="000000" w:themeColor="text1"/>
          <w:u w:val="none" w:color="auto"/>
          <w:lang w:eastAsia="zh-CN"/>
          <w14:textFill>
            <w14:solidFill>
              <w14:schemeClr w14:val="tx1"/>
            </w14:solidFill>
          </w14:textFill>
        </w:rPr>
        <w:t>《湖南省饮用水水源保护条例》（</w:t>
      </w:r>
      <w:r>
        <w:rPr>
          <w:rFonts w:hint="eastAsia"/>
          <w:color w:val="000000" w:themeColor="text1"/>
          <w:u w:val="none" w:color="auto"/>
          <w14:textFill>
            <w14:solidFill>
              <w14:schemeClr w14:val="tx1"/>
            </w14:solidFill>
          </w14:textFill>
        </w:rPr>
        <w:t>20</w:t>
      </w:r>
      <w:r>
        <w:rPr>
          <w:rFonts w:hint="eastAsia"/>
          <w:color w:val="000000" w:themeColor="text1"/>
          <w:u w:val="none" w:color="auto"/>
          <w:lang w:val="en-US" w:eastAsia="zh-CN"/>
          <w14:textFill>
            <w14:solidFill>
              <w14:schemeClr w14:val="tx1"/>
            </w14:solidFill>
          </w14:textFill>
        </w:rPr>
        <w:t>18</w:t>
      </w:r>
      <w:r>
        <w:rPr>
          <w:rFonts w:hint="eastAsia"/>
          <w:color w:val="000000" w:themeColor="text1"/>
          <w:u w:val="none" w:color="auto"/>
          <w14:textFill>
            <w14:solidFill>
              <w14:schemeClr w14:val="tx1"/>
            </w14:solidFill>
          </w14:textFill>
        </w:rPr>
        <w:t>年1月</w:t>
      </w:r>
      <w:r>
        <w:rPr>
          <w:rFonts w:hint="eastAsia"/>
          <w:color w:val="000000" w:themeColor="text1"/>
          <w:u w:val="none" w:color="auto"/>
          <w:lang w:val="en-US" w:eastAsia="zh-CN"/>
          <w14:textFill>
            <w14:solidFill>
              <w14:schemeClr w14:val="tx1"/>
            </w14:solidFill>
          </w14:textFill>
        </w:rPr>
        <w:t>1</w:t>
      </w:r>
      <w:r>
        <w:rPr>
          <w:rFonts w:hint="eastAsia"/>
          <w:color w:val="000000" w:themeColor="text1"/>
          <w:u w:val="none" w:color="auto"/>
          <w14:textFill>
            <w14:solidFill>
              <w14:schemeClr w14:val="tx1"/>
            </w14:solidFill>
          </w14:textFill>
        </w:rPr>
        <w:t>日</w:t>
      </w:r>
      <w:r>
        <w:rPr>
          <w:rFonts w:hint="eastAsia"/>
          <w:color w:val="000000" w:themeColor="text1"/>
          <w:u w:val="none" w:color="auto"/>
          <w:lang w:eastAsia="zh-CN"/>
          <w14:textFill>
            <w14:solidFill>
              <w14:schemeClr w14:val="tx1"/>
            </w14:solidFill>
          </w14:textFill>
        </w:rPr>
        <w:t>施行）；</w:t>
      </w:r>
    </w:p>
    <w:p>
      <w:pPr>
        <w:pStyle w:val="210"/>
        <w:numPr>
          <w:ilvl w:val="0"/>
          <w:numId w:val="52"/>
        </w:numPr>
        <w:tabs>
          <w:tab w:val="left" w:pos="480"/>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w:t>
      </w:r>
      <w:r>
        <w:rPr>
          <w:rFonts w:hint="eastAsia"/>
          <w:color w:val="000000" w:themeColor="text1"/>
          <w:u w:val="none" w:color="auto"/>
          <w:lang w:eastAsia="zh-CN"/>
          <w14:textFill>
            <w14:solidFill>
              <w14:schemeClr w14:val="tx1"/>
            </w14:solidFill>
          </w14:textFill>
        </w:rPr>
        <w:t>永州市人民政府关于公布永州市乡镇级以下千人以上集中式饮用水水源保护区划定方案的通知</w:t>
      </w:r>
      <w:r>
        <w:rPr>
          <w:color w:val="000000" w:themeColor="text1"/>
          <w:u w:val="none" w:color="auto"/>
          <w14:textFill>
            <w14:solidFill>
              <w14:schemeClr w14:val="tx1"/>
            </w14:solidFill>
          </w14:textFill>
        </w:rPr>
        <w:t>》（</w:t>
      </w:r>
      <w:r>
        <w:rPr>
          <w:rFonts w:hint="eastAsia"/>
          <w:color w:val="000000" w:themeColor="text1"/>
          <w:u w:val="none" w:color="auto"/>
          <w:lang w:eastAsia="zh-CN"/>
          <w14:textFill>
            <w14:solidFill>
              <w14:schemeClr w14:val="tx1"/>
            </w14:solidFill>
          </w14:textFill>
        </w:rPr>
        <w:t>永</w:t>
      </w:r>
      <w:r>
        <w:rPr>
          <w:color w:val="000000" w:themeColor="text1"/>
          <w:u w:val="none" w:color="auto"/>
          <w14:textFill>
            <w14:solidFill>
              <w14:schemeClr w14:val="tx1"/>
            </w14:solidFill>
          </w14:textFill>
        </w:rPr>
        <w:t>政函〔20</w:t>
      </w:r>
      <w:r>
        <w:rPr>
          <w:rFonts w:hint="eastAsia"/>
          <w:color w:val="000000" w:themeColor="text1"/>
          <w:u w:val="none" w:color="auto"/>
          <w:lang w:val="en-US" w:eastAsia="zh-CN"/>
          <w14:textFill>
            <w14:solidFill>
              <w14:schemeClr w14:val="tx1"/>
            </w14:solidFill>
          </w14:textFill>
        </w:rPr>
        <w:t>20</w:t>
      </w:r>
      <w:r>
        <w:rPr>
          <w:color w:val="000000" w:themeColor="text1"/>
          <w:u w:val="none" w:color="auto"/>
          <w14:textFill>
            <w14:solidFill>
              <w14:schemeClr w14:val="tx1"/>
            </w14:solidFill>
          </w14:textFill>
        </w:rPr>
        <w:t>〕</w:t>
      </w:r>
      <w:r>
        <w:rPr>
          <w:rFonts w:hint="eastAsia"/>
          <w:color w:val="000000" w:themeColor="text1"/>
          <w:u w:val="none" w:color="auto"/>
          <w:lang w:val="en-US" w:eastAsia="zh-CN"/>
          <w14:textFill>
            <w14:solidFill>
              <w14:schemeClr w14:val="tx1"/>
            </w14:solidFill>
          </w14:textFill>
        </w:rPr>
        <w:t>32</w:t>
      </w:r>
      <w:r>
        <w:rPr>
          <w:color w:val="000000" w:themeColor="text1"/>
          <w:u w:val="none" w:color="auto"/>
          <w14:textFill>
            <w14:solidFill>
              <w14:schemeClr w14:val="tx1"/>
            </w14:solidFill>
          </w14:textFill>
        </w:rPr>
        <w:t>号）；</w:t>
      </w:r>
    </w:p>
    <w:p>
      <w:pPr>
        <w:pStyle w:val="210"/>
        <w:numPr>
          <w:ilvl w:val="0"/>
          <w:numId w:val="52"/>
        </w:numPr>
        <w:tabs>
          <w:tab w:val="left" w:pos="480"/>
          <w:tab w:val="left" w:pos="900"/>
        </w:tabs>
        <w:spacing w:line="360" w:lineRule="auto"/>
        <w:ind w:left="0" w:firstLine="480"/>
        <w:rPr>
          <w:rFonts w:hint="eastAsia"/>
          <w:color w:val="000000" w:themeColor="text1"/>
          <w:u w:val="none" w:color="auto"/>
          <w:lang w:eastAsia="zh-CN"/>
          <w14:textFill>
            <w14:solidFill>
              <w14:schemeClr w14:val="tx1"/>
            </w14:solidFill>
          </w14:textFill>
        </w:rPr>
      </w:pPr>
      <w:r>
        <w:rPr>
          <w:rFonts w:hint="eastAsia"/>
          <w:color w:val="000000" w:themeColor="text1"/>
          <w:u w:val="none" w:color="auto"/>
          <w:lang w:eastAsia="zh-CN"/>
          <w14:textFill>
            <w14:solidFill>
              <w14:schemeClr w14:val="tx1"/>
            </w14:solidFill>
          </w14:textFill>
        </w:rPr>
        <w:t>《永州市饮用水水源地保护规定》（2021年3月22日施行）；</w:t>
      </w:r>
    </w:p>
    <w:p>
      <w:pPr>
        <w:pStyle w:val="210"/>
        <w:numPr>
          <w:ilvl w:val="0"/>
          <w:numId w:val="52"/>
        </w:numPr>
        <w:tabs>
          <w:tab w:val="left" w:pos="480"/>
          <w:tab w:val="left" w:pos="900"/>
        </w:tabs>
        <w:spacing w:line="360" w:lineRule="auto"/>
        <w:ind w:left="0" w:firstLine="480"/>
        <w:rPr>
          <w:rFonts w:hint="eastAsia"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《湖南省野生动植物资源保护条例》（第四次修订）（2018年7月）；</w:t>
      </w:r>
    </w:p>
    <w:p>
      <w:pPr>
        <w:pStyle w:val="210"/>
        <w:numPr>
          <w:ilvl w:val="0"/>
          <w:numId w:val="52"/>
        </w:numPr>
        <w:tabs>
          <w:tab w:val="left" w:pos="480"/>
          <w:tab w:val="left" w:pos="900"/>
        </w:tabs>
        <w:spacing w:line="360" w:lineRule="auto"/>
        <w:ind w:left="0" w:firstLine="480"/>
        <w:rPr>
          <w:rFonts w:hint="eastAsia"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《湖南省实施〈中华人民共和国水土保持法〉办法》（2018年7月）；</w:t>
      </w:r>
    </w:p>
    <w:p>
      <w:pPr>
        <w:pStyle w:val="210"/>
        <w:numPr>
          <w:ilvl w:val="0"/>
          <w:numId w:val="52"/>
        </w:numPr>
        <w:tabs>
          <w:tab w:val="left" w:pos="480"/>
          <w:tab w:val="left" w:pos="900"/>
        </w:tabs>
        <w:spacing w:line="360" w:lineRule="auto"/>
        <w:ind w:left="0" w:firstLine="480"/>
        <w:rPr>
          <w:rFonts w:hint="eastAsia"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《湖南省发展和改革委员会、湖南省环境保护厅关于进一步规范风电发展的通知（湘发改能源[2016]822号）》（2016年10月）；</w:t>
      </w:r>
    </w:p>
    <w:p>
      <w:pPr>
        <w:pStyle w:val="210"/>
        <w:numPr>
          <w:ilvl w:val="0"/>
          <w:numId w:val="52"/>
        </w:numPr>
        <w:tabs>
          <w:tab w:val="left" w:pos="480"/>
          <w:tab w:val="left" w:pos="900"/>
        </w:tabs>
        <w:spacing w:line="360" w:lineRule="auto"/>
        <w:ind w:left="0" w:firstLine="480"/>
        <w:rPr>
          <w:rFonts w:hint="eastAsia"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《湖南省林业厅关于进一步加强风电建设项目使用林地管理的通知》（湘林政[2018]5号）。</w:t>
      </w:r>
    </w:p>
    <w:p>
      <w:pPr>
        <w:pStyle w:val="210"/>
        <w:numPr>
          <w:ilvl w:val="0"/>
          <w:numId w:val="52"/>
        </w:numPr>
        <w:tabs>
          <w:tab w:val="left" w:pos="480"/>
          <w:tab w:val="left" w:pos="900"/>
        </w:tabs>
        <w:spacing w:line="360" w:lineRule="auto"/>
        <w:ind w:left="0" w:firstLine="480"/>
        <w:rPr>
          <w:color w:val="000000" w:themeColor="text1"/>
          <w:u w:val="none" w:color="auto"/>
          <w14:textFill>
            <w14:solidFill>
              <w14:schemeClr w14:val="tx1"/>
            </w14:solidFill>
          </w14:textFill>
        </w:rPr>
      </w:pPr>
      <w:r>
        <w:rPr>
          <w:rFonts w:hint="eastAsia"/>
          <w:color w:val="000000" w:themeColor="text1"/>
          <w:u w:val="none" w:color="auto"/>
          <w:lang w:val="en-US" w:eastAsia="zh-CN"/>
          <w14:textFill>
            <w14:solidFill>
              <w14:schemeClr w14:val="tx1"/>
            </w14:solidFill>
          </w14:textFill>
        </w:rPr>
        <w:t>永州</w:t>
      </w:r>
      <w:r>
        <w:rPr>
          <w:rFonts w:hint="eastAsia"/>
          <w:color w:val="000000" w:themeColor="text1"/>
          <w:u w:val="none" w:color="auto"/>
          <w14:textFill>
            <w14:solidFill>
              <w14:schemeClr w14:val="tx1"/>
            </w14:solidFill>
          </w14:textFill>
        </w:rPr>
        <w:t>市生态环境局关于发布《</w:t>
      </w:r>
      <w:r>
        <w:rPr>
          <w:rFonts w:hint="eastAsia"/>
          <w:color w:val="000000" w:themeColor="text1"/>
          <w:u w:val="none" w:color="auto"/>
          <w:lang w:val="en-US" w:eastAsia="zh-CN"/>
          <w14:textFill>
            <w14:solidFill>
              <w14:schemeClr w14:val="tx1"/>
            </w14:solidFill>
          </w14:textFill>
        </w:rPr>
        <w:t>永州</w:t>
      </w:r>
      <w:r>
        <w:rPr>
          <w:rFonts w:hint="eastAsia"/>
          <w:color w:val="000000" w:themeColor="text1"/>
          <w:u w:val="none" w:color="auto"/>
          <w14:textFill>
            <w14:solidFill>
              <w14:schemeClr w14:val="tx1"/>
            </w14:solidFill>
          </w14:textFill>
        </w:rPr>
        <w:t>市生态环境分区管控动态更新成果（2023年版）》的通知，</w:t>
      </w:r>
      <w:r>
        <w:rPr>
          <w:rFonts w:hint="eastAsia"/>
          <w:color w:val="000000" w:themeColor="text1"/>
          <w:u w:val="none" w:color="auto"/>
          <w:lang w:val="en-US" w:eastAsia="zh-CN"/>
          <w14:textFill>
            <w14:solidFill>
              <w14:schemeClr w14:val="tx1"/>
            </w14:solidFill>
          </w14:textFill>
        </w:rPr>
        <w:t>永</w:t>
      </w:r>
      <w:r>
        <w:rPr>
          <w:rFonts w:hint="eastAsia"/>
          <w:color w:val="000000" w:themeColor="text1"/>
          <w:u w:val="none" w:color="auto"/>
          <w14:textFill>
            <w14:solidFill>
              <w14:schemeClr w14:val="tx1"/>
            </w14:solidFill>
          </w14:textFill>
        </w:rPr>
        <w:t>环发〔2024〕</w:t>
      </w:r>
      <w:r>
        <w:rPr>
          <w:rFonts w:hint="eastAsia"/>
          <w:color w:val="000000" w:themeColor="text1"/>
          <w:u w:val="none" w:color="auto"/>
          <w:lang w:val="en-US" w:eastAsia="zh-CN"/>
          <w14:textFill>
            <w14:solidFill>
              <w14:schemeClr w14:val="tx1"/>
            </w14:solidFill>
          </w14:textFill>
        </w:rPr>
        <w:t>31</w:t>
      </w:r>
      <w:r>
        <w:rPr>
          <w:rFonts w:hint="eastAsia"/>
          <w:color w:val="000000" w:themeColor="text1"/>
          <w:u w:val="none" w:color="auto"/>
          <w14:textFill>
            <w14:solidFill>
              <w14:schemeClr w14:val="tx1"/>
            </w14:solidFill>
          </w14:textFill>
        </w:rPr>
        <w:t>号；</w:t>
      </w:r>
    </w:p>
    <w:p>
      <w:pPr>
        <w:pStyle w:val="210"/>
        <w:numPr>
          <w:ilvl w:val="0"/>
          <w:numId w:val="52"/>
        </w:numPr>
        <w:tabs>
          <w:tab w:val="left" w:pos="480"/>
          <w:tab w:val="left" w:pos="900"/>
        </w:tabs>
        <w:spacing w:line="360" w:lineRule="auto"/>
        <w:ind w:left="0" w:firstLine="480"/>
        <w:rPr>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《湖南省长江经济带发展负面清单指南》（试行，2022年版）</w:t>
      </w:r>
      <w:r>
        <w:rPr>
          <w:rFonts w:hint="eastAsia"/>
          <w:color w:val="000000" w:themeColor="text1"/>
          <w:u w:val="none" w:color="auto"/>
          <w:lang w:eastAsia="zh-CN"/>
          <w14:textFill>
            <w14:solidFill>
              <w14:schemeClr w14:val="tx1"/>
            </w14:solidFill>
          </w14:textFill>
        </w:rPr>
        <w:t>。</w:t>
      </w:r>
    </w:p>
    <w:p>
      <w:pPr>
        <w:pStyle w:val="210"/>
        <w:numPr>
          <w:ilvl w:val="0"/>
          <w:numId w:val="52"/>
        </w:numPr>
        <w:tabs>
          <w:tab w:val="left" w:pos="480"/>
          <w:tab w:val="left" w:pos="900"/>
        </w:tabs>
        <w:spacing w:line="360" w:lineRule="auto"/>
        <w:ind w:left="0" w:firstLine="480"/>
        <w:rPr>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湖南省生态环境厅《关于反馈2023年重点推进的风电和光伏发电项目意见的函》。</w:t>
      </w:r>
    </w:p>
    <w:p>
      <w:pPr>
        <w:pStyle w:val="458"/>
        <w:ind w:firstLine="602"/>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环境影响评价技术文件</w:t>
      </w:r>
    </w:p>
    <w:p>
      <w:pPr>
        <w:pStyle w:val="210"/>
        <w:numPr>
          <w:ilvl w:val="0"/>
          <w:numId w:val="53"/>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w:t>
      </w:r>
      <w:r>
        <w:rPr>
          <w:rFonts w:hint="eastAsia"/>
          <w:color w:val="000000" w:themeColor="text1"/>
          <w:u w:val="none" w:color="auto"/>
          <w:lang w:val="en-US" w:eastAsia="zh-CN"/>
          <w14:textFill>
            <w14:solidFill>
              <w14:schemeClr w14:val="tx1"/>
            </w14:solidFill>
          </w14:textFill>
        </w:rPr>
        <w:t>建设项目</w:t>
      </w:r>
      <w:r>
        <w:rPr>
          <w:color w:val="000000" w:themeColor="text1"/>
          <w:u w:val="none" w:color="auto"/>
          <w14:textFill>
            <w14:solidFill>
              <w14:schemeClr w14:val="tx1"/>
            </w14:solidFill>
          </w14:textFill>
        </w:rPr>
        <w:t>环境影响评价技术导则—总纲》（HJ 2.1-2016）；</w:t>
      </w:r>
    </w:p>
    <w:p>
      <w:pPr>
        <w:pStyle w:val="210"/>
        <w:numPr>
          <w:ilvl w:val="0"/>
          <w:numId w:val="53"/>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《环境影响评价技术导则—大气环境》（HJ 2.2-2018）；</w:t>
      </w:r>
    </w:p>
    <w:p>
      <w:pPr>
        <w:pStyle w:val="210"/>
        <w:numPr>
          <w:ilvl w:val="0"/>
          <w:numId w:val="53"/>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《环境影响评价技术导则—地表水环境》（HJ 2.3-2018）；</w:t>
      </w:r>
    </w:p>
    <w:p>
      <w:pPr>
        <w:pStyle w:val="210"/>
        <w:numPr>
          <w:ilvl w:val="0"/>
          <w:numId w:val="53"/>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《环境影响评价技术导则—地下水环境》（HJ 610-2016）；</w:t>
      </w:r>
    </w:p>
    <w:p>
      <w:pPr>
        <w:pStyle w:val="210"/>
        <w:numPr>
          <w:ilvl w:val="0"/>
          <w:numId w:val="53"/>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《环境影响评价技术导则—声环境》（HJ 2.4-2</w:t>
      </w:r>
      <w:r>
        <w:rPr>
          <w:rFonts w:hint="eastAsia"/>
          <w:color w:val="000000" w:themeColor="text1"/>
          <w:u w:val="none" w:color="auto"/>
          <w:lang w:val="en-US" w:eastAsia="zh-CN"/>
          <w14:textFill>
            <w14:solidFill>
              <w14:schemeClr w14:val="tx1"/>
            </w14:solidFill>
          </w14:textFill>
        </w:rPr>
        <w:t>021</w:t>
      </w:r>
      <w:r>
        <w:rPr>
          <w:color w:val="000000" w:themeColor="text1"/>
          <w:u w:val="none" w:color="auto"/>
          <w14:textFill>
            <w14:solidFill>
              <w14:schemeClr w14:val="tx1"/>
            </w14:solidFill>
          </w14:textFill>
        </w:rPr>
        <w:t>）；</w:t>
      </w:r>
    </w:p>
    <w:p>
      <w:pPr>
        <w:pStyle w:val="210"/>
        <w:numPr>
          <w:ilvl w:val="0"/>
          <w:numId w:val="53"/>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《环境影响评价技术导则—生态影响》（HJ 19-20</w:t>
      </w:r>
      <w:r>
        <w:rPr>
          <w:rFonts w:hint="eastAsia"/>
          <w:color w:val="000000" w:themeColor="text1"/>
          <w:u w:val="none" w:color="auto"/>
          <w:lang w:val="en-US" w:eastAsia="zh-CN"/>
          <w14:textFill>
            <w14:solidFill>
              <w14:schemeClr w14:val="tx1"/>
            </w14:solidFill>
          </w14:textFill>
        </w:rPr>
        <w:t>22</w:t>
      </w:r>
      <w:r>
        <w:rPr>
          <w:color w:val="000000" w:themeColor="text1"/>
          <w:u w:val="none" w:color="auto"/>
          <w14:textFill>
            <w14:solidFill>
              <w14:schemeClr w14:val="tx1"/>
            </w14:solidFill>
          </w14:textFill>
        </w:rPr>
        <w:t>）；</w:t>
      </w:r>
    </w:p>
    <w:p>
      <w:pPr>
        <w:pStyle w:val="210"/>
        <w:numPr>
          <w:ilvl w:val="0"/>
          <w:numId w:val="53"/>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《环境影响评价技术导则 土壤环境（试行）》（HJ 964-2018）；</w:t>
      </w:r>
    </w:p>
    <w:p>
      <w:pPr>
        <w:pStyle w:val="210"/>
        <w:numPr>
          <w:ilvl w:val="0"/>
          <w:numId w:val="53"/>
        </w:numPr>
        <w:tabs>
          <w:tab w:val="left" w:pos="900"/>
        </w:tabs>
        <w:spacing w:line="360" w:lineRule="auto"/>
        <w:ind w:left="0" w:firstLine="480"/>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《建设项目环境风险评价技术导则》（HJ 169-2018）；</w:t>
      </w:r>
    </w:p>
    <w:p>
      <w:pPr>
        <w:pStyle w:val="210"/>
        <w:numPr>
          <w:ilvl w:val="0"/>
          <w:numId w:val="53"/>
        </w:numPr>
        <w:tabs>
          <w:tab w:val="left" w:pos="900"/>
        </w:tabs>
        <w:spacing w:line="360" w:lineRule="auto"/>
        <w:ind w:left="0" w:firstLine="480"/>
        <w:rPr>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《环境影响评价技术导则 生物多样性影响》  (DB45/T 1577-2017) ；</w:t>
      </w:r>
    </w:p>
    <w:p>
      <w:pPr>
        <w:pStyle w:val="210"/>
        <w:numPr>
          <w:ilvl w:val="0"/>
          <w:numId w:val="53"/>
        </w:numPr>
        <w:tabs>
          <w:tab w:val="left" w:pos="900"/>
        </w:tabs>
        <w:spacing w:line="360" w:lineRule="auto"/>
        <w:ind w:left="0" w:firstLine="480"/>
        <w:rPr>
          <w:color w:val="000000" w:themeColor="text1"/>
          <w:highlight w:val="none"/>
          <w:u w:val="none" w:color="auto"/>
          <w14:textFill>
            <w14:solidFill>
              <w14:schemeClr w14:val="tx1"/>
            </w14:solidFill>
          </w14:textFill>
        </w:rPr>
      </w:pPr>
      <w:r>
        <w:rPr>
          <w:rFonts w:hint="eastAsia"/>
          <w:color w:val="000000" w:themeColor="text1"/>
          <w:highlight w:val="none"/>
          <w:u w:val="none" w:color="auto"/>
          <w14:textFill>
            <w14:solidFill>
              <w14:schemeClr w14:val="tx1"/>
            </w14:solidFill>
          </w14:textFill>
        </w:rPr>
        <w:t>《国家危险废物名录》(202</w:t>
      </w:r>
      <w:r>
        <w:rPr>
          <w:rFonts w:hint="eastAsia"/>
          <w:color w:val="000000" w:themeColor="text1"/>
          <w:highlight w:val="none"/>
          <w:u w:val="none" w:color="auto"/>
          <w:lang w:val="en-US" w:eastAsia="zh-CN"/>
          <w14:textFill>
            <w14:solidFill>
              <w14:schemeClr w14:val="tx1"/>
            </w14:solidFill>
          </w14:textFill>
        </w:rPr>
        <w:t>5</w:t>
      </w:r>
      <w:r>
        <w:rPr>
          <w:rFonts w:hint="eastAsia"/>
          <w:color w:val="000000" w:themeColor="text1"/>
          <w:highlight w:val="none"/>
          <w:u w:val="none" w:color="auto"/>
          <w14:textFill>
            <w14:solidFill>
              <w14:schemeClr w14:val="tx1"/>
            </w14:solidFill>
          </w14:textFill>
        </w:rPr>
        <w:t>年) ；</w:t>
      </w:r>
    </w:p>
    <w:p>
      <w:pPr>
        <w:pStyle w:val="210"/>
        <w:numPr>
          <w:ilvl w:val="0"/>
          <w:numId w:val="53"/>
        </w:numPr>
        <w:tabs>
          <w:tab w:val="left" w:pos="900"/>
        </w:tabs>
        <w:spacing w:line="360" w:lineRule="auto"/>
        <w:ind w:left="0" w:firstLine="480"/>
        <w:rPr>
          <w:color w:val="000000" w:themeColor="text1"/>
          <w:highlight w:val="none"/>
          <w:u w:val="none" w:color="auto"/>
          <w14:textFill>
            <w14:solidFill>
              <w14:schemeClr w14:val="tx1"/>
            </w14:solidFill>
          </w14:textFill>
        </w:rPr>
      </w:pPr>
      <w:r>
        <w:rPr>
          <w:rFonts w:hint="eastAsia"/>
          <w:color w:val="000000" w:themeColor="text1"/>
          <w:highlight w:val="none"/>
          <w:u w:val="none" w:color="auto"/>
          <w14:textFill>
            <w14:solidFill>
              <w14:schemeClr w14:val="tx1"/>
            </w14:solidFill>
          </w14:textFill>
        </w:rPr>
        <w:t>《声环境功能区划分技术规范》 (GB/T15190-2014) ；</w:t>
      </w:r>
    </w:p>
    <w:p>
      <w:pPr>
        <w:pStyle w:val="210"/>
        <w:numPr>
          <w:ilvl w:val="0"/>
          <w:numId w:val="53"/>
        </w:numPr>
        <w:tabs>
          <w:tab w:val="left" w:pos="900"/>
        </w:tabs>
        <w:spacing w:line="360" w:lineRule="auto"/>
        <w:ind w:left="0" w:firstLine="480"/>
        <w:rPr>
          <w:color w:val="000000" w:themeColor="text1"/>
          <w:highlight w:val="none"/>
          <w:u w:val="none" w:color="auto"/>
          <w14:textFill>
            <w14:solidFill>
              <w14:schemeClr w14:val="tx1"/>
            </w14:solidFill>
          </w14:textFill>
        </w:rPr>
      </w:pPr>
      <w:r>
        <w:rPr>
          <w:rFonts w:hint="eastAsia"/>
          <w:color w:val="000000" w:themeColor="text1"/>
          <w:highlight w:val="none"/>
          <w:u w:val="none" w:color="auto"/>
          <w14:textFill>
            <w14:solidFill>
              <w14:schemeClr w14:val="tx1"/>
            </w14:solidFill>
          </w14:textFill>
        </w:rPr>
        <w:t>《生物多样性观测技术导则  鸟类》  (HJ710.4-2014) 。</w:t>
      </w:r>
    </w:p>
    <w:p>
      <w:pPr>
        <w:pStyle w:val="458"/>
        <w:ind w:firstLine="602"/>
        <w:rPr>
          <w:color w:val="000000" w:themeColor="text1"/>
          <w:u w:val="none" w:color="auto"/>
          <w14:textFill>
            <w14:solidFill>
              <w14:schemeClr w14:val="tx1"/>
            </w14:solidFill>
          </w14:textFill>
        </w:rPr>
      </w:pPr>
      <w:r>
        <w:rPr>
          <w:rFonts w:hint="eastAsia"/>
          <w:color w:val="000000" w:themeColor="text1"/>
          <w:u w:val="none" w:color="auto"/>
          <w:lang w:eastAsia="zh-CN"/>
          <w14:textFill>
            <w14:solidFill>
              <w14:schemeClr w14:val="tx1"/>
            </w14:solidFill>
          </w14:textFill>
        </w:rPr>
        <w:t>相关技术文件</w:t>
      </w:r>
    </w:p>
    <w:p>
      <w:pPr>
        <w:pStyle w:val="210"/>
        <w:numPr>
          <w:ilvl w:val="0"/>
          <w:numId w:val="54"/>
        </w:numPr>
        <w:tabs>
          <w:tab w:val="left" w:pos="900"/>
        </w:tabs>
        <w:spacing w:line="360" w:lineRule="auto"/>
        <w:ind w:left="0" w:firstLine="480"/>
        <w:rPr>
          <w:bCs/>
          <w:szCs w:val="24"/>
          <w:u w:val="none" w:color="auto"/>
        </w:rPr>
      </w:pPr>
      <w:bookmarkStart w:id="15" w:name="_Toc439880007"/>
      <w:bookmarkStart w:id="16" w:name="_Toc16144483"/>
      <w:r>
        <w:rPr>
          <w:rFonts w:hint="eastAsia"/>
          <w:bCs/>
          <w:szCs w:val="24"/>
          <w:u w:val="none" w:color="auto"/>
        </w:rPr>
        <w:t>《</w:t>
      </w:r>
      <w:r>
        <w:rPr>
          <w:rFonts w:hint="eastAsia"/>
          <w:bCs/>
          <w:szCs w:val="24"/>
          <w:u w:val="none" w:color="auto"/>
          <w:lang w:eastAsia="zh-CN"/>
        </w:rPr>
        <w:t>湖南省永州市蓝山县大源风电场工程可行性研究报告</w:t>
      </w:r>
      <w:r>
        <w:rPr>
          <w:rFonts w:hint="eastAsia"/>
          <w:bCs/>
          <w:szCs w:val="24"/>
          <w:u w:val="none" w:color="auto"/>
        </w:rPr>
        <w:t>》（20</w:t>
      </w:r>
      <w:r>
        <w:rPr>
          <w:rFonts w:hint="eastAsia"/>
          <w:bCs/>
          <w:szCs w:val="24"/>
          <w:u w:val="none" w:color="auto"/>
          <w:lang w:val="en-US" w:eastAsia="zh-CN"/>
        </w:rPr>
        <w:t>23</w:t>
      </w:r>
      <w:r>
        <w:rPr>
          <w:rFonts w:hint="eastAsia"/>
          <w:bCs/>
          <w:szCs w:val="24"/>
          <w:u w:val="none" w:color="auto"/>
        </w:rPr>
        <w:t>年</w:t>
      </w:r>
      <w:r>
        <w:rPr>
          <w:rFonts w:hint="eastAsia"/>
          <w:bCs/>
          <w:szCs w:val="24"/>
          <w:u w:val="none" w:color="auto"/>
          <w:lang w:val="en-US" w:eastAsia="zh-CN"/>
        </w:rPr>
        <w:t>11</w:t>
      </w:r>
      <w:r>
        <w:rPr>
          <w:rFonts w:hint="eastAsia"/>
          <w:bCs/>
          <w:szCs w:val="24"/>
          <w:u w:val="none" w:color="auto"/>
        </w:rPr>
        <w:t>月）</w:t>
      </w:r>
    </w:p>
    <w:p>
      <w:pPr>
        <w:pStyle w:val="210"/>
        <w:numPr>
          <w:ilvl w:val="0"/>
          <w:numId w:val="54"/>
        </w:numPr>
        <w:tabs>
          <w:tab w:val="left" w:pos="900"/>
        </w:tabs>
        <w:spacing w:line="360" w:lineRule="auto"/>
        <w:ind w:left="0" w:firstLine="480"/>
        <w:rPr>
          <w:bCs/>
          <w:szCs w:val="24"/>
          <w:u w:val="none" w:color="auto"/>
        </w:rPr>
      </w:pPr>
      <w:r>
        <w:rPr>
          <w:rFonts w:hint="eastAsia"/>
          <w:bCs/>
          <w:szCs w:val="24"/>
          <w:u w:val="none" w:color="auto"/>
        </w:rPr>
        <w:t>《</w:t>
      </w:r>
      <w:r>
        <w:rPr>
          <w:rFonts w:hint="eastAsia"/>
          <w:color w:val="auto"/>
          <w:szCs w:val="21"/>
        </w:rPr>
        <w:t>湖南华电永州蓝山大源风电项目</w:t>
      </w:r>
      <w:r>
        <w:rPr>
          <w:rFonts w:hint="eastAsia"/>
          <w:color w:val="auto"/>
          <w:szCs w:val="21"/>
          <w:lang w:val="en-US" w:eastAsia="zh-CN"/>
        </w:rPr>
        <w:t>环境影响报告表</w:t>
      </w:r>
      <w:r>
        <w:rPr>
          <w:rFonts w:hint="eastAsia"/>
          <w:bCs/>
          <w:szCs w:val="24"/>
          <w:u w:val="none" w:color="auto"/>
        </w:rPr>
        <w:t>》</w:t>
      </w:r>
      <w:r>
        <w:rPr>
          <w:rFonts w:hint="eastAsia"/>
          <w:bCs/>
          <w:szCs w:val="24"/>
          <w:u w:val="none" w:color="auto"/>
          <w:lang w:val="en-US" w:eastAsia="zh-CN"/>
        </w:rPr>
        <w:t>及批复</w:t>
      </w:r>
      <w:r>
        <w:rPr>
          <w:rFonts w:hint="eastAsia"/>
          <w:bCs/>
          <w:szCs w:val="24"/>
          <w:u w:val="none" w:color="auto"/>
        </w:rPr>
        <w:t>（20</w:t>
      </w:r>
      <w:r>
        <w:rPr>
          <w:rFonts w:hint="eastAsia"/>
          <w:bCs/>
          <w:szCs w:val="24"/>
          <w:u w:val="none" w:color="auto"/>
          <w:lang w:val="en-US" w:eastAsia="zh-CN"/>
        </w:rPr>
        <w:t>22</w:t>
      </w:r>
      <w:r>
        <w:rPr>
          <w:rFonts w:hint="eastAsia"/>
          <w:bCs/>
          <w:szCs w:val="24"/>
          <w:u w:val="none" w:color="auto"/>
        </w:rPr>
        <w:t>年1</w:t>
      </w:r>
      <w:r>
        <w:rPr>
          <w:rFonts w:hint="eastAsia"/>
          <w:bCs/>
          <w:szCs w:val="24"/>
          <w:u w:val="none" w:color="auto"/>
          <w:lang w:val="en-US" w:eastAsia="zh-CN"/>
        </w:rPr>
        <w:t>2</w:t>
      </w:r>
      <w:r>
        <w:rPr>
          <w:rFonts w:hint="eastAsia"/>
          <w:bCs/>
          <w:szCs w:val="24"/>
          <w:u w:val="none" w:color="auto"/>
        </w:rPr>
        <w:t>月）；</w:t>
      </w:r>
    </w:p>
    <w:p>
      <w:pPr>
        <w:pStyle w:val="210"/>
        <w:numPr>
          <w:ilvl w:val="0"/>
          <w:numId w:val="54"/>
        </w:numPr>
        <w:tabs>
          <w:tab w:val="left" w:pos="900"/>
        </w:tabs>
        <w:spacing w:line="360" w:lineRule="auto"/>
        <w:ind w:left="0" w:firstLine="480"/>
        <w:rPr>
          <w:color w:val="000000" w:themeColor="text1"/>
          <w:highlight w:val="none"/>
          <w:u w:val="none" w:color="auto"/>
          <w14:textFill>
            <w14:solidFill>
              <w14:schemeClr w14:val="tx1"/>
            </w14:solidFill>
          </w14:textFill>
        </w:rPr>
      </w:pPr>
      <w:r>
        <w:rPr>
          <w:rFonts w:hint="eastAsia"/>
          <w:color w:val="auto"/>
          <w:kern w:val="2"/>
          <w:szCs w:val="21"/>
          <w:u w:val="none" w:color="auto"/>
          <w:lang w:bidi="ar"/>
        </w:rPr>
        <w:t>《</w:t>
      </w:r>
      <w:r>
        <w:rPr>
          <w:rFonts w:hint="eastAsia"/>
          <w:color w:val="auto"/>
          <w:kern w:val="2"/>
          <w:szCs w:val="21"/>
          <w:u w:val="none" w:color="auto"/>
          <w:lang w:eastAsia="zh-CN" w:bidi="ar"/>
        </w:rPr>
        <w:t>蓝山大源</w:t>
      </w:r>
      <w:r>
        <w:rPr>
          <w:rFonts w:hint="eastAsia" w:ascii="Times New Roman" w:hAnsi="Times New Roman" w:eastAsia="宋体" w:cs="Times New Roman"/>
          <w:bCs/>
          <w:szCs w:val="24"/>
          <w:u w:val="none" w:color="auto"/>
        </w:rPr>
        <w:t>风电场</w:t>
      </w:r>
      <w:r>
        <w:rPr>
          <w:rFonts w:hint="eastAsia"/>
          <w:color w:val="auto"/>
          <w:kern w:val="2"/>
          <w:szCs w:val="21"/>
          <w:u w:val="none" w:color="auto"/>
          <w:lang w:bidi="ar"/>
        </w:rPr>
        <w:t>工程水土保持方案报告书</w:t>
      </w:r>
      <w:r>
        <w:rPr>
          <w:rFonts w:hint="eastAsia"/>
          <w:bCs/>
          <w:color w:val="auto"/>
          <w:szCs w:val="24"/>
          <w:u w:val="none" w:color="auto"/>
        </w:rPr>
        <w:t>》（20</w:t>
      </w:r>
      <w:r>
        <w:rPr>
          <w:rFonts w:hint="eastAsia"/>
          <w:bCs/>
          <w:color w:val="auto"/>
          <w:szCs w:val="24"/>
          <w:u w:val="none" w:color="auto"/>
          <w:lang w:val="en-US" w:eastAsia="zh-CN"/>
        </w:rPr>
        <w:t>23</w:t>
      </w:r>
      <w:r>
        <w:rPr>
          <w:rFonts w:hint="eastAsia"/>
          <w:bCs/>
          <w:color w:val="auto"/>
          <w:szCs w:val="24"/>
          <w:u w:val="none" w:color="auto"/>
        </w:rPr>
        <w:t>年）</w:t>
      </w:r>
      <w:r>
        <w:rPr>
          <w:rFonts w:hint="eastAsia"/>
          <w:color w:val="000000" w:themeColor="text1"/>
          <w:highlight w:val="none"/>
          <w:u w:val="none" w:color="auto"/>
          <w14:textFill>
            <w14:solidFill>
              <w14:schemeClr w14:val="tx1"/>
            </w14:solidFill>
          </w14:textFill>
        </w:rPr>
        <w:t>。</w:t>
      </w:r>
    </w:p>
    <w:p>
      <w:pPr>
        <w:pStyle w:val="457"/>
        <w:ind w:firstLine="643"/>
        <w:rPr>
          <w:rFonts w:ascii="Times New Roman" w:cs="Times New Roman"/>
          <w:snapToGrid w:val="0"/>
          <w:color w:val="000000" w:themeColor="text1"/>
          <w:u w:val="none" w:color="auto"/>
          <w14:textFill>
            <w14:solidFill>
              <w14:schemeClr w14:val="tx1"/>
            </w14:solidFill>
          </w14:textFill>
        </w:rPr>
      </w:pPr>
      <w:bookmarkStart w:id="17" w:name="_Toc25459"/>
      <w:bookmarkStart w:id="18" w:name="_Toc401255940"/>
      <w:r>
        <w:rPr>
          <w:rFonts w:ascii="Times New Roman" w:cs="Times New Roman"/>
          <w:snapToGrid w:val="0"/>
          <w:color w:val="000000" w:themeColor="text1"/>
          <w:u w:val="none" w:color="auto"/>
          <w14:textFill>
            <w14:solidFill>
              <w14:schemeClr w14:val="tx1"/>
            </w14:solidFill>
          </w14:textFill>
        </w:rPr>
        <w:t>环境影响因素识别与评价因子筛选</w:t>
      </w:r>
      <w:bookmarkEnd w:id="17"/>
    </w:p>
    <w:p>
      <w:pPr>
        <w:pStyle w:val="458"/>
        <w:ind w:firstLine="602"/>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环境影响因素识别</w:t>
      </w:r>
    </w:p>
    <w:p>
      <w:pPr>
        <w:pStyle w:val="462"/>
        <w:ind w:firstLine="480"/>
        <w:rPr>
          <w:rFonts w:cs="Times New Roman"/>
          <w:color w:val="000000" w:themeColor="text1"/>
          <w:u w:val="none" w:color="auto"/>
          <w14:textFill>
            <w14:solidFill>
              <w14:schemeClr w14:val="tx1"/>
            </w14:solidFill>
          </w14:textFill>
        </w:rPr>
      </w:pPr>
      <w:r>
        <w:rPr>
          <w:rFonts w:cs="Times New Roman"/>
          <w:color w:val="000000" w:themeColor="text1"/>
          <w:szCs w:val="24"/>
          <w:u w:val="none" w:color="auto"/>
          <w14:textFill>
            <w14:solidFill>
              <w14:schemeClr w14:val="tx1"/>
            </w14:solidFill>
          </w14:textFill>
        </w:rPr>
        <w:t>采用矩阵识别法对</w:t>
      </w:r>
      <w:r>
        <w:rPr>
          <w:rFonts w:hint="eastAsia" w:cs="Times New Roman"/>
          <w:color w:val="000000" w:themeColor="text1"/>
          <w:szCs w:val="24"/>
          <w:u w:val="none" w:color="auto"/>
          <w:lang w:val="en-US" w:eastAsia="zh-CN"/>
          <w14:textFill>
            <w14:solidFill>
              <w14:schemeClr w14:val="tx1"/>
            </w14:solidFill>
          </w14:textFill>
        </w:rPr>
        <w:t>已</w:t>
      </w:r>
      <w:r>
        <w:rPr>
          <w:rFonts w:cs="Times New Roman"/>
          <w:color w:val="000000" w:themeColor="text1"/>
          <w:szCs w:val="24"/>
          <w:u w:val="none" w:color="auto"/>
          <w14:textFill>
            <w14:solidFill>
              <w14:schemeClr w14:val="tx1"/>
            </w14:solidFill>
          </w14:textFill>
        </w:rPr>
        <w:t>建项目在施工期和运营期产生的环境影响因素进行识别，</w:t>
      </w:r>
      <w:r>
        <w:rPr>
          <w:rFonts w:cs="Times New Roman"/>
          <w:color w:val="000000" w:themeColor="text1"/>
          <w:u w:val="none" w:color="auto"/>
          <w14:textFill>
            <w14:solidFill>
              <w14:schemeClr w14:val="tx1"/>
            </w14:solidFill>
          </w14:textFill>
        </w:rPr>
        <w:t>识别结果见表1-1。</w:t>
      </w:r>
    </w:p>
    <w:p>
      <w:pPr>
        <w:pStyle w:val="623"/>
        <w:rPr>
          <w:rFonts w:cs="Times New Roman"/>
          <w:color w:val="000000" w:themeColor="text1"/>
          <w:u w:val="none" w:color="auto"/>
          <w14:textFill>
            <w14:solidFill>
              <w14:schemeClr w14:val="tx1"/>
            </w14:solidFill>
          </w14:textFill>
        </w:rPr>
      </w:pPr>
      <w:r>
        <w:rPr>
          <w:rFonts w:cs="Times New Roman"/>
          <w:color w:val="000000" w:themeColor="text1"/>
          <w:u w:val="none" w:color="auto"/>
          <w14:textFill>
            <w14:solidFill>
              <w14:schemeClr w14:val="tx1"/>
            </w14:solidFill>
          </w14:textFill>
        </w:rPr>
        <w:t>环境影响因素识别</w:t>
      </w:r>
    </w:p>
    <w:tbl>
      <w:tblPr>
        <w:tblStyle w:val="3671"/>
        <w:tblW w:w="5032"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67"/>
        <w:gridCol w:w="1372"/>
        <w:gridCol w:w="1183"/>
        <w:gridCol w:w="1183"/>
        <w:gridCol w:w="1183"/>
        <w:gridCol w:w="1193"/>
        <w:gridCol w:w="1183"/>
        <w:gridCol w:w="119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1113" w:type="pct"/>
            <w:gridSpan w:val="2"/>
            <w:vMerge w:val="restar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宋体" w:hAnsi="宋体"/>
                <w:sz w:val="18"/>
                <w:szCs w:val="18"/>
                <w:lang w:eastAsia="en-US"/>
              </w:rPr>
              <w:t>工程行为环境要素</w:t>
            </w:r>
          </w:p>
        </w:tc>
        <w:tc>
          <w:tcPr>
            <w:tcW w:w="2589" w:type="pct"/>
            <w:gridSpan w:val="4"/>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宋体" w:hAnsi="宋体"/>
                <w:sz w:val="18"/>
                <w:szCs w:val="18"/>
                <w:lang w:eastAsia="en-US"/>
              </w:rPr>
              <w:t>建设期</w:t>
            </w:r>
          </w:p>
        </w:tc>
        <w:tc>
          <w:tcPr>
            <w:tcW w:w="1296" w:type="pct"/>
            <w:gridSpan w:val="2"/>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宋体" w:hAnsi="宋体"/>
                <w:sz w:val="18"/>
                <w:szCs w:val="18"/>
                <w:lang w:eastAsia="en-US"/>
              </w:rPr>
              <w:t>运行期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1113" w:type="pct"/>
            <w:gridSpan w:val="2"/>
            <w:vMerge w:val="continue"/>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宋体" w:hAnsi="宋体"/>
                <w:sz w:val="18"/>
                <w:szCs w:val="18"/>
                <w:lang w:eastAsia="en-US"/>
              </w:rPr>
              <w:t>土方开挖</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宋体" w:hAnsi="宋体"/>
                <w:sz w:val="18"/>
                <w:szCs w:val="18"/>
                <w:lang w:eastAsia="en-US"/>
              </w:rPr>
              <w:t>机械作业</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宋体" w:hAnsi="宋体"/>
                <w:sz w:val="18"/>
                <w:szCs w:val="18"/>
                <w:lang w:eastAsia="en-US"/>
              </w:rPr>
              <w:t>材料运输</w:t>
            </w:r>
          </w:p>
        </w:tc>
        <w:tc>
          <w:tcPr>
            <w:tcW w:w="650"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宋体" w:hAnsi="宋体"/>
                <w:sz w:val="18"/>
                <w:szCs w:val="18"/>
                <w:lang w:eastAsia="en-US"/>
              </w:rPr>
              <w:t>施工人员</w:t>
            </w:r>
          </w:p>
        </w:tc>
        <w:tc>
          <w:tcPr>
            <w:tcW w:w="646" w:type="pct"/>
            <w:vAlign w:val="center"/>
          </w:tcPr>
          <w:p>
            <w:pPr>
              <w:autoSpaceDE w:val="0"/>
              <w:autoSpaceDN w:val="0"/>
              <w:adjustRightInd w:val="0"/>
              <w:snapToGrid w:val="0"/>
              <w:spacing w:line="240" w:lineRule="auto"/>
              <w:ind w:firstLine="0" w:firstLineChars="0"/>
              <w:jc w:val="center"/>
              <w:rPr>
                <w:rFonts w:hint="default" w:ascii="宋体" w:hAnsi="宋体" w:eastAsia="宋体"/>
                <w:sz w:val="18"/>
                <w:szCs w:val="18"/>
                <w:lang w:val="en-US" w:eastAsia="zh-CN"/>
              </w:rPr>
            </w:pPr>
            <w:r>
              <w:rPr>
                <w:rFonts w:hint="eastAsia" w:ascii="宋体" w:hAnsi="宋体"/>
                <w:sz w:val="18"/>
                <w:szCs w:val="18"/>
                <w:lang w:val="en-US" w:eastAsia="zh-CN"/>
              </w:rPr>
              <w:t>风机/汇集站</w:t>
            </w:r>
          </w:p>
        </w:tc>
        <w:tc>
          <w:tcPr>
            <w:tcW w:w="649"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宋体" w:hAnsi="宋体"/>
                <w:sz w:val="18"/>
                <w:szCs w:val="18"/>
                <w:lang w:eastAsia="en-US"/>
              </w:rPr>
              <w:t>维护人员</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364" w:type="pct"/>
            <w:vMerge w:val="restar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宋体" w:hAnsi="宋体"/>
                <w:sz w:val="18"/>
                <w:szCs w:val="18"/>
                <w:lang w:eastAsia="en-US"/>
              </w:rPr>
              <w:t>自然环境</w:t>
            </w:r>
          </w:p>
        </w:tc>
        <w:tc>
          <w:tcPr>
            <w:tcW w:w="749"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环境空气</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50"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w:t>
            </w:r>
          </w:p>
        </w:tc>
        <w:tc>
          <w:tcPr>
            <w:tcW w:w="649"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364" w:type="pct"/>
            <w:vMerge w:val="continue"/>
            <w:vAlign w:val="center"/>
          </w:tcPr>
          <w:p>
            <w:pPr>
              <w:autoSpaceDE w:val="0"/>
              <w:autoSpaceDN w:val="0"/>
              <w:adjustRightInd w:val="0"/>
              <w:snapToGrid w:val="0"/>
              <w:spacing w:line="240" w:lineRule="auto"/>
              <w:ind w:firstLine="0" w:firstLineChars="0"/>
              <w:rPr>
                <w:rFonts w:hint="eastAsia" w:ascii="宋体" w:hAnsi="宋体"/>
                <w:sz w:val="18"/>
                <w:szCs w:val="18"/>
                <w:lang w:eastAsia="en-US"/>
              </w:rPr>
            </w:pPr>
          </w:p>
        </w:tc>
        <w:tc>
          <w:tcPr>
            <w:tcW w:w="749"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地表水</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ascii="宋体" w:hAnsi="宋体"/>
                <w:sz w:val="18"/>
                <w:szCs w:val="18"/>
                <w:lang w:eastAsia="en-US"/>
              </w:rPr>
              <w:t>○□</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w:t>
            </w:r>
          </w:p>
        </w:tc>
        <w:tc>
          <w:tcPr>
            <w:tcW w:w="650"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w:t>
            </w:r>
          </w:p>
        </w:tc>
        <w:tc>
          <w:tcPr>
            <w:tcW w:w="649"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364" w:type="pct"/>
            <w:vMerge w:val="continue"/>
            <w:vAlign w:val="center"/>
          </w:tcPr>
          <w:p>
            <w:pPr>
              <w:autoSpaceDE w:val="0"/>
              <w:autoSpaceDN w:val="0"/>
              <w:adjustRightInd w:val="0"/>
              <w:snapToGrid w:val="0"/>
              <w:spacing w:line="240" w:lineRule="auto"/>
              <w:ind w:firstLine="0" w:firstLineChars="0"/>
              <w:rPr>
                <w:rFonts w:hint="eastAsia" w:ascii="宋体" w:hAnsi="宋体"/>
                <w:sz w:val="18"/>
                <w:szCs w:val="18"/>
                <w:lang w:eastAsia="en-US"/>
              </w:rPr>
            </w:pPr>
          </w:p>
        </w:tc>
        <w:tc>
          <w:tcPr>
            <w:tcW w:w="749"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声环境</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50"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w:t>
            </w:r>
            <w:r>
              <w:rPr>
                <w:rFonts w:hint="eastAsia" w:ascii="宋体" w:hAnsi="宋体" w:cs="宋体"/>
                <w:sz w:val="18"/>
                <w:szCs w:val="18"/>
                <w:lang w:eastAsia="en-US"/>
              </w:rPr>
              <w:t>◇</w:t>
            </w:r>
          </w:p>
        </w:tc>
        <w:tc>
          <w:tcPr>
            <w:tcW w:w="649"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364" w:type="pct"/>
            <w:vMerge w:val="continue"/>
            <w:vAlign w:val="center"/>
          </w:tcPr>
          <w:p>
            <w:pPr>
              <w:autoSpaceDE w:val="0"/>
              <w:autoSpaceDN w:val="0"/>
              <w:adjustRightInd w:val="0"/>
              <w:snapToGrid w:val="0"/>
              <w:spacing w:line="240" w:lineRule="auto"/>
              <w:ind w:firstLine="0" w:firstLineChars="0"/>
              <w:rPr>
                <w:rFonts w:hint="eastAsia" w:ascii="宋体" w:hAnsi="宋体"/>
                <w:sz w:val="18"/>
                <w:szCs w:val="18"/>
                <w:lang w:eastAsia="en-US"/>
              </w:rPr>
            </w:pPr>
          </w:p>
        </w:tc>
        <w:tc>
          <w:tcPr>
            <w:tcW w:w="749"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固体废物</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w:t>
            </w:r>
          </w:p>
        </w:tc>
        <w:tc>
          <w:tcPr>
            <w:tcW w:w="650"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9"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364" w:type="pct"/>
            <w:vMerge w:val="continue"/>
            <w:vAlign w:val="center"/>
          </w:tcPr>
          <w:p>
            <w:pPr>
              <w:autoSpaceDE w:val="0"/>
              <w:autoSpaceDN w:val="0"/>
              <w:adjustRightInd w:val="0"/>
              <w:snapToGrid w:val="0"/>
              <w:spacing w:line="240" w:lineRule="auto"/>
              <w:ind w:firstLine="0" w:firstLineChars="0"/>
              <w:rPr>
                <w:rFonts w:hint="eastAsia" w:ascii="宋体" w:hAnsi="宋体"/>
                <w:sz w:val="18"/>
                <w:szCs w:val="18"/>
                <w:lang w:eastAsia="en-US"/>
              </w:rPr>
            </w:pPr>
          </w:p>
        </w:tc>
        <w:tc>
          <w:tcPr>
            <w:tcW w:w="749"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陆生植被</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50"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w:t>
            </w:r>
          </w:p>
        </w:tc>
        <w:tc>
          <w:tcPr>
            <w:tcW w:w="649"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364" w:type="pct"/>
            <w:vMerge w:val="continue"/>
            <w:vAlign w:val="center"/>
          </w:tcPr>
          <w:p>
            <w:pPr>
              <w:autoSpaceDE w:val="0"/>
              <w:autoSpaceDN w:val="0"/>
              <w:adjustRightInd w:val="0"/>
              <w:snapToGrid w:val="0"/>
              <w:spacing w:line="240" w:lineRule="auto"/>
              <w:ind w:firstLine="0" w:firstLineChars="0"/>
              <w:rPr>
                <w:rFonts w:hint="eastAsia" w:ascii="宋体" w:hAnsi="宋体"/>
                <w:sz w:val="18"/>
                <w:szCs w:val="18"/>
                <w:lang w:eastAsia="en-US"/>
              </w:rPr>
            </w:pPr>
          </w:p>
        </w:tc>
        <w:tc>
          <w:tcPr>
            <w:tcW w:w="749"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生物量</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w:t>
            </w:r>
          </w:p>
        </w:tc>
        <w:tc>
          <w:tcPr>
            <w:tcW w:w="650"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w:t>
            </w:r>
          </w:p>
        </w:tc>
        <w:tc>
          <w:tcPr>
            <w:tcW w:w="649"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364" w:type="pct"/>
            <w:vMerge w:val="continue"/>
            <w:vAlign w:val="center"/>
          </w:tcPr>
          <w:p>
            <w:pPr>
              <w:autoSpaceDE w:val="0"/>
              <w:autoSpaceDN w:val="0"/>
              <w:adjustRightInd w:val="0"/>
              <w:snapToGrid w:val="0"/>
              <w:spacing w:line="240" w:lineRule="auto"/>
              <w:ind w:firstLine="0" w:firstLineChars="0"/>
              <w:rPr>
                <w:rFonts w:hint="eastAsia" w:ascii="宋体" w:hAnsi="宋体"/>
                <w:sz w:val="18"/>
                <w:szCs w:val="18"/>
                <w:lang w:eastAsia="en-US"/>
              </w:rPr>
            </w:pPr>
          </w:p>
        </w:tc>
        <w:tc>
          <w:tcPr>
            <w:tcW w:w="749"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水土流失</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w:t>
            </w:r>
          </w:p>
        </w:tc>
        <w:tc>
          <w:tcPr>
            <w:tcW w:w="650"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p>
        </w:tc>
        <w:tc>
          <w:tcPr>
            <w:tcW w:w="646"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w:t>
            </w:r>
          </w:p>
        </w:tc>
        <w:tc>
          <w:tcPr>
            <w:tcW w:w="649" w:type="pct"/>
            <w:vAlign w:val="center"/>
          </w:tcPr>
          <w:p>
            <w:pPr>
              <w:autoSpaceDE w:val="0"/>
              <w:autoSpaceDN w:val="0"/>
              <w:adjustRightInd w:val="0"/>
              <w:snapToGrid w:val="0"/>
              <w:spacing w:line="240" w:lineRule="auto"/>
              <w:ind w:firstLine="0" w:firstLineChars="0"/>
              <w:jc w:val="center"/>
              <w:rPr>
                <w:rFonts w:hint="eastAsia" w:ascii="宋体" w:hAnsi="宋体"/>
                <w:sz w:val="18"/>
                <w:szCs w:val="18"/>
                <w:lang w:eastAsia="en-US"/>
              </w:rPr>
            </w:pPr>
            <w:r>
              <w:rPr>
                <w:rFonts w:ascii="宋体" w:hAnsi="宋体"/>
                <w:sz w:val="18"/>
                <w:szCs w:val="18"/>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5000" w:type="pct"/>
            <w:gridSpan w:val="8"/>
            <w:vAlign w:val="center"/>
          </w:tcPr>
          <w:p>
            <w:pPr>
              <w:autoSpaceDE w:val="0"/>
              <w:autoSpaceDN w:val="0"/>
              <w:adjustRightInd w:val="0"/>
              <w:snapToGrid w:val="0"/>
              <w:spacing w:line="240" w:lineRule="auto"/>
              <w:ind w:firstLine="0" w:firstLineChars="0"/>
              <w:rPr>
                <w:rFonts w:hint="eastAsia" w:ascii="宋体" w:hAnsi="宋体"/>
                <w:sz w:val="18"/>
                <w:szCs w:val="18"/>
                <w:lang w:eastAsia="zh-CN"/>
              </w:rPr>
            </w:pPr>
            <w:r>
              <w:rPr>
                <w:rFonts w:ascii="宋体" w:hAnsi="宋体"/>
                <w:sz w:val="18"/>
                <w:szCs w:val="18"/>
                <w:lang w:eastAsia="zh-CN"/>
              </w:rPr>
              <w:t>▲：影响程度中等；</w:t>
            </w:r>
            <w:r>
              <w:rPr>
                <w:rFonts w:hint="eastAsia" w:ascii="微软雅黑" w:hAnsi="微软雅黑" w:eastAsia="微软雅黑" w:cs="微软雅黑"/>
                <w:sz w:val="18"/>
                <w:szCs w:val="18"/>
                <w:lang w:eastAsia="zh-CN"/>
              </w:rPr>
              <w:t>∆</w:t>
            </w:r>
            <w:r>
              <w:rPr>
                <w:rFonts w:ascii="宋体" w:hAnsi="宋体"/>
                <w:sz w:val="18"/>
                <w:szCs w:val="18"/>
                <w:lang w:eastAsia="zh-CN"/>
              </w:rPr>
              <w:t>：影响程度较小；●：长期影响；○：短期影响。</w:t>
            </w:r>
          </w:p>
          <w:p>
            <w:pPr>
              <w:autoSpaceDE w:val="0"/>
              <w:autoSpaceDN w:val="0"/>
              <w:adjustRightInd w:val="0"/>
              <w:snapToGrid w:val="0"/>
              <w:spacing w:line="240" w:lineRule="auto"/>
              <w:ind w:firstLine="0" w:firstLineChars="0"/>
              <w:rPr>
                <w:rFonts w:hint="eastAsia" w:ascii="宋体" w:hAnsi="宋体"/>
                <w:sz w:val="18"/>
                <w:szCs w:val="18"/>
                <w:lang w:eastAsia="zh-CN"/>
              </w:rPr>
            </w:pPr>
            <w:r>
              <w:rPr>
                <w:rFonts w:ascii="宋体" w:hAnsi="宋体"/>
                <w:sz w:val="18"/>
                <w:szCs w:val="18"/>
                <w:lang w:eastAsia="zh-CN"/>
              </w:rPr>
              <w:t>█</w:t>
            </w:r>
            <w:r>
              <w:rPr>
                <w:rFonts w:hint="eastAsia" w:ascii="宋体" w:hAnsi="宋体"/>
                <w:sz w:val="18"/>
                <w:szCs w:val="18"/>
                <w:lang w:eastAsia="zh-CN"/>
              </w:rPr>
              <w:t>：</w:t>
            </w:r>
            <w:r>
              <w:rPr>
                <w:rFonts w:ascii="宋体" w:hAnsi="宋体"/>
                <w:sz w:val="18"/>
                <w:szCs w:val="18"/>
                <w:lang w:eastAsia="zh-CN"/>
              </w:rPr>
              <w:t>直接影响</w:t>
            </w:r>
            <w:r>
              <w:rPr>
                <w:rFonts w:hint="eastAsia" w:ascii="宋体" w:hAnsi="宋体"/>
                <w:sz w:val="18"/>
                <w:szCs w:val="18"/>
                <w:lang w:eastAsia="zh-CN"/>
              </w:rPr>
              <w:t>；</w:t>
            </w:r>
            <w:r>
              <w:rPr>
                <w:rFonts w:ascii="宋体" w:hAnsi="宋体"/>
                <w:sz w:val="18"/>
                <w:szCs w:val="18"/>
                <w:lang w:eastAsia="zh-CN"/>
              </w:rPr>
              <w:t>□</w:t>
            </w:r>
            <w:r>
              <w:rPr>
                <w:rFonts w:hint="eastAsia" w:ascii="宋体" w:hAnsi="宋体"/>
                <w:sz w:val="18"/>
                <w:szCs w:val="18"/>
                <w:lang w:eastAsia="zh-CN"/>
              </w:rPr>
              <w:t>：</w:t>
            </w:r>
            <w:r>
              <w:rPr>
                <w:rFonts w:ascii="宋体" w:hAnsi="宋体"/>
                <w:sz w:val="18"/>
                <w:szCs w:val="18"/>
                <w:lang w:eastAsia="zh-CN"/>
              </w:rPr>
              <w:t>间接影响</w:t>
            </w:r>
            <w:r>
              <w:rPr>
                <w:rFonts w:hint="eastAsia" w:ascii="宋体" w:hAnsi="宋体"/>
                <w:sz w:val="18"/>
                <w:szCs w:val="18"/>
                <w:lang w:eastAsia="zh-CN"/>
              </w:rPr>
              <w:t>；</w:t>
            </w:r>
            <w:r>
              <w:rPr>
                <w:rFonts w:hint="eastAsia" w:ascii="宋体" w:hAnsi="宋体" w:cs="宋体"/>
                <w:sz w:val="18"/>
                <w:szCs w:val="18"/>
                <w:lang w:eastAsia="zh-CN"/>
              </w:rPr>
              <w:t>◆：不</w:t>
            </w:r>
            <w:r>
              <w:rPr>
                <w:rFonts w:ascii="宋体" w:hAnsi="宋体"/>
                <w:sz w:val="18"/>
                <w:szCs w:val="18"/>
                <w:lang w:eastAsia="zh-CN"/>
              </w:rPr>
              <w:t>可逆影响</w:t>
            </w:r>
            <w:r>
              <w:rPr>
                <w:rFonts w:hint="eastAsia" w:ascii="宋体" w:hAnsi="宋体"/>
                <w:sz w:val="18"/>
                <w:szCs w:val="18"/>
                <w:lang w:eastAsia="zh-CN"/>
              </w:rPr>
              <w:t>；</w:t>
            </w:r>
            <w:r>
              <w:rPr>
                <w:rFonts w:hint="eastAsia" w:ascii="宋体" w:hAnsi="宋体" w:cs="宋体"/>
                <w:sz w:val="18"/>
                <w:szCs w:val="18"/>
                <w:lang w:eastAsia="zh-CN"/>
              </w:rPr>
              <w:t>◇</w:t>
            </w:r>
            <w:r>
              <w:rPr>
                <w:rFonts w:hint="eastAsia" w:ascii="宋体" w:hAnsi="宋体"/>
                <w:sz w:val="18"/>
                <w:szCs w:val="18"/>
                <w:lang w:eastAsia="zh-CN"/>
              </w:rPr>
              <w:t>：</w:t>
            </w:r>
            <w:r>
              <w:rPr>
                <w:rFonts w:ascii="宋体" w:hAnsi="宋体"/>
                <w:sz w:val="18"/>
                <w:szCs w:val="18"/>
                <w:lang w:eastAsia="zh-CN"/>
              </w:rPr>
              <w:t>可逆影响</w:t>
            </w:r>
            <w:r>
              <w:rPr>
                <w:rFonts w:hint="eastAsia" w:ascii="宋体" w:hAnsi="宋体"/>
                <w:sz w:val="18"/>
                <w:szCs w:val="18"/>
                <w:lang w:eastAsia="zh-CN"/>
              </w:rPr>
              <w:t>（停止或中断人工干预、干扰之后环境质量可以恢复的影响）。</w:t>
            </w:r>
          </w:p>
        </w:tc>
      </w:tr>
    </w:tbl>
    <w:p>
      <w:pPr>
        <w:pStyle w:val="458"/>
        <w:ind w:firstLine="602"/>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评价因子筛选</w:t>
      </w:r>
    </w:p>
    <w:p>
      <w:pPr>
        <w:pStyle w:val="462"/>
        <w:ind w:firstLine="480"/>
        <w:rPr>
          <w:rFonts w:cs="Times New Roman"/>
          <w:color w:val="000000" w:themeColor="text1"/>
          <w:szCs w:val="24"/>
          <w:u w:val="none" w:color="auto"/>
          <w14:textFill>
            <w14:solidFill>
              <w14:schemeClr w14:val="tx1"/>
            </w14:solidFill>
          </w14:textFill>
        </w:rPr>
      </w:pPr>
      <w:r>
        <w:rPr>
          <w:rFonts w:cs="Times New Roman"/>
          <w:color w:val="000000" w:themeColor="text1"/>
          <w:szCs w:val="24"/>
          <w:u w:val="none" w:color="auto"/>
          <w14:textFill>
            <w14:solidFill>
              <w14:schemeClr w14:val="tx1"/>
            </w14:solidFill>
          </w14:textFill>
        </w:rPr>
        <w:t>根据环境影响要素识别结果、</w:t>
      </w:r>
      <w:r>
        <w:rPr>
          <w:rStyle w:val="2129"/>
          <w:rFonts w:hint="default" w:ascii="Times New Roman" w:hAnsi="Times New Roman" w:cs="Times New Roman"/>
          <w:color w:val="000000" w:themeColor="text1"/>
          <w:u w:val="none" w:color="auto"/>
          <w14:textFill>
            <w14:solidFill>
              <w14:schemeClr w14:val="tx1"/>
            </w14:solidFill>
          </w14:textFill>
        </w:rPr>
        <w:t>周边地区的环境现状及项目排污的特点，</w:t>
      </w:r>
      <w:r>
        <w:rPr>
          <w:rFonts w:cs="Times New Roman"/>
          <w:color w:val="000000" w:themeColor="text1"/>
          <w:szCs w:val="24"/>
          <w:u w:val="none" w:color="auto"/>
          <w14:textFill>
            <w14:solidFill>
              <w14:schemeClr w14:val="tx1"/>
            </w14:solidFill>
          </w14:textFill>
        </w:rPr>
        <w:t>确定本项目环境影响评价因子如下：</w:t>
      </w:r>
    </w:p>
    <w:p>
      <w:pPr>
        <w:pStyle w:val="623"/>
        <w:rPr>
          <w:rFonts w:cs="Times New Roman"/>
          <w:color w:val="000000" w:themeColor="text1"/>
          <w:u w:val="none" w:color="auto"/>
          <w14:textFill>
            <w14:solidFill>
              <w14:schemeClr w14:val="tx1"/>
            </w14:solidFill>
          </w14:textFill>
        </w:rPr>
      </w:pPr>
      <w:r>
        <w:rPr>
          <w:rFonts w:hint="eastAsia" w:cs="Times New Roman"/>
          <w:color w:val="000000" w:themeColor="text1"/>
          <w:u w:val="none" w:color="auto"/>
          <w:lang w:eastAsia="zh-CN"/>
          <w14:textFill>
            <w14:solidFill>
              <w14:schemeClr w14:val="tx1"/>
            </w14:solidFill>
          </w14:textFill>
        </w:rPr>
        <w:t>现状与预测评价因子</w:t>
      </w:r>
    </w:p>
    <w:tbl>
      <w:tblPr>
        <w:tblStyle w:val="88"/>
        <w:tblW w:w="898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19"/>
        <w:gridCol w:w="1601"/>
        <w:gridCol w:w="3321"/>
        <w:gridCol w:w="28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19" w:type="dxa"/>
            <w:noWrap w:val="0"/>
            <w:vAlign w:val="center"/>
          </w:tcPr>
          <w:p>
            <w:pPr>
              <w:pStyle w:val="3319"/>
              <w:keepNext w:val="0"/>
              <w:keepLines w:val="0"/>
              <w:pageBreakBefore w:val="0"/>
              <w:widowControl/>
              <w:kinsoku/>
              <w:wordWrap/>
              <w:overflowPunct/>
              <w:topLinePunct w:val="0"/>
              <w:autoSpaceDE/>
              <w:autoSpaceDN/>
              <w:bidi w:val="0"/>
              <w:snapToGrid w:val="0"/>
              <w:spacing w:line="240" w:lineRule="auto"/>
              <w:ind w:firstLine="0" w:firstLineChars="0"/>
              <w:rPr>
                <w:rFonts w:ascii="Times New Roman" w:hAnsi="Times New Roman"/>
                <w:b w:val="0"/>
                <w:bCs/>
                <w:sz w:val="21"/>
                <w:szCs w:val="21"/>
                <w:u w:val="none" w:color="auto"/>
              </w:rPr>
            </w:pPr>
            <w:r>
              <w:rPr>
                <w:rFonts w:ascii="Times New Roman" w:hAnsi="Times New Roman"/>
                <w:b w:val="0"/>
                <w:bCs/>
                <w:sz w:val="21"/>
                <w:szCs w:val="21"/>
                <w:u w:val="none" w:color="auto"/>
              </w:rPr>
              <w:t>环境因素</w:t>
            </w:r>
          </w:p>
        </w:tc>
        <w:tc>
          <w:tcPr>
            <w:tcW w:w="4922" w:type="dxa"/>
            <w:gridSpan w:val="2"/>
            <w:noWrap w:val="0"/>
            <w:vAlign w:val="center"/>
          </w:tcPr>
          <w:p>
            <w:pPr>
              <w:pStyle w:val="3319"/>
              <w:keepNext w:val="0"/>
              <w:keepLines w:val="0"/>
              <w:pageBreakBefore w:val="0"/>
              <w:widowControl/>
              <w:kinsoku/>
              <w:wordWrap/>
              <w:overflowPunct/>
              <w:topLinePunct w:val="0"/>
              <w:autoSpaceDE/>
              <w:autoSpaceDN/>
              <w:bidi w:val="0"/>
              <w:snapToGrid w:val="0"/>
              <w:spacing w:line="240" w:lineRule="auto"/>
              <w:ind w:firstLine="0" w:firstLineChars="0"/>
              <w:rPr>
                <w:rFonts w:ascii="Times New Roman" w:hAnsi="Times New Roman"/>
                <w:b w:val="0"/>
                <w:bCs/>
                <w:sz w:val="21"/>
                <w:szCs w:val="21"/>
                <w:u w:val="none" w:color="auto"/>
              </w:rPr>
            </w:pPr>
            <w:r>
              <w:rPr>
                <w:rFonts w:ascii="Times New Roman" w:hAnsi="Times New Roman"/>
                <w:b w:val="0"/>
                <w:bCs/>
                <w:sz w:val="21"/>
                <w:szCs w:val="21"/>
                <w:u w:val="none" w:color="auto"/>
              </w:rPr>
              <w:t>现状评价因子</w:t>
            </w:r>
          </w:p>
        </w:tc>
        <w:tc>
          <w:tcPr>
            <w:tcW w:w="2841" w:type="dxa"/>
            <w:noWrap w:val="0"/>
            <w:vAlign w:val="center"/>
          </w:tcPr>
          <w:p>
            <w:pPr>
              <w:pStyle w:val="3319"/>
              <w:keepNext w:val="0"/>
              <w:keepLines w:val="0"/>
              <w:pageBreakBefore w:val="0"/>
              <w:widowControl/>
              <w:kinsoku/>
              <w:wordWrap/>
              <w:overflowPunct/>
              <w:topLinePunct w:val="0"/>
              <w:autoSpaceDE/>
              <w:autoSpaceDN/>
              <w:bidi w:val="0"/>
              <w:snapToGrid w:val="0"/>
              <w:spacing w:line="240" w:lineRule="auto"/>
              <w:ind w:firstLine="0" w:firstLineChars="0"/>
              <w:rPr>
                <w:rFonts w:ascii="Times New Roman" w:hAnsi="Times New Roman"/>
                <w:b w:val="0"/>
                <w:bCs/>
                <w:sz w:val="21"/>
                <w:szCs w:val="21"/>
                <w:u w:val="none" w:color="auto"/>
              </w:rPr>
            </w:pPr>
            <w:r>
              <w:rPr>
                <w:rFonts w:ascii="Times New Roman" w:hAnsi="Times New Roman"/>
                <w:b w:val="0"/>
                <w:bCs/>
                <w:sz w:val="21"/>
                <w:szCs w:val="21"/>
                <w:u w:val="none" w:color="auto"/>
              </w:rPr>
              <w:t>影响评价因子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19"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eastAsia" w:ascii="Times New Roman" w:hAnsi="Times New Roman" w:eastAsia="宋体"/>
                <w:b w:val="0"/>
                <w:bCs/>
                <w:sz w:val="21"/>
                <w:szCs w:val="21"/>
                <w:u w:val="none" w:color="auto"/>
                <w:lang w:eastAsia="zh-CN"/>
              </w:rPr>
            </w:pPr>
            <w:r>
              <w:rPr>
                <w:rFonts w:hint="eastAsia"/>
                <w:b w:val="0"/>
                <w:bCs/>
                <w:sz w:val="21"/>
                <w:szCs w:val="21"/>
                <w:u w:val="none" w:color="auto"/>
                <w:lang w:eastAsia="zh-CN"/>
              </w:rPr>
              <w:t>环境空气</w:t>
            </w:r>
          </w:p>
        </w:tc>
        <w:tc>
          <w:tcPr>
            <w:tcW w:w="4922" w:type="dxa"/>
            <w:gridSpan w:val="2"/>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eastAsia" w:ascii="Times New Roman" w:hAnsi="Times New Roman" w:eastAsia="宋体"/>
                <w:b w:val="0"/>
                <w:bCs/>
                <w:sz w:val="21"/>
                <w:szCs w:val="21"/>
                <w:u w:val="none" w:color="auto"/>
                <w:vertAlign w:val="subscript"/>
                <w:lang w:eastAsia="zh-CN"/>
              </w:rPr>
            </w:pPr>
            <w:r>
              <w:rPr>
                <w:rFonts w:ascii="Times New Roman" w:hAnsi="Times New Roman"/>
                <w:b w:val="0"/>
                <w:bCs/>
                <w:sz w:val="21"/>
                <w:szCs w:val="21"/>
                <w:u w:val="none" w:color="auto"/>
              </w:rPr>
              <w:t>SO</w:t>
            </w:r>
            <w:r>
              <w:rPr>
                <w:rFonts w:ascii="Times New Roman" w:hAnsi="Times New Roman"/>
                <w:b w:val="0"/>
                <w:bCs/>
                <w:sz w:val="21"/>
                <w:szCs w:val="21"/>
                <w:u w:val="none" w:color="auto"/>
                <w:vertAlign w:val="subscript"/>
              </w:rPr>
              <w:t>2</w:t>
            </w:r>
            <w:r>
              <w:rPr>
                <w:rFonts w:ascii="Times New Roman" w:hAnsi="Times New Roman"/>
                <w:b w:val="0"/>
                <w:bCs/>
                <w:sz w:val="21"/>
                <w:szCs w:val="21"/>
                <w:u w:val="none" w:color="auto"/>
              </w:rPr>
              <w:t>、NO</w:t>
            </w:r>
            <w:r>
              <w:rPr>
                <w:rFonts w:ascii="Times New Roman" w:hAnsi="Times New Roman"/>
                <w:b w:val="0"/>
                <w:bCs/>
                <w:sz w:val="21"/>
                <w:szCs w:val="21"/>
                <w:u w:val="none" w:color="auto"/>
                <w:vertAlign w:val="subscript"/>
              </w:rPr>
              <w:t>2</w:t>
            </w:r>
            <w:r>
              <w:rPr>
                <w:rFonts w:ascii="Times New Roman" w:hAnsi="Times New Roman"/>
                <w:b w:val="0"/>
                <w:bCs/>
                <w:sz w:val="21"/>
                <w:szCs w:val="21"/>
                <w:u w:val="none" w:color="auto"/>
              </w:rPr>
              <w:t>、PM</w:t>
            </w:r>
            <w:r>
              <w:rPr>
                <w:rFonts w:ascii="Times New Roman" w:hAnsi="Times New Roman"/>
                <w:b w:val="0"/>
                <w:bCs/>
                <w:sz w:val="21"/>
                <w:szCs w:val="21"/>
                <w:u w:val="none" w:color="auto"/>
                <w:vertAlign w:val="subscript"/>
              </w:rPr>
              <w:t>10</w:t>
            </w:r>
            <w:r>
              <w:rPr>
                <w:rFonts w:ascii="Times New Roman" w:hAnsi="Times New Roman"/>
                <w:b w:val="0"/>
                <w:bCs/>
                <w:sz w:val="21"/>
                <w:szCs w:val="21"/>
                <w:u w:val="none" w:color="auto"/>
              </w:rPr>
              <w:t>、</w:t>
            </w:r>
            <w:r>
              <w:rPr>
                <w:rFonts w:ascii="Times New Roman" w:hAnsi="Times New Roman"/>
                <w:b w:val="0"/>
                <w:bCs/>
                <w:sz w:val="21"/>
                <w:szCs w:val="21"/>
                <w:highlight w:val="none"/>
                <w:u w:val="none" w:color="auto"/>
              </w:rPr>
              <w:t>PM</w:t>
            </w:r>
            <w:r>
              <w:rPr>
                <w:rFonts w:ascii="Times New Roman" w:hAnsi="Times New Roman"/>
                <w:b w:val="0"/>
                <w:bCs/>
                <w:sz w:val="21"/>
                <w:szCs w:val="21"/>
                <w:highlight w:val="none"/>
                <w:u w:val="none" w:color="auto"/>
                <w:vertAlign w:val="subscript"/>
              </w:rPr>
              <w:t>2.5</w:t>
            </w:r>
            <w:r>
              <w:rPr>
                <w:rFonts w:ascii="Times New Roman" w:hAnsi="Times New Roman"/>
                <w:b w:val="0"/>
                <w:bCs/>
                <w:sz w:val="21"/>
                <w:szCs w:val="21"/>
                <w:highlight w:val="none"/>
                <w:u w:val="none" w:color="auto"/>
              </w:rPr>
              <w:t>、</w:t>
            </w:r>
            <w:r>
              <w:rPr>
                <w:b w:val="0"/>
                <w:bCs w:val="0"/>
                <w:kern w:val="2"/>
                <w:sz w:val="21"/>
                <w:szCs w:val="24"/>
                <w:u w:val="none" w:color="auto"/>
              </w:rPr>
              <w:t>CO、O</w:t>
            </w:r>
            <w:r>
              <w:rPr>
                <w:b w:val="0"/>
                <w:bCs w:val="0"/>
                <w:kern w:val="2"/>
                <w:sz w:val="21"/>
                <w:szCs w:val="24"/>
                <w:u w:val="none" w:color="auto"/>
                <w:vertAlign w:val="subscript"/>
              </w:rPr>
              <w:t>3</w:t>
            </w:r>
          </w:p>
        </w:tc>
        <w:tc>
          <w:tcPr>
            <w:tcW w:w="2841"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default" w:ascii="Times New Roman" w:hAnsi="Times New Roman" w:eastAsia="宋体"/>
                <w:b w:val="0"/>
                <w:bCs/>
                <w:sz w:val="21"/>
                <w:szCs w:val="21"/>
                <w:u w:val="none" w:color="auto"/>
                <w:lang w:val="en-US" w:eastAsia="zh-CN"/>
              </w:rPr>
            </w:pPr>
            <w:r>
              <w:rPr>
                <w:rFonts w:hint="eastAsia"/>
                <w:b w:val="0"/>
                <w:bCs/>
                <w:sz w:val="21"/>
                <w:szCs w:val="21"/>
                <w:u w:val="none" w:color="auto"/>
                <w:lang w:val="en-US" w:eastAsia="zh-CN"/>
              </w:rPr>
              <w:t>TSP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19"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ascii="Times New Roman" w:hAnsi="Times New Roman"/>
                <w:b w:val="0"/>
                <w:bCs/>
                <w:sz w:val="21"/>
                <w:szCs w:val="21"/>
                <w:u w:val="none" w:color="auto"/>
              </w:rPr>
            </w:pPr>
            <w:r>
              <w:rPr>
                <w:rFonts w:ascii="Times New Roman" w:hAnsi="Times New Roman"/>
                <w:b w:val="0"/>
                <w:bCs/>
                <w:sz w:val="21"/>
                <w:szCs w:val="21"/>
                <w:u w:val="none" w:color="auto"/>
              </w:rPr>
              <w:t>地表水环境</w:t>
            </w:r>
          </w:p>
        </w:tc>
        <w:tc>
          <w:tcPr>
            <w:tcW w:w="4922" w:type="dxa"/>
            <w:gridSpan w:val="2"/>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default" w:ascii="Times New Roman" w:hAnsi="Times New Roman" w:eastAsia="宋体"/>
                <w:b w:val="0"/>
                <w:bCs/>
                <w:sz w:val="21"/>
                <w:szCs w:val="21"/>
                <w:highlight w:val="none"/>
                <w:u w:val="none" w:color="auto"/>
                <w:lang w:val="en-US" w:eastAsia="zh-CN"/>
              </w:rPr>
            </w:pPr>
            <w:r>
              <w:rPr>
                <w:rFonts w:hint="default" w:ascii="Times New Roman" w:hAnsi="Times New Roman" w:cs="Times New Roman"/>
                <w:b w:val="0"/>
                <w:bCs w:val="0"/>
                <w:sz w:val="21"/>
                <w:szCs w:val="24"/>
                <w:lang w:val="en-US" w:eastAsia="zh-CN"/>
              </w:rPr>
              <w:t>pH、SS、COD、BOD</w:t>
            </w:r>
            <w:r>
              <w:rPr>
                <w:rFonts w:hint="eastAsia" w:ascii="Times New Roman" w:hAnsi="Times New Roman" w:cs="Times New Roman"/>
                <w:b w:val="0"/>
                <w:bCs w:val="0"/>
                <w:sz w:val="21"/>
                <w:szCs w:val="24"/>
                <w:vertAlign w:val="subscript"/>
                <w:lang w:val="en-US" w:eastAsia="zh-CN"/>
              </w:rPr>
              <w:t>5</w:t>
            </w:r>
            <w:r>
              <w:rPr>
                <w:rFonts w:hint="default" w:ascii="Times New Roman" w:hAnsi="Times New Roman" w:cs="Times New Roman"/>
                <w:b w:val="0"/>
                <w:bCs w:val="0"/>
                <w:sz w:val="21"/>
                <w:szCs w:val="24"/>
                <w:lang w:val="en-US" w:eastAsia="zh-CN"/>
              </w:rPr>
              <w:t>、氨氮、石油类、总磷</w:t>
            </w:r>
          </w:p>
        </w:tc>
        <w:tc>
          <w:tcPr>
            <w:tcW w:w="2841"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ascii="Times New Roman" w:hAnsi="Times New Roman"/>
                <w:b w:val="0"/>
                <w:bCs/>
                <w:sz w:val="21"/>
                <w:szCs w:val="21"/>
                <w:highlight w:val="yellow"/>
                <w:u w:val="none" w:color="auto"/>
              </w:rPr>
            </w:pPr>
            <w:r>
              <w:rPr>
                <w:rFonts w:hint="eastAsia" w:ascii="Times New Roman" w:hAnsi="Times New Roman"/>
                <w:b w:val="0"/>
                <w:bCs/>
                <w:sz w:val="21"/>
                <w:szCs w:val="21"/>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219"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ascii="Times New Roman" w:hAnsi="Times New Roman"/>
                <w:b w:val="0"/>
                <w:bCs/>
                <w:sz w:val="21"/>
                <w:szCs w:val="21"/>
                <w:u w:val="none" w:color="auto"/>
              </w:rPr>
            </w:pPr>
            <w:r>
              <w:rPr>
                <w:rFonts w:ascii="Times New Roman" w:hAnsi="Times New Roman"/>
                <w:b w:val="0"/>
                <w:bCs/>
                <w:sz w:val="21"/>
                <w:szCs w:val="21"/>
                <w:u w:val="none" w:color="auto"/>
              </w:rPr>
              <w:t>噪声</w:t>
            </w:r>
          </w:p>
        </w:tc>
        <w:tc>
          <w:tcPr>
            <w:tcW w:w="4922" w:type="dxa"/>
            <w:gridSpan w:val="2"/>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ascii="Times New Roman" w:hAnsi="Times New Roman"/>
                <w:b w:val="0"/>
                <w:bCs/>
                <w:sz w:val="21"/>
                <w:szCs w:val="21"/>
                <w:u w:val="none" w:color="auto"/>
              </w:rPr>
            </w:pPr>
            <w:r>
              <w:rPr>
                <w:rFonts w:ascii="Times New Roman" w:hAnsi="Times New Roman"/>
                <w:b w:val="0"/>
                <w:bCs/>
                <w:sz w:val="21"/>
                <w:szCs w:val="21"/>
                <w:u w:val="none" w:color="auto"/>
              </w:rPr>
              <w:t>等效连续A声级</w:t>
            </w:r>
          </w:p>
        </w:tc>
        <w:tc>
          <w:tcPr>
            <w:tcW w:w="2841"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ascii="Times New Roman" w:hAnsi="Times New Roman"/>
                <w:b w:val="0"/>
                <w:bCs/>
                <w:sz w:val="21"/>
                <w:szCs w:val="21"/>
                <w:u w:val="none" w:color="auto"/>
              </w:rPr>
            </w:pPr>
            <w:r>
              <w:rPr>
                <w:rFonts w:ascii="Times New Roman" w:hAnsi="Times New Roman"/>
                <w:b w:val="0"/>
                <w:bCs/>
                <w:sz w:val="21"/>
                <w:szCs w:val="21"/>
                <w:u w:val="none" w:color="auto"/>
              </w:rPr>
              <w:t>等效连续A声级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19" w:type="dxa"/>
            <w:vMerge w:val="restart"/>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eastAsia" w:ascii="Times New Roman" w:hAnsi="Times New Roman"/>
                <w:b w:val="0"/>
                <w:bCs/>
                <w:sz w:val="21"/>
                <w:szCs w:val="21"/>
                <w:u w:val="none" w:color="auto"/>
                <w:lang w:val="en-US" w:eastAsia="zh-CN"/>
              </w:rPr>
            </w:pPr>
            <w:r>
              <w:rPr>
                <w:rFonts w:hint="eastAsia"/>
                <w:b w:val="0"/>
                <w:bCs/>
                <w:sz w:val="21"/>
                <w:szCs w:val="21"/>
                <w:u w:val="none" w:color="auto"/>
                <w:lang w:val="en-US" w:eastAsia="zh-CN"/>
              </w:rPr>
              <w:t>生态环境</w:t>
            </w:r>
          </w:p>
        </w:tc>
        <w:tc>
          <w:tcPr>
            <w:tcW w:w="1601"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default" w:ascii="Times New Roman" w:hAnsi="Times New Roman" w:eastAsia="宋体" w:cs="Times New Roman"/>
                <w:b w:val="0"/>
                <w:bCs/>
                <w:sz w:val="21"/>
                <w:szCs w:val="21"/>
                <w:u w:val="none" w:color="auto"/>
                <w:lang w:val="en-US" w:eastAsia="zh-CN"/>
              </w:rPr>
            </w:pPr>
            <w:r>
              <w:rPr>
                <w:rFonts w:hint="eastAsia" w:ascii="Times New Roman" w:hAnsi="Times New Roman" w:eastAsia="宋体" w:cs="Times New Roman"/>
                <w:b w:val="0"/>
                <w:bCs/>
                <w:sz w:val="21"/>
                <w:szCs w:val="21"/>
                <w:u w:val="none" w:color="auto"/>
                <w:lang w:val="en-US" w:eastAsia="zh-CN"/>
              </w:rPr>
              <w:t>陆生植物、陆生动物</w:t>
            </w:r>
          </w:p>
        </w:tc>
        <w:tc>
          <w:tcPr>
            <w:tcW w:w="3321"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default" w:ascii="Times New Roman" w:hAnsi="Times New Roman" w:eastAsia="宋体" w:cs="Times New Roman"/>
                <w:b w:val="0"/>
                <w:bCs/>
                <w:sz w:val="21"/>
                <w:szCs w:val="21"/>
                <w:u w:val="none" w:color="auto"/>
                <w:lang w:val="en-US" w:eastAsia="zh-CN"/>
              </w:rPr>
            </w:pPr>
            <w:r>
              <w:rPr>
                <w:rFonts w:hint="default" w:ascii="Times New Roman" w:hAnsi="Times New Roman" w:eastAsia="宋体" w:cs="Times New Roman"/>
                <w:b w:val="0"/>
                <w:bCs/>
                <w:sz w:val="21"/>
                <w:szCs w:val="21"/>
                <w:u w:val="none" w:color="auto"/>
                <w:lang w:val="en-US" w:eastAsia="zh-CN"/>
              </w:rPr>
              <w:t>分布范围、种群数量、种群结构</w:t>
            </w:r>
          </w:p>
        </w:tc>
        <w:tc>
          <w:tcPr>
            <w:tcW w:w="2841"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ascii="Times New Roman" w:hAnsi="Times New Roman"/>
                <w:b w:val="0"/>
                <w:bCs/>
                <w:sz w:val="21"/>
                <w:szCs w:val="21"/>
                <w:u w:val="none" w:color="auto"/>
              </w:rPr>
            </w:pPr>
            <w:r>
              <w:rPr>
                <w:rFonts w:hint="default" w:ascii="Times New Roman" w:hAnsi="Times New Roman" w:eastAsia="宋体" w:cs="Times New Roman"/>
                <w:b w:val="0"/>
                <w:bCs/>
                <w:sz w:val="21"/>
                <w:szCs w:val="21"/>
                <w:u w:val="none" w:color="auto"/>
                <w:lang w:val="en-US" w:eastAsia="zh-CN"/>
              </w:rPr>
              <w:t>分布范围、种群数量、种群结构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19" w:type="dxa"/>
            <w:vMerge w:val="continue"/>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eastAsia"/>
                <w:b w:val="0"/>
                <w:bCs/>
                <w:sz w:val="21"/>
                <w:szCs w:val="21"/>
                <w:u w:val="none" w:color="auto"/>
                <w:lang w:val="en-US" w:eastAsia="zh-CN"/>
              </w:rPr>
            </w:pPr>
          </w:p>
        </w:tc>
        <w:tc>
          <w:tcPr>
            <w:tcW w:w="1601"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eastAsia" w:ascii="Times New Roman" w:hAnsi="Times New Roman" w:eastAsia="宋体" w:cs="Times New Roman"/>
                <w:b w:val="0"/>
                <w:bCs/>
                <w:sz w:val="21"/>
                <w:szCs w:val="21"/>
                <w:u w:val="none" w:color="auto"/>
                <w:lang w:val="en-US" w:eastAsia="zh-CN"/>
              </w:rPr>
            </w:pPr>
            <w:r>
              <w:rPr>
                <w:rFonts w:hint="default" w:ascii="Times New Roman" w:hAnsi="Times New Roman" w:eastAsia="宋体" w:cs="Times New Roman"/>
                <w:b w:val="0"/>
                <w:bCs/>
                <w:sz w:val="21"/>
                <w:szCs w:val="21"/>
                <w:u w:val="none" w:color="auto"/>
                <w:lang w:val="en-US" w:eastAsia="zh-CN"/>
              </w:rPr>
              <w:t>生物群落</w:t>
            </w:r>
          </w:p>
        </w:tc>
        <w:tc>
          <w:tcPr>
            <w:tcW w:w="3321"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default" w:ascii="Times New Roman" w:hAnsi="Times New Roman" w:eastAsia="宋体" w:cs="Times New Roman"/>
                <w:b w:val="0"/>
                <w:bCs/>
                <w:sz w:val="21"/>
                <w:szCs w:val="21"/>
                <w:u w:val="none" w:color="auto"/>
                <w:lang w:val="en-US" w:eastAsia="zh-CN"/>
              </w:rPr>
            </w:pPr>
            <w:r>
              <w:rPr>
                <w:rFonts w:hint="default" w:ascii="Times New Roman" w:hAnsi="Times New Roman" w:eastAsia="宋体" w:cs="Times New Roman"/>
                <w:b w:val="0"/>
                <w:bCs/>
                <w:sz w:val="21"/>
                <w:szCs w:val="21"/>
                <w:u w:val="none" w:color="auto"/>
                <w:lang w:val="en-US" w:eastAsia="zh-CN"/>
              </w:rPr>
              <w:t>物种组成、群落结构</w:t>
            </w:r>
          </w:p>
        </w:tc>
        <w:tc>
          <w:tcPr>
            <w:tcW w:w="2841"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eastAsia" w:ascii="Times New Roman" w:hAnsi="Times New Roman"/>
                <w:b w:val="0"/>
                <w:bCs/>
                <w:sz w:val="21"/>
                <w:szCs w:val="21"/>
                <w:u w:val="none" w:color="auto"/>
              </w:rPr>
            </w:pPr>
            <w:r>
              <w:rPr>
                <w:rFonts w:hint="default" w:ascii="Times New Roman" w:hAnsi="Times New Roman" w:eastAsia="宋体" w:cs="Times New Roman"/>
                <w:b w:val="0"/>
                <w:bCs/>
                <w:sz w:val="21"/>
                <w:szCs w:val="21"/>
                <w:u w:val="none" w:color="auto"/>
                <w:lang w:val="en-US" w:eastAsia="zh-CN"/>
              </w:rPr>
              <w:t>物种组成、群落结构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19" w:type="dxa"/>
            <w:vMerge w:val="continue"/>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eastAsia"/>
                <w:b w:val="0"/>
                <w:bCs/>
                <w:sz w:val="21"/>
                <w:szCs w:val="21"/>
                <w:u w:val="none" w:color="auto"/>
                <w:lang w:val="en-US" w:eastAsia="zh-CN"/>
              </w:rPr>
            </w:pPr>
          </w:p>
        </w:tc>
        <w:tc>
          <w:tcPr>
            <w:tcW w:w="1601"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eastAsia" w:ascii="Times New Roman" w:hAnsi="Times New Roman" w:eastAsia="宋体" w:cs="Times New Roman"/>
                <w:b w:val="0"/>
                <w:bCs/>
                <w:sz w:val="21"/>
                <w:szCs w:val="21"/>
                <w:u w:val="none" w:color="auto"/>
                <w:lang w:val="en-US" w:eastAsia="zh-CN"/>
              </w:rPr>
            </w:pPr>
            <w:r>
              <w:rPr>
                <w:rFonts w:hint="default" w:ascii="Times New Roman" w:hAnsi="Times New Roman" w:eastAsia="宋体" w:cs="Times New Roman"/>
                <w:b w:val="0"/>
                <w:bCs/>
                <w:sz w:val="21"/>
                <w:szCs w:val="21"/>
                <w:u w:val="none" w:color="auto"/>
                <w:lang w:val="en-US" w:eastAsia="zh-CN"/>
              </w:rPr>
              <w:t>生态系统</w:t>
            </w:r>
          </w:p>
        </w:tc>
        <w:tc>
          <w:tcPr>
            <w:tcW w:w="3321"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default" w:ascii="Times New Roman" w:hAnsi="Times New Roman" w:eastAsia="宋体" w:cs="Times New Roman"/>
                <w:b w:val="0"/>
                <w:bCs/>
                <w:sz w:val="21"/>
                <w:szCs w:val="21"/>
                <w:u w:val="none" w:color="auto"/>
                <w:lang w:val="en-US" w:eastAsia="zh-CN"/>
              </w:rPr>
            </w:pPr>
            <w:r>
              <w:rPr>
                <w:rFonts w:hint="default" w:ascii="Times New Roman" w:hAnsi="Times New Roman" w:eastAsia="宋体" w:cs="Times New Roman"/>
                <w:b w:val="0"/>
                <w:bCs/>
                <w:sz w:val="21"/>
                <w:szCs w:val="21"/>
                <w:u w:val="none" w:color="auto"/>
                <w:lang w:val="en-US" w:eastAsia="zh-CN"/>
              </w:rPr>
              <w:t>植被覆盖度、生产力、生物量、生态系统功能</w:t>
            </w:r>
          </w:p>
        </w:tc>
        <w:tc>
          <w:tcPr>
            <w:tcW w:w="2841" w:type="dxa"/>
            <w:shd w:val="clear" w:color="auto" w:fill="auto"/>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eastAsia" w:ascii="Times New Roman" w:hAnsi="Times New Roman" w:eastAsia="宋体" w:cs="Times New Roman"/>
                <w:b w:val="0"/>
                <w:bCs/>
                <w:kern w:val="2"/>
                <w:sz w:val="21"/>
                <w:szCs w:val="21"/>
                <w:u w:val="none" w:color="auto"/>
                <w:lang w:val="en-US" w:eastAsia="zh-CN" w:bidi="ar-SA"/>
              </w:rPr>
            </w:pPr>
            <w:r>
              <w:rPr>
                <w:rFonts w:hint="default" w:ascii="Times New Roman" w:hAnsi="Times New Roman" w:eastAsia="宋体" w:cs="Times New Roman"/>
                <w:b w:val="0"/>
                <w:bCs/>
                <w:sz w:val="21"/>
                <w:szCs w:val="21"/>
                <w:u w:val="none" w:color="auto"/>
                <w:lang w:val="en-US" w:eastAsia="zh-CN"/>
              </w:rPr>
              <w:t>植被覆盖度、生产力、生物量、生态系统功能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219" w:type="dxa"/>
            <w:vMerge w:val="continue"/>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eastAsia"/>
                <w:b w:val="0"/>
                <w:bCs/>
                <w:sz w:val="21"/>
                <w:szCs w:val="21"/>
                <w:u w:val="none" w:color="auto"/>
                <w:lang w:val="en-US" w:eastAsia="zh-CN"/>
              </w:rPr>
            </w:pPr>
          </w:p>
        </w:tc>
        <w:tc>
          <w:tcPr>
            <w:tcW w:w="1601"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default" w:ascii="Times New Roman" w:hAnsi="Times New Roman" w:eastAsia="宋体" w:cs="Times New Roman"/>
                <w:b w:val="0"/>
                <w:bCs/>
                <w:sz w:val="21"/>
                <w:szCs w:val="21"/>
                <w:u w:val="none" w:color="auto"/>
                <w:lang w:val="en-US" w:eastAsia="zh-CN"/>
              </w:rPr>
            </w:pPr>
            <w:r>
              <w:rPr>
                <w:rFonts w:hint="default" w:ascii="Times New Roman" w:hAnsi="Times New Roman" w:eastAsia="宋体" w:cs="Times New Roman"/>
                <w:b w:val="0"/>
                <w:bCs/>
                <w:sz w:val="21"/>
                <w:szCs w:val="21"/>
                <w:u w:val="none" w:color="auto"/>
                <w:lang w:val="en-US" w:eastAsia="zh-CN"/>
              </w:rPr>
              <w:t>生态敏感区</w:t>
            </w:r>
          </w:p>
        </w:tc>
        <w:tc>
          <w:tcPr>
            <w:tcW w:w="3321"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default" w:ascii="Times New Roman" w:hAnsi="Times New Roman" w:eastAsia="宋体" w:cs="Times New Roman"/>
                <w:b w:val="0"/>
                <w:bCs/>
                <w:sz w:val="21"/>
                <w:szCs w:val="21"/>
                <w:u w:val="none" w:color="auto"/>
                <w:lang w:val="en-US" w:eastAsia="zh-CN"/>
              </w:rPr>
            </w:pPr>
            <w:r>
              <w:rPr>
                <w:rFonts w:hint="default" w:ascii="Times New Roman" w:hAnsi="Times New Roman" w:eastAsia="宋体" w:cs="Times New Roman"/>
                <w:b w:val="0"/>
                <w:bCs/>
                <w:sz w:val="21"/>
                <w:szCs w:val="21"/>
                <w:u w:val="none" w:color="auto"/>
                <w:lang w:val="en-US" w:eastAsia="zh-CN"/>
              </w:rPr>
              <w:t>主要保护对象、生态功能等</w:t>
            </w:r>
          </w:p>
        </w:tc>
        <w:tc>
          <w:tcPr>
            <w:tcW w:w="2841"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eastAsia" w:ascii="Times New Roman" w:hAnsi="Times New Roman"/>
                <w:b w:val="0"/>
                <w:bCs/>
                <w:sz w:val="21"/>
                <w:szCs w:val="21"/>
                <w:u w:val="none" w:color="auto"/>
              </w:rPr>
            </w:pPr>
            <w:r>
              <w:rPr>
                <w:rFonts w:hint="default" w:ascii="Times New Roman" w:hAnsi="Times New Roman" w:eastAsia="宋体" w:cs="Times New Roman"/>
                <w:b w:val="0"/>
                <w:bCs/>
                <w:sz w:val="21"/>
                <w:szCs w:val="21"/>
                <w:u w:val="none" w:color="auto"/>
                <w:lang w:val="en-US" w:eastAsia="zh-CN"/>
              </w:rPr>
              <w:t>主要保护对象、生态功能等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19" w:type="dxa"/>
            <w:vMerge w:val="continue"/>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eastAsia"/>
                <w:b w:val="0"/>
                <w:bCs/>
                <w:sz w:val="21"/>
                <w:szCs w:val="21"/>
                <w:u w:val="none" w:color="auto"/>
                <w:lang w:val="en-US" w:eastAsia="zh-CN"/>
              </w:rPr>
            </w:pPr>
          </w:p>
        </w:tc>
        <w:tc>
          <w:tcPr>
            <w:tcW w:w="1601"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default" w:ascii="Times New Roman" w:hAnsi="Times New Roman" w:eastAsia="宋体" w:cs="Times New Roman"/>
                <w:b w:val="0"/>
                <w:bCs/>
                <w:sz w:val="21"/>
                <w:szCs w:val="21"/>
                <w:u w:val="none" w:color="auto"/>
                <w:lang w:val="en-US" w:eastAsia="zh-CN"/>
              </w:rPr>
            </w:pPr>
            <w:r>
              <w:rPr>
                <w:rFonts w:hint="default" w:ascii="Times New Roman" w:hAnsi="Times New Roman" w:eastAsia="宋体" w:cs="Times New Roman"/>
                <w:b w:val="0"/>
                <w:bCs/>
                <w:sz w:val="21"/>
                <w:szCs w:val="21"/>
                <w:u w:val="none" w:color="auto"/>
                <w:lang w:val="en-US" w:eastAsia="zh-CN"/>
              </w:rPr>
              <w:t>自然景观</w:t>
            </w:r>
          </w:p>
        </w:tc>
        <w:tc>
          <w:tcPr>
            <w:tcW w:w="3321"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default" w:ascii="Times New Roman" w:hAnsi="Times New Roman" w:eastAsia="宋体" w:cs="Times New Roman"/>
                <w:b w:val="0"/>
                <w:bCs/>
                <w:sz w:val="21"/>
                <w:szCs w:val="21"/>
                <w:u w:val="none" w:color="auto"/>
                <w:lang w:val="en-US" w:eastAsia="zh-CN"/>
              </w:rPr>
            </w:pPr>
            <w:r>
              <w:rPr>
                <w:rFonts w:hint="default" w:ascii="Times New Roman" w:hAnsi="Times New Roman" w:eastAsia="宋体" w:cs="Times New Roman"/>
                <w:b w:val="0"/>
                <w:bCs/>
                <w:sz w:val="21"/>
                <w:szCs w:val="21"/>
                <w:u w:val="none" w:color="auto"/>
                <w:lang w:val="en-US" w:eastAsia="zh-CN"/>
              </w:rPr>
              <w:t>景观多样性、完整性等</w:t>
            </w:r>
          </w:p>
        </w:tc>
        <w:tc>
          <w:tcPr>
            <w:tcW w:w="2841"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eastAsia" w:ascii="Times New Roman" w:hAnsi="Times New Roman"/>
                <w:b w:val="0"/>
                <w:bCs/>
                <w:sz w:val="21"/>
                <w:szCs w:val="21"/>
                <w:u w:val="none" w:color="auto"/>
              </w:rPr>
            </w:pPr>
            <w:r>
              <w:rPr>
                <w:rFonts w:hint="default" w:ascii="Times New Roman" w:hAnsi="Times New Roman" w:eastAsia="宋体" w:cs="Times New Roman"/>
                <w:b w:val="0"/>
                <w:bCs/>
                <w:sz w:val="21"/>
                <w:szCs w:val="21"/>
                <w:u w:val="none" w:color="auto"/>
                <w:lang w:val="en-US" w:eastAsia="zh-CN"/>
              </w:rPr>
              <w:t>景观多样性、完整性等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19"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default"/>
                <w:b w:val="0"/>
                <w:bCs/>
                <w:sz w:val="21"/>
                <w:szCs w:val="21"/>
                <w:u w:val="none" w:color="auto"/>
                <w:lang w:val="en-US" w:eastAsia="zh-CN"/>
              </w:rPr>
            </w:pPr>
            <w:r>
              <w:rPr>
                <w:rFonts w:hint="eastAsia"/>
                <w:b w:val="0"/>
                <w:bCs/>
                <w:sz w:val="21"/>
                <w:szCs w:val="21"/>
                <w:u w:val="none" w:color="auto"/>
                <w:lang w:val="en-US" w:eastAsia="zh-CN"/>
              </w:rPr>
              <w:t>电磁</w:t>
            </w:r>
          </w:p>
        </w:tc>
        <w:tc>
          <w:tcPr>
            <w:tcW w:w="4922" w:type="dxa"/>
            <w:gridSpan w:val="2"/>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default" w:ascii="Times New Roman" w:hAnsi="Times New Roman" w:eastAsia="宋体" w:cs="Times New Roman"/>
                <w:b w:val="0"/>
                <w:bCs/>
                <w:sz w:val="21"/>
                <w:szCs w:val="21"/>
                <w:u w:val="none" w:color="auto"/>
                <w:lang w:val="en-US" w:eastAsia="zh-CN"/>
              </w:rPr>
            </w:pPr>
            <w:r>
              <w:rPr>
                <w:rFonts w:hint="eastAsia" w:cs="Times New Roman"/>
                <w:b w:val="0"/>
                <w:bCs/>
                <w:sz w:val="21"/>
                <w:szCs w:val="21"/>
                <w:u w:val="none" w:color="auto"/>
                <w:lang w:val="en-US" w:eastAsia="zh-CN"/>
              </w:rPr>
              <w:t>工频电场、工频磁场</w:t>
            </w:r>
          </w:p>
        </w:tc>
        <w:tc>
          <w:tcPr>
            <w:tcW w:w="2841" w:type="dxa"/>
            <w:noWrap w:val="0"/>
            <w:vAlign w:val="center"/>
          </w:tcPr>
          <w:p>
            <w:pPr>
              <w:pStyle w:val="175"/>
              <w:keepNext w:val="0"/>
              <w:keepLines w:val="0"/>
              <w:pageBreakBefore w:val="0"/>
              <w:widowControl/>
              <w:kinsoku/>
              <w:wordWrap/>
              <w:overflowPunct/>
              <w:topLinePunct w:val="0"/>
              <w:autoSpaceDE/>
              <w:autoSpaceDN/>
              <w:bidi w:val="0"/>
              <w:snapToGrid w:val="0"/>
              <w:spacing w:line="240" w:lineRule="auto"/>
              <w:ind w:firstLine="0" w:firstLineChars="0"/>
              <w:rPr>
                <w:rFonts w:hint="default" w:ascii="Times New Roman" w:hAnsi="Times New Roman" w:eastAsia="宋体" w:cs="Times New Roman"/>
                <w:b w:val="0"/>
                <w:bCs/>
                <w:sz w:val="21"/>
                <w:szCs w:val="21"/>
                <w:u w:val="none" w:color="auto"/>
                <w:lang w:val="en-US" w:eastAsia="zh-CN"/>
              </w:rPr>
            </w:pPr>
            <w:r>
              <w:rPr>
                <w:rFonts w:hint="eastAsia" w:cs="Times New Roman"/>
                <w:b w:val="0"/>
                <w:bCs/>
                <w:sz w:val="21"/>
                <w:szCs w:val="21"/>
                <w:u w:val="none" w:color="auto"/>
                <w:lang w:val="en-US" w:eastAsia="zh-CN"/>
              </w:rPr>
              <w:t>工频电场、工频磁场</w:t>
            </w:r>
          </w:p>
        </w:tc>
      </w:tr>
    </w:tbl>
    <w:p>
      <w:pPr>
        <w:pStyle w:val="457"/>
        <w:ind w:firstLine="643"/>
        <w:rPr>
          <w:rFonts w:ascii="Times New Roman" w:cs="Times New Roman"/>
          <w:color w:val="000000" w:themeColor="text1"/>
          <w:u w:val="none" w:color="auto"/>
          <w14:textFill>
            <w14:solidFill>
              <w14:schemeClr w14:val="tx1"/>
            </w14:solidFill>
          </w14:textFill>
        </w:rPr>
      </w:pPr>
      <w:bookmarkStart w:id="19" w:name="_Toc10689"/>
      <w:r>
        <w:rPr>
          <w:rFonts w:ascii="Times New Roman" w:cs="Times New Roman"/>
          <w:color w:val="000000" w:themeColor="text1"/>
          <w:u w:val="none" w:color="auto"/>
          <w14:textFill>
            <w14:solidFill>
              <w14:schemeClr w14:val="tx1"/>
            </w14:solidFill>
          </w14:textFill>
        </w:rPr>
        <w:t>评价</w:t>
      </w:r>
      <w:bookmarkEnd w:id="18"/>
      <w:r>
        <w:rPr>
          <w:rFonts w:ascii="Times New Roman" w:cs="Times New Roman"/>
          <w:color w:val="000000" w:themeColor="text1"/>
          <w:u w:val="none" w:color="auto"/>
          <w14:textFill>
            <w14:solidFill>
              <w14:schemeClr w14:val="tx1"/>
            </w14:solidFill>
          </w14:textFill>
        </w:rPr>
        <w:t>重点</w:t>
      </w:r>
      <w:bookmarkEnd w:id="19"/>
    </w:p>
    <w:p>
      <w:pPr>
        <w:pStyle w:val="462"/>
        <w:ind w:firstLine="480"/>
        <w:rPr>
          <w:rFonts w:hint="eastAsia" w:cs="Times New Roman"/>
          <w:color w:val="000000" w:themeColor="text1"/>
          <w:u w:val="none" w:color="auto"/>
          <w14:textFill>
            <w14:solidFill>
              <w14:schemeClr w14:val="tx1"/>
            </w14:solidFill>
          </w14:textFill>
        </w:rPr>
      </w:pPr>
      <w:r>
        <w:rPr>
          <w:rFonts w:hint="eastAsia" w:cs="Times New Roman"/>
          <w:color w:val="000000" w:themeColor="text1"/>
          <w:u w:val="none" w:color="auto"/>
          <w14:textFill>
            <w14:solidFill>
              <w14:schemeClr w14:val="tx1"/>
            </w14:solidFill>
          </w14:textFill>
        </w:rPr>
        <w:t>本项目属生态类建设项目，根据工程特征与工程所在地的环境特征，以及工程环境 影响因子识别等综合分析，确定评价重点为：</w:t>
      </w:r>
    </w:p>
    <w:p>
      <w:pPr>
        <w:pStyle w:val="462"/>
        <w:ind w:firstLine="480"/>
        <w:rPr>
          <w:rFonts w:hint="eastAsia" w:cs="Times New Roman"/>
          <w:color w:val="000000" w:themeColor="text1"/>
          <w:u w:val="none" w:color="auto"/>
          <w14:textFill>
            <w14:solidFill>
              <w14:schemeClr w14:val="tx1"/>
            </w14:solidFill>
          </w14:textFill>
        </w:rPr>
      </w:pPr>
      <w:r>
        <w:rPr>
          <w:rFonts w:hint="eastAsia" w:cs="Times New Roman"/>
          <w:color w:val="000000" w:themeColor="text1"/>
          <w:u w:val="none" w:color="auto"/>
          <w14:textFill>
            <w14:solidFill>
              <w14:schemeClr w14:val="tx1"/>
            </w14:solidFill>
          </w14:textFill>
        </w:rPr>
        <w:t>(1) 重点分析项目主体设施及临时设施选址、选线的合理性；</w:t>
      </w:r>
    </w:p>
    <w:p>
      <w:pPr>
        <w:pStyle w:val="462"/>
        <w:ind w:firstLine="480"/>
        <w:rPr>
          <w:rFonts w:hint="eastAsia" w:cs="Times New Roman"/>
          <w:color w:val="000000" w:themeColor="text1"/>
          <w:u w:val="none" w:color="auto"/>
          <w14:textFill>
            <w14:solidFill>
              <w14:schemeClr w14:val="tx1"/>
            </w14:solidFill>
          </w14:textFill>
        </w:rPr>
      </w:pPr>
      <w:r>
        <w:rPr>
          <w:rFonts w:hint="eastAsia" w:cs="Times New Roman"/>
          <w:color w:val="000000" w:themeColor="text1"/>
          <w:u w:val="none" w:color="auto"/>
          <w14:textFill>
            <w14:solidFill>
              <w14:schemeClr w14:val="tx1"/>
            </w14:solidFill>
          </w14:textFill>
        </w:rPr>
        <w:t>(2) 重点分析项目施工期施工活动对所在区域植被生物量、物种多样性、完整性影响；</w:t>
      </w:r>
    </w:p>
    <w:p>
      <w:pPr>
        <w:pStyle w:val="462"/>
        <w:ind w:firstLine="480"/>
        <w:rPr>
          <w:rFonts w:hint="eastAsia" w:cs="Times New Roman"/>
          <w:color w:val="000000" w:themeColor="text1"/>
          <w:u w:val="none" w:color="auto"/>
          <w14:textFill>
            <w14:solidFill>
              <w14:schemeClr w14:val="tx1"/>
            </w14:solidFill>
          </w14:textFill>
        </w:rPr>
      </w:pPr>
      <w:r>
        <w:rPr>
          <w:rFonts w:hint="eastAsia" w:cs="Times New Roman"/>
          <w:color w:val="000000" w:themeColor="text1"/>
          <w:u w:val="none" w:color="auto"/>
          <w14:textFill>
            <w14:solidFill>
              <w14:schemeClr w14:val="tx1"/>
            </w14:solidFill>
          </w14:textFill>
        </w:rPr>
        <w:t>(3) 重点分析工程建设和运行对</w:t>
      </w:r>
      <w:r>
        <w:rPr>
          <w:rFonts w:hint="eastAsia" w:cs="Times New Roman"/>
          <w:color w:val="000000" w:themeColor="text1"/>
          <w:u w:val="none" w:color="auto"/>
          <w:lang w:eastAsia="zh-CN"/>
          <w14:textFill>
            <w14:solidFill>
              <w14:schemeClr w14:val="tx1"/>
            </w14:solidFill>
          </w14:textFill>
        </w:rPr>
        <w:t>周边居民点</w:t>
      </w:r>
      <w:r>
        <w:rPr>
          <w:rFonts w:hint="eastAsia" w:cs="Times New Roman"/>
          <w:color w:val="000000" w:themeColor="text1"/>
          <w:u w:val="none" w:color="auto"/>
          <w14:textFill>
            <w14:solidFill>
              <w14:schemeClr w14:val="tx1"/>
            </w14:solidFill>
          </w14:textFill>
        </w:rPr>
        <w:t>的噪声环境影响，并提出相应声环境保护措施；</w:t>
      </w:r>
    </w:p>
    <w:p>
      <w:pPr>
        <w:pStyle w:val="462"/>
        <w:ind w:firstLine="480"/>
        <w:rPr>
          <w:rFonts w:hint="eastAsia" w:cs="Times New Roman"/>
          <w:color w:val="000000" w:themeColor="text1"/>
          <w:u w:val="none" w:color="auto"/>
          <w14:textFill>
            <w14:solidFill>
              <w14:schemeClr w14:val="tx1"/>
            </w14:solidFill>
          </w14:textFill>
        </w:rPr>
      </w:pPr>
      <w:r>
        <w:rPr>
          <w:rFonts w:hint="eastAsia" w:cs="Times New Roman"/>
          <w:color w:val="000000" w:themeColor="text1"/>
          <w:u w:val="none" w:color="auto"/>
          <w14:textFill>
            <w14:solidFill>
              <w14:schemeClr w14:val="tx1"/>
            </w14:solidFill>
          </w14:textFill>
        </w:rPr>
        <w:t>(4) 重点分析运营期风机运行对区域鸟类迁徙的影响，并提出相应的保护措施。</w:t>
      </w:r>
    </w:p>
    <w:p>
      <w:pPr>
        <w:pStyle w:val="462"/>
        <w:ind w:firstLine="480"/>
        <w:rPr>
          <w:rFonts w:cs="Times New Roman"/>
          <w:color w:val="000000" w:themeColor="text1"/>
          <w:u w:val="none" w:color="auto"/>
          <w14:textFill>
            <w14:solidFill>
              <w14:schemeClr w14:val="tx1"/>
            </w14:solidFill>
          </w14:textFill>
        </w:rPr>
      </w:pPr>
      <w:r>
        <w:rPr>
          <w:rFonts w:hint="eastAsia" w:cs="Times New Roman"/>
          <w:color w:val="000000" w:themeColor="text1"/>
          <w:u w:val="none" w:color="auto"/>
          <w14:textFill>
            <w14:solidFill>
              <w14:schemeClr w14:val="tx1"/>
            </w14:solidFill>
          </w14:textFill>
        </w:rPr>
        <w:t>(5) 在工程分析及污染防治对策分析基础上，重点分析“三废”污染防治措施的可行性，分析废水污染防治措施的可行性，同时注重对产生扬尘、噪声等的分析预测</w:t>
      </w:r>
      <w:r>
        <w:rPr>
          <w:rFonts w:cs="Times New Roman"/>
          <w:color w:val="000000" w:themeColor="text1"/>
          <w:u w:val="none" w:color="auto"/>
          <w14:textFill>
            <w14:solidFill>
              <w14:schemeClr w14:val="tx1"/>
            </w14:solidFill>
          </w14:textFill>
        </w:rPr>
        <w:t>。</w:t>
      </w:r>
    </w:p>
    <w:p>
      <w:pPr>
        <w:pStyle w:val="457"/>
        <w:ind w:firstLine="643"/>
        <w:rPr>
          <w:rFonts w:ascii="Times New Roman" w:cs="Times New Roman"/>
          <w:color w:val="000000" w:themeColor="text1"/>
          <w:u w:val="none" w:color="auto"/>
          <w14:textFill>
            <w14:solidFill>
              <w14:schemeClr w14:val="tx1"/>
            </w14:solidFill>
          </w14:textFill>
        </w:rPr>
      </w:pPr>
      <w:bookmarkStart w:id="20" w:name="_Toc10024"/>
      <w:r>
        <w:rPr>
          <w:rFonts w:ascii="Times New Roman" w:cs="Times New Roman"/>
          <w:color w:val="000000" w:themeColor="text1"/>
          <w:u w:val="none" w:color="auto"/>
          <w14:textFill>
            <w14:solidFill>
              <w14:schemeClr w14:val="tx1"/>
            </w14:solidFill>
          </w14:textFill>
        </w:rPr>
        <w:t>环境功能区划</w:t>
      </w:r>
      <w:bookmarkEnd w:id="20"/>
    </w:p>
    <w:p>
      <w:pPr>
        <w:bidi w:val="0"/>
        <w:rPr>
          <w:rFonts w:hint="eastAsia"/>
        </w:rPr>
      </w:pPr>
      <w:r>
        <w:rPr>
          <w:rFonts w:hint="eastAsia"/>
        </w:rPr>
        <w:t>(1) 大气环境功能区</w:t>
      </w:r>
    </w:p>
    <w:p>
      <w:pPr>
        <w:bidi w:val="0"/>
        <w:rPr>
          <w:rFonts w:hint="eastAsia"/>
        </w:rPr>
      </w:pPr>
      <w:r>
        <w:rPr>
          <w:rFonts w:hint="eastAsia"/>
        </w:rPr>
        <w:t xml:space="preserve">项目所在地属于《环境空气质量标准》 </w:t>
      </w:r>
      <w:r>
        <w:rPr>
          <w:rFonts w:hint="eastAsia"/>
        </w:rPr>
        <w:tab/>
      </w:r>
      <w:r>
        <w:rPr>
          <w:rFonts w:hint="eastAsia"/>
        </w:rPr>
        <w:t>(GB3095-2012)二类环境空气质量功能区。</w:t>
      </w:r>
    </w:p>
    <w:p>
      <w:pPr>
        <w:bidi w:val="0"/>
        <w:rPr>
          <w:rFonts w:hint="eastAsia"/>
        </w:rPr>
      </w:pPr>
      <w:r>
        <w:rPr>
          <w:rFonts w:hint="eastAsia"/>
        </w:rPr>
        <w:t>(2) 地表水环境功能区</w:t>
      </w:r>
    </w:p>
    <w:p>
      <w:pPr>
        <w:bidi w:val="0"/>
        <w:rPr>
          <w:rFonts w:hint="eastAsia"/>
        </w:rPr>
      </w:pPr>
      <w:r>
        <w:rPr>
          <w:rFonts w:hint="eastAsia"/>
          <w:lang w:val="en-US" w:eastAsia="zh-CN"/>
        </w:rPr>
        <w:t>两江口</w:t>
      </w:r>
      <w:r>
        <w:rPr>
          <w:rFonts w:hint="eastAsia"/>
          <w:lang w:eastAsia="zh-CN"/>
        </w:rPr>
        <w:t>水库执行</w:t>
      </w:r>
      <w:r>
        <w:rPr>
          <w:rFonts w:hint="default"/>
        </w:rPr>
        <w:t>《地表水环境质量标准》（GB3838-2002）中的II类标准</w:t>
      </w:r>
      <w:r>
        <w:rPr>
          <w:rFonts w:hint="eastAsia"/>
          <w:lang w:eastAsia="zh-CN"/>
        </w:rPr>
        <w:t>，</w:t>
      </w:r>
      <w:r>
        <w:rPr>
          <w:rFonts w:hint="default"/>
        </w:rPr>
        <w:t>评价范围内</w:t>
      </w:r>
      <w:r>
        <w:rPr>
          <w:rFonts w:hint="eastAsia"/>
          <w:lang w:eastAsia="zh-CN"/>
        </w:rPr>
        <w:t>其他</w:t>
      </w:r>
      <w:r>
        <w:rPr>
          <w:rFonts w:hint="default"/>
        </w:rPr>
        <w:t>地表水体执行《地表水环境质量标准》（GB3838-2002）中的III类标准</w:t>
      </w:r>
      <w:r>
        <w:rPr>
          <w:rFonts w:hint="eastAsia"/>
        </w:rPr>
        <w:t>。</w:t>
      </w:r>
    </w:p>
    <w:p>
      <w:pPr>
        <w:bidi w:val="0"/>
        <w:rPr>
          <w:rFonts w:hint="eastAsia"/>
        </w:rPr>
      </w:pPr>
      <w:r>
        <w:rPr>
          <w:rFonts w:hint="eastAsia"/>
        </w:rPr>
        <w:t>(3) 声环境功能区</w:t>
      </w:r>
    </w:p>
    <w:p>
      <w:pPr>
        <w:bidi w:val="0"/>
        <w:rPr>
          <w:rFonts w:hint="eastAsia"/>
        </w:rPr>
      </w:pPr>
      <w:r>
        <w:rPr>
          <w:rFonts w:hint="eastAsia"/>
        </w:rPr>
        <w:t>项目风电场所在</w:t>
      </w:r>
      <w:r>
        <w:rPr>
          <w:rFonts w:hint="eastAsia"/>
          <w:lang w:bidi="ar"/>
        </w:rPr>
        <w:t xml:space="preserve">区域属于《声环境质量标准》 (GB3096-2008) 中 </w:t>
      </w:r>
      <w:r>
        <w:rPr>
          <w:lang w:bidi="ar"/>
        </w:rPr>
        <w:t>2</w:t>
      </w:r>
      <w:r>
        <w:rPr>
          <w:rFonts w:hint="eastAsia"/>
          <w:lang w:bidi="ar"/>
        </w:rPr>
        <w:t>类声环境功能区。</w:t>
      </w:r>
    </w:p>
    <w:p>
      <w:pPr>
        <w:bidi w:val="0"/>
        <w:rPr>
          <w:rFonts w:hint="eastAsia"/>
        </w:rPr>
      </w:pPr>
      <w:r>
        <w:rPr>
          <w:rFonts w:hint="eastAsia"/>
        </w:rPr>
        <w:t>(4) 生态环境功能区划</w:t>
      </w:r>
    </w:p>
    <w:p>
      <w:pPr>
        <w:bidi w:val="0"/>
        <w:rPr>
          <w:rFonts w:hint="eastAsia"/>
        </w:rPr>
      </w:pPr>
      <w:r>
        <w:t>根据《全国生态功能区划（修编版）》（环境保护部 中国科学院，2015），评价区属生态功能调节区-水源涵养功能区-都庞岭－萌渚岭水源涵养与生物多样性保护功能区。同时，也属于南岭山地水源涵养与生物多样性保护重要区。根据《湖南省生态功能区划研究报告》（湖南省环境保护厅等，2005），评价区属于湘南山地丘陵常绿阔叶林生态区—都庞岭萌渚岭山丘常绿阔叶林生态亚区—</w:t>
      </w:r>
      <w:r>
        <w:rPr>
          <w:rFonts w:hint="eastAsia"/>
        </w:rPr>
        <w:t>嘉禾丘陵山地农业与水土保持生态功能</w:t>
      </w:r>
      <w:r>
        <w:rPr>
          <w:rFonts w:hint="default"/>
        </w:rPr>
        <w:t>区</w:t>
      </w:r>
      <w:r>
        <w:rPr>
          <w:rFonts w:hint="eastAsia"/>
          <w:lang w:eastAsia="zh-CN"/>
        </w:rPr>
        <w:t>。</w:t>
      </w:r>
    </w:p>
    <w:bookmarkEnd w:id="15"/>
    <w:bookmarkEnd w:id="16"/>
    <w:p>
      <w:pPr>
        <w:pStyle w:val="457"/>
        <w:ind w:firstLine="643"/>
        <w:rPr>
          <w:rFonts w:ascii="Times New Roman" w:cs="Times New Roman"/>
          <w:color w:val="000000" w:themeColor="text1"/>
          <w:u w:val="none" w:color="auto"/>
          <w14:textFill>
            <w14:solidFill>
              <w14:schemeClr w14:val="tx1"/>
            </w14:solidFill>
          </w14:textFill>
        </w:rPr>
      </w:pPr>
      <w:bookmarkStart w:id="21" w:name="_Toc24941"/>
      <w:r>
        <w:rPr>
          <w:rFonts w:ascii="Times New Roman" w:cs="Times New Roman"/>
          <w:color w:val="000000" w:themeColor="text1"/>
          <w:u w:val="none" w:color="auto"/>
          <w14:textFill>
            <w14:solidFill>
              <w14:schemeClr w14:val="tx1"/>
            </w14:solidFill>
          </w14:textFill>
        </w:rPr>
        <w:t>评价工作等级和评价范围</w:t>
      </w:r>
      <w:bookmarkEnd w:id="21"/>
    </w:p>
    <w:p>
      <w:pPr>
        <w:pStyle w:val="458"/>
        <w:ind w:firstLine="602"/>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评价工作等级</w:t>
      </w:r>
    </w:p>
    <w:p>
      <w:pPr>
        <w:pStyle w:val="460"/>
        <w:ind w:firstLine="482"/>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生态环境评价等级</w:t>
      </w:r>
    </w:p>
    <w:p>
      <w:pPr>
        <w:adjustRightInd w:val="0"/>
        <w:snapToGrid w:val="0"/>
        <w:ind w:firstLine="480"/>
      </w:pPr>
      <w:r>
        <w:t>由《环境影响评价技术导则</w:t>
      </w:r>
      <w:r>
        <w:rPr>
          <w:rFonts w:hint="eastAsia"/>
        </w:rPr>
        <w:t xml:space="preserve"> </w:t>
      </w:r>
      <w:r>
        <w:t xml:space="preserve"> 生态影响》（HJ19-2022）可知，生态影响评价工作等级</w:t>
      </w:r>
      <w:r>
        <w:rPr>
          <w:rFonts w:hint="eastAsia"/>
        </w:rPr>
        <w:t>的判定依据是建设项目影响区域的生态敏感性和影响程度。</w:t>
      </w:r>
    </w:p>
    <w:p>
      <w:pPr>
        <w:bidi w:val="0"/>
        <w:rPr>
          <w:color w:val="000000" w:themeColor="text1"/>
          <w:szCs w:val="20"/>
          <w:u w:val="none" w:color="auto"/>
          <w14:textFill>
            <w14:solidFill>
              <w14:schemeClr w14:val="tx1"/>
            </w14:solidFill>
          </w14:textFill>
        </w:rPr>
      </w:pPr>
      <w:r>
        <w:rPr>
          <w:rFonts w:hint="eastAsia"/>
        </w:rPr>
        <w:t>根据下表的判断结果可知，本项目生态环境影响评价工作等级为“三级”</w:t>
      </w:r>
      <w:r>
        <w:rPr>
          <w:color w:val="000000" w:themeColor="text1"/>
          <w:szCs w:val="20"/>
          <w:u w:val="none" w:color="auto"/>
          <w14:textFill>
            <w14:solidFill>
              <w14:schemeClr w14:val="tx1"/>
            </w14:solidFill>
          </w14:textFill>
        </w:rPr>
        <w:t>。</w:t>
      </w:r>
    </w:p>
    <w:p>
      <w:pPr>
        <w:pStyle w:val="623"/>
        <w:ind w:firstLine="422"/>
        <w:rPr>
          <w:rFonts w:cs="Times New Roman"/>
          <w:color w:val="000000" w:themeColor="text1"/>
          <w:u w:val="none" w:color="auto"/>
          <w14:textFill>
            <w14:solidFill>
              <w14:schemeClr w14:val="tx1"/>
            </w14:solidFill>
          </w14:textFill>
        </w:rPr>
      </w:pPr>
      <w:r>
        <w:rPr>
          <w:rFonts w:cs="Times New Roman"/>
          <w:color w:val="000000" w:themeColor="text1"/>
          <w:u w:val="none" w:color="auto"/>
          <w14:textFill>
            <w14:solidFill>
              <w14:schemeClr w14:val="tx1"/>
            </w14:solidFill>
          </w14:textFill>
        </w:rPr>
        <w:t>生态影响评价工作等级划分表</w:t>
      </w:r>
    </w:p>
    <w:tbl>
      <w:tblPr>
        <w:tblStyle w:val="88"/>
        <w:tblW w:w="4951"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31"/>
        <w:gridCol w:w="5103"/>
        <w:gridCol w:w="316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6" w:type="pct"/>
            <w:vAlign w:val="center"/>
          </w:tcPr>
          <w:p>
            <w:pPr>
              <w:tabs>
                <w:tab w:val="clear" w:pos="480"/>
              </w:tabs>
              <w:autoSpaceDE w:val="0"/>
              <w:autoSpaceDN w:val="0"/>
              <w:adjustRightInd w:val="0"/>
              <w:snapToGrid w:val="0"/>
              <w:spacing w:line="240" w:lineRule="auto"/>
              <w:ind w:firstLine="0" w:firstLineChars="0"/>
              <w:jc w:val="center"/>
              <w:rPr>
                <w:kern w:val="0"/>
                <w:sz w:val="18"/>
                <w:szCs w:val="18"/>
                <w:lang w:eastAsia="en-US"/>
              </w:rPr>
            </w:pPr>
            <w:r>
              <w:rPr>
                <w:kern w:val="0"/>
                <w:sz w:val="18"/>
                <w:szCs w:val="18"/>
              </w:rPr>
              <w:t>评价工作等级</w:t>
            </w:r>
          </w:p>
        </w:tc>
        <w:tc>
          <w:tcPr>
            <w:tcW w:w="2774" w:type="pct"/>
            <w:vAlign w:val="center"/>
          </w:tcPr>
          <w:p>
            <w:pPr>
              <w:tabs>
                <w:tab w:val="clear" w:pos="480"/>
              </w:tabs>
              <w:autoSpaceDE w:val="0"/>
              <w:autoSpaceDN w:val="0"/>
              <w:adjustRightInd w:val="0"/>
              <w:snapToGrid w:val="0"/>
              <w:spacing w:line="240" w:lineRule="auto"/>
              <w:ind w:firstLine="0" w:firstLineChars="0"/>
              <w:jc w:val="center"/>
              <w:rPr>
                <w:kern w:val="0"/>
                <w:sz w:val="18"/>
                <w:szCs w:val="18"/>
              </w:rPr>
            </w:pPr>
            <w:r>
              <w:rPr>
                <w:kern w:val="0"/>
                <w:sz w:val="18"/>
                <w:szCs w:val="18"/>
              </w:rPr>
              <w:t>判定依据</w:t>
            </w:r>
          </w:p>
        </w:tc>
        <w:tc>
          <w:tcPr>
            <w:tcW w:w="1719" w:type="pct"/>
            <w:vAlign w:val="center"/>
          </w:tcPr>
          <w:p>
            <w:pPr>
              <w:tabs>
                <w:tab w:val="clear" w:pos="480"/>
              </w:tabs>
              <w:autoSpaceDE w:val="0"/>
              <w:autoSpaceDN w:val="0"/>
              <w:adjustRightInd w:val="0"/>
              <w:snapToGrid w:val="0"/>
              <w:spacing w:line="240" w:lineRule="auto"/>
              <w:ind w:firstLine="0" w:firstLineChars="0"/>
              <w:jc w:val="center"/>
              <w:rPr>
                <w:kern w:val="0"/>
                <w:sz w:val="18"/>
                <w:szCs w:val="18"/>
              </w:rPr>
            </w:pPr>
            <w:r>
              <w:rPr>
                <w:kern w:val="0"/>
                <w:sz w:val="18"/>
                <w:szCs w:val="18"/>
              </w:rPr>
              <w:t>本项目情况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6" w:type="pct"/>
            <w:vAlign w:val="center"/>
          </w:tcPr>
          <w:p>
            <w:pPr>
              <w:tabs>
                <w:tab w:val="clear" w:pos="480"/>
              </w:tabs>
              <w:autoSpaceDE w:val="0"/>
              <w:autoSpaceDN w:val="0"/>
              <w:adjustRightInd w:val="0"/>
              <w:snapToGrid w:val="0"/>
              <w:spacing w:line="240" w:lineRule="auto"/>
              <w:ind w:firstLine="0" w:firstLineChars="0"/>
              <w:jc w:val="center"/>
              <w:rPr>
                <w:kern w:val="0"/>
                <w:sz w:val="18"/>
                <w:szCs w:val="18"/>
              </w:rPr>
            </w:pPr>
            <w:r>
              <w:rPr>
                <w:kern w:val="0"/>
                <w:sz w:val="18"/>
                <w:szCs w:val="18"/>
              </w:rPr>
              <w:t>一级</w:t>
            </w:r>
          </w:p>
        </w:tc>
        <w:tc>
          <w:tcPr>
            <w:tcW w:w="2774" w:type="pct"/>
            <w:vAlign w:val="center"/>
          </w:tcPr>
          <w:p>
            <w:pPr>
              <w:tabs>
                <w:tab w:val="clear" w:pos="480"/>
              </w:tabs>
              <w:autoSpaceDE w:val="0"/>
              <w:autoSpaceDN w:val="0"/>
              <w:adjustRightInd w:val="0"/>
              <w:snapToGrid w:val="0"/>
              <w:spacing w:line="240" w:lineRule="auto"/>
              <w:ind w:firstLine="0" w:firstLineChars="0"/>
              <w:jc w:val="left"/>
              <w:rPr>
                <w:kern w:val="0"/>
                <w:sz w:val="18"/>
                <w:szCs w:val="18"/>
              </w:rPr>
            </w:pPr>
            <w:r>
              <w:rPr>
                <w:kern w:val="0"/>
                <w:sz w:val="18"/>
                <w:szCs w:val="18"/>
              </w:rPr>
              <w:t>（1）涉及国家公园、自然保护区、世界自然遗产、重要生境时，评价等级为一级。</w:t>
            </w:r>
          </w:p>
        </w:tc>
        <w:tc>
          <w:tcPr>
            <w:tcW w:w="1719" w:type="pct"/>
          </w:tcPr>
          <w:p>
            <w:pPr>
              <w:tabs>
                <w:tab w:val="clear" w:pos="480"/>
              </w:tabs>
              <w:autoSpaceDE w:val="0"/>
              <w:autoSpaceDN w:val="0"/>
              <w:adjustRightInd w:val="0"/>
              <w:snapToGrid w:val="0"/>
              <w:spacing w:line="240" w:lineRule="auto"/>
              <w:ind w:firstLine="0" w:firstLineChars="0"/>
              <w:jc w:val="left"/>
              <w:rPr>
                <w:rFonts w:hint="eastAsia" w:eastAsia="宋体"/>
                <w:kern w:val="0"/>
                <w:sz w:val="18"/>
                <w:szCs w:val="18"/>
                <w:lang w:eastAsia="zh-CN"/>
              </w:rPr>
            </w:pPr>
            <w:r>
              <w:rPr>
                <w:sz w:val="18"/>
                <w:szCs w:val="18"/>
              </w:rPr>
              <w:t>本项目不涉及国家公园、自然保护区、世界自然遗产、重要生境</w:t>
            </w:r>
            <w:r>
              <w:rPr>
                <w:rFonts w:hint="eastAsia"/>
                <w:sz w:val="18"/>
                <w:szCs w:val="18"/>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6" w:type="pct"/>
            <w:vAlign w:val="center"/>
          </w:tcPr>
          <w:p>
            <w:pPr>
              <w:tabs>
                <w:tab w:val="clear" w:pos="480"/>
              </w:tabs>
              <w:autoSpaceDE w:val="0"/>
              <w:autoSpaceDN w:val="0"/>
              <w:adjustRightInd w:val="0"/>
              <w:snapToGrid w:val="0"/>
              <w:spacing w:line="240" w:lineRule="auto"/>
              <w:ind w:firstLine="0" w:firstLineChars="0"/>
              <w:jc w:val="center"/>
              <w:rPr>
                <w:kern w:val="0"/>
                <w:sz w:val="18"/>
                <w:szCs w:val="18"/>
              </w:rPr>
            </w:pPr>
            <w:r>
              <w:rPr>
                <w:kern w:val="0"/>
                <w:sz w:val="18"/>
                <w:szCs w:val="18"/>
              </w:rPr>
              <w:t>二级</w:t>
            </w:r>
          </w:p>
        </w:tc>
        <w:tc>
          <w:tcPr>
            <w:tcW w:w="2774" w:type="pct"/>
            <w:vAlign w:val="center"/>
          </w:tcPr>
          <w:p>
            <w:pPr>
              <w:tabs>
                <w:tab w:val="clear" w:pos="480"/>
              </w:tabs>
              <w:autoSpaceDE w:val="0"/>
              <w:autoSpaceDN w:val="0"/>
              <w:adjustRightInd w:val="0"/>
              <w:snapToGrid w:val="0"/>
              <w:spacing w:line="240" w:lineRule="auto"/>
              <w:ind w:firstLine="0" w:firstLineChars="0"/>
              <w:jc w:val="left"/>
              <w:rPr>
                <w:kern w:val="0"/>
                <w:sz w:val="18"/>
                <w:szCs w:val="18"/>
              </w:rPr>
            </w:pPr>
            <w:r>
              <w:rPr>
                <w:kern w:val="0"/>
                <w:sz w:val="18"/>
                <w:szCs w:val="18"/>
              </w:rPr>
              <w:t>（1）涉及自然公园时，评价等级为二级；</w:t>
            </w:r>
          </w:p>
          <w:p>
            <w:pPr>
              <w:tabs>
                <w:tab w:val="left" w:pos="948"/>
                <w:tab w:val="clear" w:pos="480"/>
              </w:tabs>
              <w:autoSpaceDE w:val="0"/>
              <w:autoSpaceDN w:val="0"/>
              <w:adjustRightInd w:val="0"/>
              <w:snapToGrid w:val="0"/>
              <w:spacing w:line="240" w:lineRule="auto"/>
              <w:ind w:firstLine="0" w:firstLineChars="0"/>
              <w:jc w:val="left"/>
              <w:rPr>
                <w:kern w:val="0"/>
                <w:sz w:val="18"/>
                <w:szCs w:val="18"/>
              </w:rPr>
            </w:pPr>
            <w:r>
              <w:rPr>
                <w:kern w:val="0"/>
                <w:sz w:val="18"/>
                <w:szCs w:val="18"/>
              </w:rPr>
              <w:t>（2）涉及生态保护红线时，评价等级不低于二级；</w:t>
            </w:r>
          </w:p>
          <w:p>
            <w:pPr>
              <w:tabs>
                <w:tab w:val="clear" w:pos="480"/>
              </w:tabs>
              <w:autoSpaceDE w:val="0"/>
              <w:autoSpaceDN w:val="0"/>
              <w:adjustRightInd w:val="0"/>
              <w:snapToGrid w:val="0"/>
              <w:spacing w:line="240" w:lineRule="auto"/>
              <w:ind w:firstLine="0" w:firstLineChars="0"/>
              <w:jc w:val="left"/>
              <w:rPr>
                <w:kern w:val="0"/>
                <w:sz w:val="18"/>
                <w:szCs w:val="18"/>
              </w:rPr>
            </w:pPr>
            <w:r>
              <w:rPr>
                <w:kern w:val="0"/>
                <w:sz w:val="18"/>
                <w:szCs w:val="18"/>
              </w:rPr>
              <w:t>（3）属于水文要素影响型且地表水评价等级不低于二级的建设项目，生态影响评价等级不低于二级；</w:t>
            </w:r>
          </w:p>
          <w:p>
            <w:pPr>
              <w:tabs>
                <w:tab w:val="clear" w:pos="480"/>
              </w:tabs>
              <w:autoSpaceDE w:val="0"/>
              <w:autoSpaceDN w:val="0"/>
              <w:adjustRightInd w:val="0"/>
              <w:snapToGrid w:val="0"/>
              <w:spacing w:line="240" w:lineRule="auto"/>
              <w:ind w:firstLine="0" w:firstLineChars="0"/>
              <w:jc w:val="left"/>
              <w:rPr>
                <w:kern w:val="0"/>
                <w:sz w:val="18"/>
                <w:szCs w:val="18"/>
              </w:rPr>
            </w:pPr>
            <w:r>
              <w:rPr>
                <w:kern w:val="0"/>
                <w:sz w:val="18"/>
                <w:szCs w:val="18"/>
              </w:rPr>
              <w:t>（4）地下水水位或土壤影响范围内分布有天然林、公益林、湿地等生态保护目标的建设项目，生态影响评价等级不低于二级；</w:t>
            </w:r>
          </w:p>
          <w:p>
            <w:pPr>
              <w:tabs>
                <w:tab w:val="clear" w:pos="480"/>
              </w:tabs>
              <w:autoSpaceDE w:val="0"/>
              <w:autoSpaceDN w:val="0"/>
              <w:adjustRightInd w:val="0"/>
              <w:snapToGrid w:val="0"/>
              <w:spacing w:line="240" w:lineRule="auto"/>
              <w:ind w:firstLine="0" w:firstLineChars="0"/>
              <w:jc w:val="left"/>
              <w:rPr>
                <w:kern w:val="0"/>
                <w:sz w:val="18"/>
                <w:szCs w:val="18"/>
              </w:rPr>
            </w:pPr>
            <w:r>
              <w:rPr>
                <w:kern w:val="0"/>
                <w:sz w:val="18"/>
                <w:szCs w:val="18"/>
              </w:rPr>
              <w:t>（5）当工程占地规模大于 20 km</w:t>
            </w:r>
            <w:r>
              <w:rPr>
                <w:kern w:val="0"/>
                <w:sz w:val="18"/>
                <w:szCs w:val="18"/>
                <w:vertAlign w:val="superscript"/>
              </w:rPr>
              <w:t>2</w:t>
            </w:r>
            <w:r>
              <w:rPr>
                <w:kern w:val="0"/>
                <w:sz w:val="18"/>
                <w:szCs w:val="18"/>
              </w:rPr>
              <w:t xml:space="preserve"> 时（包括永久和临时占用陆域和水域），评价等级不低于二级；改扩建项目的占地范围以新增占地（包括陆域和水域）确定。</w:t>
            </w:r>
          </w:p>
        </w:tc>
        <w:tc>
          <w:tcPr>
            <w:tcW w:w="1719" w:type="pct"/>
          </w:tcPr>
          <w:p>
            <w:pPr>
              <w:tabs>
                <w:tab w:val="clear" w:pos="480"/>
              </w:tabs>
              <w:autoSpaceDE w:val="0"/>
              <w:autoSpaceDN w:val="0"/>
              <w:adjustRightInd w:val="0"/>
              <w:snapToGrid w:val="0"/>
              <w:spacing w:line="240" w:lineRule="auto"/>
              <w:ind w:firstLine="0" w:firstLineChars="0"/>
              <w:jc w:val="left"/>
              <w:rPr>
                <w:kern w:val="0"/>
                <w:sz w:val="18"/>
                <w:szCs w:val="18"/>
              </w:rPr>
            </w:pPr>
            <w:r>
              <w:rPr>
                <w:kern w:val="0"/>
                <w:sz w:val="18"/>
                <w:szCs w:val="18"/>
              </w:rPr>
              <w:t>（1）项目不涉及自然公园；</w:t>
            </w:r>
          </w:p>
          <w:p>
            <w:pPr>
              <w:pStyle w:val="33"/>
              <w:adjustRightInd w:val="0"/>
              <w:snapToGrid w:val="0"/>
              <w:ind w:firstLine="0" w:firstLineChars="0"/>
              <w:rPr>
                <w:rFonts w:ascii="Times New Roman" w:hAnsi="Times New Roman"/>
                <w:sz w:val="18"/>
                <w:szCs w:val="18"/>
              </w:rPr>
            </w:pPr>
            <w:r>
              <w:rPr>
                <w:rFonts w:ascii="Times New Roman" w:hAnsi="Times New Roman"/>
                <w:sz w:val="18"/>
                <w:szCs w:val="18"/>
              </w:rPr>
              <w:t>（2）项目不涉及生态保护红线；</w:t>
            </w:r>
          </w:p>
          <w:p>
            <w:pPr>
              <w:adjustRightInd w:val="0"/>
              <w:snapToGrid w:val="0"/>
              <w:spacing w:line="240" w:lineRule="auto"/>
              <w:ind w:firstLine="0" w:firstLineChars="0"/>
              <w:rPr>
                <w:sz w:val="18"/>
                <w:szCs w:val="18"/>
              </w:rPr>
            </w:pPr>
            <w:r>
              <w:rPr>
                <w:sz w:val="18"/>
                <w:szCs w:val="18"/>
              </w:rPr>
              <w:t>（3）本项目地表水环境影响评价工作等级为“三级B”；</w:t>
            </w:r>
          </w:p>
          <w:p>
            <w:pPr>
              <w:tabs>
                <w:tab w:val="clear" w:pos="480"/>
              </w:tabs>
              <w:autoSpaceDE w:val="0"/>
              <w:autoSpaceDN w:val="0"/>
              <w:adjustRightInd w:val="0"/>
              <w:snapToGrid w:val="0"/>
              <w:spacing w:line="240" w:lineRule="auto"/>
              <w:ind w:firstLine="0" w:firstLineChars="0"/>
              <w:jc w:val="left"/>
              <w:rPr>
                <w:kern w:val="0"/>
                <w:sz w:val="18"/>
                <w:szCs w:val="18"/>
              </w:rPr>
            </w:pPr>
            <w:r>
              <w:rPr>
                <w:sz w:val="18"/>
                <w:szCs w:val="18"/>
              </w:rPr>
              <w:t>（4）本项目无需进行地下水和土壤环境影响评价</w:t>
            </w:r>
            <w:r>
              <w:rPr>
                <w:kern w:val="0"/>
                <w:sz w:val="18"/>
                <w:szCs w:val="18"/>
              </w:rPr>
              <w:t>；</w:t>
            </w:r>
            <w:r>
              <w:rPr>
                <w:rFonts w:hint="eastAsia"/>
                <w:kern w:val="0"/>
                <w:sz w:val="18"/>
                <w:szCs w:val="18"/>
              </w:rPr>
              <w:t>项目不会造成地下水位变动，土壤影响较小。</w:t>
            </w:r>
          </w:p>
          <w:p>
            <w:pPr>
              <w:tabs>
                <w:tab w:val="clear" w:pos="480"/>
              </w:tabs>
              <w:autoSpaceDE w:val="0"/>
              <w:autoSpaceDN w:val="0"/>
              <w:adjustRightInd w:val="0"/>
              <w:snapToGrid w:val="0"/>
              <w:spacing w:line="240" w:lineRule="auto"/>
              <w:ind w:firstLine="0" w:firstLineChars="0"/>
              <w:jc w:val="left"/>
              <w:rPr>
                <w:sz w:val="18"/>
                <w:szCs w:val="18"/>
              </w:rPr>
            </w:pPr>
            <w:r>
              <w:rPr>
                <w:kern w:val="0"/>
                <w:sz w:val="18"/>
                <w:szCs w:val="18"/>
              </w:rPr>
              <w:t>（5）本项目总用地</w:t>
            </w:r>
            <w:r>
              <w:rPr>
                <w:kern w:val="0"/>
                <w:sz w:val="18"/>
                <w:szCs w:val="18"/>
                <w:highlight w:val="none"/>
              </w:rPr>
              <w:t xml:space="preserve">0. </w:t>
            </w:r>
            <w:r>
              <w:rPr>
                <w:rFonts w:hint="eastAsia"/>
                <w:kern w:val="0"/>
                <w:sz w:val="18"/>
                <w:szCs w:val="18"/>
                <w:highlight w:val="none"/>
                <w:lang w:val="en-US" w:eastAsia="zh-CN"/>
              </w:rPr>
              <w:t>43239</w:t>
            </w:r>
            <w:r>
              <w:rPr>
                <w:sz w:val="18"/>
                <w:szCs w:val="18"/>
                <w:highlight w:val="none"/>
              </w:rPr>
              <w:t>km</w:t>
            </w:r>
            <w:r>
              <w:rPr>
                <w:sz w:val="18"/>
                <w:szCs w:val="18"/>
                <w:highlight w:val="none"/>
                <w:vertAlign w:val="superscript"/>
              </w:rPr>
              <w:t>2</w:t>
            </w:r>
            <w:r>
              <w:rPr>
                <w:sz w:val="18"/>
                <w:szCs w:val="18"/>
                <w:highlight w:val="none"/>
              </w:rPr>
              <w:t>＜</w:t>
            </w:r>
            <w:r>
              <w:rPr>
                <w:sz w:val="18"/>
                <w:szCs w:val="18"/>
              </w:rPr>
              <w:t>20km</w:t>
            </w:r>
            <w:r>
              <w:rPr>
                <w:sz w:val="18"/>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6" w:type="pct"/>
            <w:vAlign w:val="center"/>
          </w:tcPr>
          <w:p>
            <w:pPr>
              <w:tabs>
                <w:tab w:val="clear" w:pos="480"/>
              </w:tabs>
              <w:autoSpaceDE w:val="0"/>
              <w:autoSpaceDN w:val="0"/>
              <w:adjustRightInd w:val="0"/>
              <w:snapToGrid w:val="0"/>
              <w:spacing w:line="240" w:lineRule="auto"/>
              <w:ind w:firstLine="0" w:firstLineChars="0"/>
              <w:jc w:val="center"/>
              <w:rPr>
                <w:kern w:val="0"/>
                <w:sz w:val="18"/>
                <w:szCs w:val="18"/>
              </w:rPr>
            </w:pPr>
            <w:r>
              <w:rPr>
                <w:kern w:val="0"/>
                <w:sz w:val="18"/>
                <w:szCs w:val="18"/>
              </w:rPr>
              <w:t>三级</w:t>
            </w:r>
          </w:p>
        </w:tc>
        <w:tc>
          <w:tcPr>
            <w:tcW w:w="2774" w:type="pct"/>
            <w:vAlign w:val="center"/>
          </w:tcPr>
          <w:p>
            <w:pPr>
              <w:tabs>
                <w:tab w:val="clear" w:pos="480"/>
              </w:tabs>
              <w:autoSpaceDE w:val="0"/>
              <w:autoSpaceDN w:val="0"/>
              <w:adjustRightInd w:val="0"/>
              <w:snapToGrid w:val="0"/>
              <w:spacing w:line="240" w:lineRule="auto"/>
              <w:ind w:firstLine="0" w:firstLineChars="0"/>
              <w:jc w:val="center"/>
              <w:rPr>
                <w:kern w:val="0"/>
                <w:sz w:val="18"/>
                <w:szCs w:val="18"/>
              </w:rPr>
            </w:pPr>
            <w:r>
              <w:rPr>
                <w:kern w:val="0"/>
                <w:sz w:val="18"/>
                <w:szCs w:val="18"/>
              </w:rPr>
              <w:t>除以上情形外，评价等级为三级</w:t>
            </w:r>
          </w:p>
        </w:tc>
        <w:tc>
          <w:tcPr>
            <w:tcW w:w="1719" w:type="pct"/>
            <w:vAlign w:val="center"/>
          </w:tcPr>
          <w:p>
            <w:pPr>
              <w:tabs>
                <w:tab w:val="clear" w:pos="480"/>
              </w:tabs>
              <w:autoSpaceDE w:val="0"/>
              <w:autoSpaceDN w:val="0"/>
              <w:adjustRightInd w:val="0"/>
              <w:snapToGrid w:val="0"/>
              <w:spacing w:line="240" w:lineRule="auto"/>
              <w:ind w:firstLine="0" w:firstLineChars="0"/>
              <w:jc w:val="center"/>
              <w:rPr>
                <w:kern w:val="0"/>
                <w:sz w:val="18"/>
                <w:szCs w:val="18"/>
              </w:rPr>
            </w:pPr>
            <w:r>
              <w:rPr>
                <w:kern w:val="0"/>
                <w:sz w:val="18"/>
                <w:szCs w:val="18"/>
              </w:rPr>
              <w:t>本项目不涉及以上情形</w:t>
            </w:r>
            <w:r>
              <w:rPr>
                <w:rFonts w:hint="eastAsia"/>
                <w:kern w:val="0"/>
                <w:sz w:val="18"/>
                <w:szCs w:val="18"/>
              </w:rPr>
              <w:t>，</w:t>
            </w:r>
            <w:r>
              <w:rPr>
                <w:kern w:val="0"/>
                <w:sz w:val="18"/>
                <w:szCs w:val="18"/>
              </w:rPr>
              <w:t>评价等级为三级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6" w:type="pct"/>
            <w:vAlign w:val="center"/>
          </w:tcPr>
          <w:p>
            <w:pPr>
              <w:tabs>
                <w:tab w:val="clear" w:pos="480"/>
              </w:tabs>
              <w:autoSpaceDE w:val="0"/>
              <w:autoSpaceDN w:val="0"/>
              <w:adjustRightInd w:val="0"/>
              <w:snapToGrid w:val="0"/>
              <w:spacing w:line="240" w:lineRule="auto"/>
              <w:ind w:firstLine="0" w:firstLineChars="0"/>
              <w:jc w:val="center"/>
              <w:rPr>
                <w:kern w:val="0"/>
                <w:sz w:val="18"/>
                <w:szCs w:val="18"/>
              </w:rPr>
            </w:pPr>
            <w:r>
              <w:rPr>
                <w:kern w:val="0"/>
                <w:sz w:val="18"/>
                <w:szCs w:val="18"/>
              </w:rPr>
              <w:t>等级上调</w:t>
            </w:r>
          </w:p>
        </w:tc>
        <w:tc>
          <w:tcPr>
            <w:tcW w:w="2774" w:type="pct"/>
            <w:vAlign w:val="center"/>
          </w:tcPr>
          <w:p>
            <w:pPr>
              <w:tabs>
                <w:tab w:val="clear" w:pos="480"/>
              </w:tabs>
              <w:autoSpaceDE w:val="0"/>
              <w:autoSpaceDN w:val="0"/>
              <w:adjustRightInd w:val="0"/>
              <w:snapToGrid w:val="0"/>
              <w:spacing w:line="240" w:lineRule="auto"/>
              <w:ind w:firstLine="0" w:firstLineChars="0"/>
              <w:jc w:val="left"/>
              <w:rPr>
                <w:kern w:val="0"/>
                <w:sz w:val="18"/>
                <w:szCs w:val="18"/>
              </w:rPr>
            </w:pPr>
            <w:r>
              <w:rPr>
                <w:kern w:val="0"/>
                <w:sz w:val="18"/>
                <w:szCs w:val="18"/>
              </w:rPr>
              <w:t>（1）建设项目涉及经论证对保护生物多样性具有重要意义的区域时，可适当上调评价等级；</w:t>
            </w:r>
          </w:p>
          <w:p>
            <w:pPr>
              <w:pStyle w:val="33"/>
              <w:adjustRightInd w:val="0"/>
              <w:snapToGrid w:val="0"/>
              <w:ind w:firstLine="0" w:firstLineChars="0"/>
              <w:rPr>
                <w:rFonts w:ascii="Times New Roman" w:hAnsi="Times New Roman"/>
                <w:sz w:val="18"/>
                <w:szCs w:val="18"/>
              </w:rPr>
            </w:pPr>
            <w:r>
              <w:rPr>
                <w:rFonts w:ascii="Times New Roman" w:hAnsi="Times New Roman"/>
                <w:sz w:val="18"/>
                <w:szCs w:val="18"/>
              </w:rPr>
              <w:t>（2）建设项目同时涉及陆生、水生生态影响时，可针对陆生生态、水生生态分别判定评价等级；</w:t>
            </w:r>
          </w:p>
          <w:p>
            <w:pPr>
              <w:tabs>
                <w:tab w:val="clear" w:pos="480"/>
              </w:tabs>
              <w:autoSpaceDE w:val="0"/>
              <w:autoSpaceDN w:val="0"/>
              <w:adjustRightInd w:val="0"/>
              <w:snapToGrid w:val="0"/>
              <w:spacing w:line="240" w:lineRule="auto"/>
              <w:ind w:firstLine="0" w:firstLineChars="0"/>
              <w:jc w:val="left"/>
              <w:rPr>
                <w:kern w:val="0"/>
                <w:sz w:val="18"/>
                <w:szCs w:val="18"/>
              </w:rPr>
            </w:pPr>
            <w:r>
              <w:rPr>
                <w:kern w:val="0"/>
                <w:sz w:val="18"/>
                <w:szCs w:val="18"/>
              </w:rPr>
              <w:t>（3）在矿山开采可能导致矿区土地利用类型明显改变，或拦河闸坝建设可能明显改变水文情势等情况下，评价等级应上调一级；</w:t>
            </w:r>
          </w:p>
          <w:p>
            <w:pPr>
              <w:pStyle w:val="33"/>
              <w:adjustRightInd w:val="0"/>
              <w:snapToGrid w:val="0"/>
              <w:ind w:firstLine="0" w:firstLineChars="0"/>
              <w:rPr>
                <w:rFonts w:ascii="Times New Roman" w:hAnsi="Times New Roman"/>
                <w:sz w:val="18"/>
                <w:szCs w:val="18"/>
                <w:u w:val="single"/>
              </w:rPr>
            </w:pPr>
            <w:r>
              <w:rPr>
                <w:rFonts w:ascii="Times New Roman" w:hAnsi="Times New Roman"/>
                <w:sz w:val="18"/>
                <w:szCs w:val="18"/>
              </w:rPr>
              <w:t>（4）线性工程可分段确定评价等级。线性工程地下穿越或地表跨越生态敏感区，在生态敏感区范围内无永久、临时占地时，评价等级可下调一级。</w:t>
            </w:r>
          </w:p>
        </w:tc>
        <w:tc>
          <w:tcPr>
            <w:tcW w:w="1719" w:type="pct"/>
          </w:tcPr>
          <w:p>
            <w:pPr>
              <w:tabs>
                <w:tab w:val="clear" w:pos="480"/>
              </w:tabs>
              <w:autoSpaceDE w:val="0"/>
              <w:autoSpaceDN w:val="0"/>
              <w:adjustRightInd w:val="0"/>
              <w:snapToGrid w:val="0"/>
              <w:spacing w:line="240" w:lineRule="auto"/>
              <w:ind w:firstLine="0" w:firstLineChars="0"/>
              <w:jc w:val="left"/>
              <w:rPr>
                <w:kern w:val="0"/>
                <w:sz w:val="18"/>
                <w:szCs w:val="18"/>
              </w:rPr>
            </w:pPr>
            <w:r>
              <w:rPr>
                <w:kern w:val="0"/>
                <w:sz w:val="18"/>
                <w:szCs w:val="18"/>
              </w:rPr>
              <w:t>（1）经论证，项目对生物多样性影响较小；</w:t>
            </w:r>
          </w:p>
          <w:p>
            <w:pPr>
              <w:tabs>
                <w:tab w:val="clear" w:pos="480"/>
              </w:tabs>
              <w:autoSpaceDE w:val="0"/>
              <w:autoSpaceDN w:val="0"/>
              <w:adjustRightInd w:val="0"/>
              <w:snapToGrid w:val="0"/>
              <w:spacing w:line="240" w:lineRule="auto"/>
              <w:ind w:firstLine="0" w:firstLineChars="0"/>
              <w:jc w:val="left"/>
              <w:rPr>
                <w:kern w:val="0"/>
                <w:sz w:val="18"/>
                <w:szCs w:val="18"/>
              </w:rPr>
            </w:pPr>
            <w:r>
              <w:rPr>
                <w:kern w:val="0"/>
                <w:sz w:val="18"/>
                <w:szCs w:val="18"/>
              </w:rPr>
              <w:t>（2）本项目主要涉及对陆生动物的生态影响；</w:t>
            </w:r>
          </w:p>
          <w:p>
            <w:pPr>
              <w:tabs>
                <w:tab w:val="clear" w:pos="480"/>
              </w:tabs>
              <w:autoSpaceDE w:val="0"/>
              <w:autoSpaceDN w:val="0"/>
              <w:adjustRightInd w:val="0"/>
              <w:snapToGrid w:val="0"/>
              <w:spacing w:line="240" w:lineRule="auto"/>
              <w:ind w:firstLine="0" w:firstLineChars="0"/>
              <w:jc w:val="left"/>
              <w:rPr>
                <w:kern w:val="0"/>
                <w:sz w:val="18"/>
                <w:szCs w:val="18"/>
              </w:rPr>
            </w:pPr>
            <w:r>
              <w:rPr>
                <w:kern w:val="0"/>
                <w:sz w:val="18"/>
                <w:szCs w:val="18"/>
              </w:rPr>
              <w:t>（3）本项目为风力发电项目，不属于矿山开采项目；</w:t>
            </w:r>
          </w:p>
          <w:p>
            <w:pPr>
              <w:tabs>
                <w:tab w:val="clear" w:pos="480"/>
              </w:tabs>
              <w:autoSpaceDE w:val="0"/>
              <w:autoSpaceDN w:val="0"/>
              <w:adjustRightInd w:val="0"/>
              <w:snapToGrid w:val="0"/>
              <w:spacing w:line="240" w:lineRule="auto"/>
              <w:ind w:firstLine="0" w:firstLineChars="0"/>
              <w:jc w:val="left"/>
              <w:rPr>
                <w:sz w:val="18"/>
                <w:szCs w:val="18"/>
              </w:rPr>
            </w:pPr>
            <w:r>
              <w:rPr>
                <w:kern w:val="0"/>
                <w:sz w:val="18"/>
                <w:szCs w:val="18"/>
              </w:rPr>
              <w:t>（4）</w:t>
            </w:r>
            <w:r>
              <w:rPr>
                <w:rFonts w:hint="eastAsia"/>
                <w:kern w:val="0"/>
                <w:sz w:val="18"/>
                <w:szCs w:val="18"/>
                <w:lang w:val="en-US" w:eastAsia="zh-CN"/>
              </w:rPr>
              <w:t>项目仅涉及</w:t>
            </w:r>
            <w:r>
              <w:rPr>
                <w:rFonts w:hint="eastAsia"/>
                <w:kern w:val="0"/>
                <w:sz w:val="18"/>
                <w:szCs w:val="18"/>
              </w:rPr>
              <w:t>饮用水水源保护区二级陆域保护区</w:t>
            </w:r>
            <w:r>
              <w:rPr>
                <w:kern w:val="0"/>
                <w:sz w:val="18"/>
                <w:szCs w:val="18"/>
              </w:rPr>
              <w:t>，无需对评价等级进行</w:t>
            </w:r>
            <w:r>
              <w:rPr>
                <w:rFonts w:hint="eastAsia"/>
                <w:kern w:val="0"/>
                <w:sz w:val="18"/>
                <w:szCs w:val="18"/>
                <w:lang w:val="en-US" w:eastAsia="zh-CN"/>
              </w:rPr>
              <w:t>上</w:t>
            </w:r>
            <w:r>
              <w:rPr>
                <w:kern w:val="0"/>
                <w:sz w:val="18"/>
                <w:szCs w:val="18"/>
              </w:rPr>
              <w:t>调</w:t>
            </w:r>
            <w:r>
              <w:rPr>
                <w:rFonts w:hint="eastAsia"/>
                <w:kern w:val="0"/>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6" w:type="pct"/>
            <w:vAlign w:val="center"/>
          </w:tcPr>
          <w:p>
            <w:pPr>
              <w:tabs>
                <w:tab w:val="clear" w:pos="480"/>
              </w:tabs>
              <w:autoSpaceDE w:val="0"/>
              <w:autoSpaceDN w:val="0"/>
              <w:adjustRightInd w:val="0"/>
              <w:snapToGrid w:val="0"/>
              <w:spacing w:line="240" w:lineRule="auto"/>
              <w:ind w:firstLine="0" w:firstLineChars="0"/>
              <w:jc w:val="center"/>
              <w:rPr>
                <w:kern w:val="0"/>
                <w:sz w:val="18"/>
                <w:szCs w:val="18"/>
              </w:rPr>
            </w:pPr>
            <w:r>
              <w:rPr>
                <w:kern w:val="0"/>
                <w:sz w:val="18"/>
                <w:szCs w:val="18"/>
              </w:rPr>
              <w:t>生态影响简单分析</w:t>
            </w:r>
          </w:p>
        </w:tc>
        <w:tc>
          <w:tcPr>
            <w:tcW w:w="2774" w:type="pct"/>
            <w:vAlign w:val="center"/>
          </w:tcPr>
          <w:p>
            <w:pPr>
              <w:tabs>
                <w:tab w:val="clear" w:pos="480"/>
              </w:tabs>
              <w:autoSpaceDE w:val="0"/>
              <w:autoSpaceDN w:val="0"/>
              <w:adjustRightInd w:val="0"/>
              <w:snapToGrid w:val="0"/>
              <w:spacing w:line="240" w:lineRule="auto"/>
              <w:ind w:firstLine="0" w:firstLineChars="0"/>
              <w:jc w:val="center"/>
              <w:rPr>
                <w:kern w:val="0"/>
                <w:sz w:val="18"/>
                <w:szCs w:val="18"/>
              </w:rPr>
            </w:pPr>
            <w:r>
              <w:rPr>
                <w:kern w:val="0"/>
                <w:sz w:val="18"/>
                <w:szCs w:val="18"/>
              </w:rPr>
              <w:t>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tc>
        <w:tc>
          <w:tcPr>
            <w:tcW w:w="1719" w:type="pct"/>
            <w:vAlign w:val="center"/>
          </w:tcPr>
          <w:p>
            <w:pPr>
              <w:pStyle w:val="33"/>
              <w:adjustRightInd w:val="0"/>
              <w:snapToGrid w:val="0"/>
              <w:ind w:firstLine="0" w:firstLineChars="0"/>
              <w:jc w:val="center"/>
              <w:rPr>
                <w:rFonts w:ascii="Times New Roman" w:hAnsi="Times New Roman"/>
                <w:sz w:val="18"/>
                <w:szCs w:val="18"/>
              </w:rPr>
            </w:pPr>
            <w:r>
              <w:rPr>
                <w:rFonts w:ascii="Times New Roman" w:hAnsi="Times New Roman"/>
                <w:sz w:val="18"/>
                <w:szCs w:val="18"/>
              </w:rPr>
              <w:t>本项目</w:t>
            </w:r>
            <w:r>
              <w:rPr>
                <w:rFonts w:hint="eastAsia" w:ascii="Times New Roman" w:hAnsi="Times New Roman"/>
                <w:sz w:val="18"/>
                <w:szCs w:val="18"/>
                <w:lang w:val="en-US" w:eastAsia="zh-CN"/>
              </w:rPr>
              <w:t>不属于污染影响类建设项目</w:t>
            </w:r>
            <w:r>
              <w:rPr>
                <w:rFonts w:hint="eastAsia" w:ascii="Times New Roman" w:hAnsi="Times New Roman"/>
                <w:sz w:val="18"/>
                <w:szCs w:val="18"/>
              </w:rPr>
              <w:t>。</w:t>
            </w:r>
          </w:p>
        </w:tc>
      </w:tr>
    </w:tbl>
    <w:p>
      <w:pPr>
        <w:pStyle w:val="623"/>
        <w:numPr>
          <w:ilvl w:val="0"/>
          <w:numId w:val="0"/>
        </w:numPr>
        <w:jc w:val="both"/>
        <w:rPr>
          <w:rFonts w:cs="Times New Roman"/>
          <w:color w:val="000000" w:themeColor="text1"/>
          <w:u w:val="none" w:color="auto"/>
          <w14:textFill>
            <w14:solidFill>
              <w14:schemeClr w14:val="tx1"/>
            </w14:solidFill>
          </w14:textFill>
        </w:rPr>
      </w:pPr>
    </w:p>
    <w:p>
      <w:pPr>
        <w:pStyle w:val="460"/>
        <w:ind w:firstLine="482"/>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地表水环境评价等级</w:t>
      </w:r>
    </w:p>
    <w:p>
      <w:pPr>
        <w:ind w:firstLine="480"/>
        <w:rPr>
          <w:rFonts w:cs="Times New Roman"/>
          <w:color w:val="000000" w:themeColor="text1"/>
          <w:u w:val="none" w:color="auto"/>
          <w14:textFill>
            <w14:solidFill>
              <w14:schemeClr w14:val="tx1"/>
            </w14:solidFill>
          </w14:textFill>
        </w:rPr>
      </w:pPr>
      <w:r>
        <w:rPr>
          <w:rFonts w:hint="eastAsia"/>
          <w:color w:val="000000"/>
          <w:u w:val="none" w:color="auto"/>
        </w:rPr>
        <w:t>本项目</w:t>
      </w:r>
      <w:r>
        <w:rPr>
          <w:u w:val="none" w:color="auto"/>
        </w:rPr>
        <w:t>地表水环境影响评价属于水污染影响型，</w:t>
      </w:r>
      <w:r>
        <w:rPr>
          <w:color w:val="000000"/>
          <w:u w:val="none" w:color="auto"/>
        </w:rPr>
        <w:t>根据《环境影响评价技术导则  地表水环境》（HJ2.3-2018），</w:t>
      </w:r>
      <w:r>
        <w:rPr>
          <w:rFonts w:cs="Times New Roman"/>
          <w:color w:val="000000" w:themeColor="text1"/>
          <w:u w:val="none" w:color="auto"/>
          <w14:textFill>
            <w14:solidFill>
              <w14:schemeClr w14:val="tx1"/>
            </w14:solidFill>
          </w14:textFill>
        </w:rPr>
        <w:t>具体判定依据见表1-</w:t>
      </w:r>
      <w:r>
        <w:rPr>
          <w:rFonts w:hint="eastAsia" w:cs="Times New Roman"/>
          <w:color w:val="000000" w:themeColor="text1"/>
          <w:u w:val="none" w:color="auto"/>
          <w:lang w:val="en-US" w:eastAsia="zh-CN"/>
          <w14:textFill>
            <w14:solidFill>
              <w14:schemeClr w14:val="tx1"/>
            </w14:solidFill>
          </w14:textFill>
        </w:rPr>
        <w:t>4</w:t>
      </w:r>
      <w:r>
        <w:rPr>
          <w:rFonts w:cs="Times New Roman"/>
          <w:color w:val="000000" w:themeColor="text1"/>
          <w:u w:val="none" w:color="auto"/>
          <w14:textFill>
            <w14:solidFill>
              <w14:schemeClr w14:val="tx1"/>
            </w14:solidFill>
          </w14:textFill>
        </w:rPr>
        <w:t>。</w:t>
      </w:r>
    </w:p>
    <w:p>
      <w:pPr>
        <w:pStyle w:val="623"/>
        <w:ind w:firstLine="422"/>
        <w:rPr>
          <w:rFonts w:cs="Times New Roman"/>
          <w:color w:val="000000" w:themeColor="text1"/>
          <w:u w:val="none" w:color="auto"/>
          <w14:textFill>
            <w14:solidFill>
              <w14:schemeClr w14:val="tx1"/>
            </w14:solidFill>
          </w14:textFill>
        </w:rPr>
      </w:pPr>
      <w:r>
        <w:rPr>
          <w:rFonts w:cs="Times New Roman"/>
          <w:color w:val="000000" w:themeColor="text1"/>
          <w:u w:val="none" w:color="auto"/>
          <w14:textFill>
            <w14:solidFill>
              <w14:schemeClr w14:val="tx1"/>
            </w14:solidFill>
          </w14:textFill>
        </w:rPr>
        <w:t>水污染影响型建设项目影响评价工作等级判定表</w:t>
      </w:r>
    </w:p>
    <w:tbl>
      <w:tblPr>
        <w:tblStyle w:val="88"/>
        <w:tblW w:w="0" w:type="auto"/>
        <w:jc w:val="center"/>
        <w:tblLayout w:type="fixed"/>
        <w:tblCellMar>
          <w:top w:w="0" w:type="dxa"/>
          <w:left w:w="0" w:type="dxa"/>
          <w:bottom w:w="0" w:type="dxa"/>
          <w:right w:w="0" w:type="dxa"/>
        </w:tblCellMar>
      </w:tblPr>
      <w:tblGrid>
        <w:gridCol w:w="1476"/>
        <w:gridCol w:w="1434"/>
        <w:gridCol w:w="6131"/>
      </w:tblGrid>
      <w:tr>
        <w:tblPrEx>
          <w:tblCellMar>
            <w:top w:w="0" w:type="dxa"/>
            <w:left w:w="0" w:type="dxa"/>
            <w:bottom w:w="0" w:type="dxa"/>
            <w:right w:w="0" w:type="dxa"/>
          </w:tblCellMar>
        </w:tblPrEx>
        <w:trPr>
          <w:trHeight w:val="359" w:hRule="exact"/>
          <w:jc w:val="center"/>
        </w:trPr>
        <w:tc>
          <w:tcPr>
            <w:tcW w:w="1476" w:type="dxa"/>
            <w:vMerge w:val="restart"/>
            <w:tcBorders>
              <w:top w:val="single" w:color="000000" w:sz="12" w:space="0"/>
              <w:left w:val="single" w:color="000000" w:sz="12"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72" w:lineRule="exact"/>
              <w:ind w:left="491" w:right="503" w:firstLine="0" w:firstLineChars="0"/>
              <w:jc w:val="center"/>
              <w:rPr>
                <w:color w:val="000000" w:themeColor="text1"/>
                <w:kern w:val="0"/>
                <w:u w:val="none" w:color="auto"/>
                <w14:textFill>
                  <w14:solidFill>
                    <w14:schemeClr w14:val="tx1"/>
                  </w14:solidFill>
                </w14:textFill>
              </w:rPr>
            </w:pPr>
            <w:r>
              <w:rPr>
                <w:color w:val="000000" w:themeColor="text1"/>
                <w:kern w:val="0"/>
                <w:sz w:val="21"/>
                <w:szCs w:val="21"/>
                <w:u w:val="none" w:color="auto"/>
                <w14:textFill>
                  <w14:solidFill>
                    <w14:schemeClr w14:val="tx1"/>
                  </w14:solidFill>
                </w14:textFill>
              </w:rPr>
              <w:t>评价等级</w:t>
            </w:r>
          </w:p>
        </w:tc>
        <w:tc>
          <w:tcPr>
            <w:tcW w:w="7565" w:type="dxa"/>
            <w:gridSpan w:val="2"/>
            <w:tcBorders>
              <w:top w:val="single" w:color="000000" w:sz="12" w:space="0"/>
              <w:left w:val="single" w:color="000000" w:sz="4" w:space="0"/>
              <w:bottom w:val="single" w:color="000000" w:sz="4" w:space="0"/>
              <w:right w:val="single" w:color="000000" w:sz="12" w:space="0"/>
            </w:tcBorders>
            <w:shd w:val="clear" w:color="auto" w:fill="auto"/>
            <w:vAlign w:val="center"/>
          </w:tcPr>
          <w:p>
            <w:pPr>
              <w:tabs>
                <w:tab w:val="clear" w:pos="480"/>
              </w:tabs>
              <w:kinsoku w:val="0"/>
              <w:overflowPunct w:val="0"/>
              <w:autoSpaceDE w:val="0"/>
              <w:autoSpaceDN w:val="0"/>
              <w:adjustRightInd w:val="0"/>
              <w:spacing w:line="272" w:lineRule="exact"/>
              <w:ind w:left="8" w:firstLine="0" w:firstLineChars="0"/>
              <w:jc w:val="center"/>
              <w:rPr>
                <w:color w:val="000000" w:themeColor="text1"/>
                <w:kern w:val="0"/>
                <w:u w:val="none" w:color="auto"/>
                <w14:textFill>
                  <w14:solidFill>
                    <w14:schemeClr w14:val="tx1"/>
                  </w14:solidFill>
                </w14:textFill>
              </w:rPr>
            </w:pPr>
            <w:r>
              <w:rPr>
                <w:color w:val="000000" w:themeColor="text1"/>
                <w:spacing w:val="1"/>
                <w:kern w:val="0"/>
                <w:sz w:val="21"/>
                <w:szCs w:val="21"/>
                <w:u w:val="none" w:color="auto"/>
                <w14:textFill>
                  <w14:solidFill>
                    <w14:schemeClr w14:val="tx1"/>
                  </w14:solidFill>
                </w14:textFill>
              </w:rPr>
              <w:t>判断依据</w:t>
            </w:r>
          </w:p>
        </w:tc>
      </w:tr>
      <w:tr>
        <w:tblPrEx>
          <w:tblCellMar>
            <w:top w:w="0" w:type="dxa"/>
            <w:left w:w="0" w:type="dxa"/>
            <w:bottom w:w="0" w:type="dxa"/>
            <w:right w:w="0" w:type="dxa"/>
          </w:tblCellMar>
        </w:tblPrEx>
        <w:trPr>
          <w:trHeight w:val="350" w:hRule="exact"/>
          <w:jc w:val="center"/>
        </w:trPr>
        <w:tc>
          <w:tcPr>
            <w:tcW w:w="1476" w:type="dxa"/>
            <w:vMerge w:val="continue"/>
            <w:tcBorders>
              <w:top w:val="single" w:color="000000" w:sz="12" w:space="0"/>
              <w:left w:val="single" w:color="000000" w:sz="12"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72" w:lineRule="exact"/>
              <w:ind w:left="8" w:firstLine="0" w:firstLineChars="0"/>
              <w:jc w:val="center"/>
              <w:rPr>
                <w:color w:val="000000" w:themeColor="text1"/>
                <w:kern w:val="0"/>
                <w:u w:val="none" w:color="auto"/>
                <w14:textFill>
                  <w14:solidFill>
                    <w14:schemeClr w14:val="tx1"/>
                  </w14:solidFill>
                </w14:textFill>
              </w:rPr>
            </w:pPr>
          </w:p>
        </w:tc>
        <w:tc>
          <w:tcPr>
            <w:tcW w:w="1434"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72" w:lineRule="exact"/>
              <w:ind w:left="288" w:firstLine="0" w:firstLineChars="0"/>
              <w:jc w:val="left"/>
              <w:rPr>
                <w:color w:val="000000" w:themeColor="text1"/>
                <w:kern w:val="0"/>
                <w:u w:val="none" w:color="auto"/>
                <w14:textFill>
                  <w14:solidFill>
                    <w14:schemeClr w14:val="tx1"/>
                  </w14:solidFill>
                </w14:textFill>
              </w:rPr>
            </w:pPr>
            <w:r>
              <w:rPr>
                <w:color w:val="000000" w:themeColor="text1"/>
                <w:spacing w:val="1"/>
                <w:kern w:val="0"/>
                <w:sz w:val="21"/>
                <w:szCs w:val="21"/>
                <w:u w:val="none" w:color="auto"/>
                <w14:textFill>
                  <w14:solidFill>
                    <w14:schemeClr w14:val="tx1"/>
                  </w14:solidFill>
                </w14:textFill>
              </w:rPr>
              <w:t>排放方式</w:t>
            </w:r>
          </w:p>
        </w:tc>
        <w:tc>
          <w:tcPr>
            <w:tcW w:w="6131" w:type="dxa"/>
            <w:tcBorders>
              <w:top w:val="single" w:color="000000" w:sz="4" w:space="0"/>
              <w:left w:val="single" w:color="000000" w:sz="4" w:space="0"/>
              <w:bottom w:val="single" w:color="000000" w:sz="4" w:space="0"/>
              <w:right w:val="single" w:color="000000" w:sz="12" w:space="0"/>
            </w:tcBorders>
            <w:shd w:val="clear" w:color="auto" w:fill="auto"/>
            <w:vAlign w:val="center"/>
          </w:tcPr>
          <w:p>
            <w:pPr>
              <w:tabs>
                <w:tab w:val="clear" w:pos="480"/>
              </w:tabs>
              <w:kinsoku w:val="0"/>
              <w:overflowPunct w:val="0"/>
              <w:autoSpaceDE w:val="0"/>
              <w:autoSpaceDN w:val="0"/>
              <w:adjustRightInd w:val="0"/>
              <w:spacing w:line="288" w:lineRule="exact"/>
              <w:ind w:left="630" w:firstLine="0" w:firstLineChars="0"/>
              <w:jc w:val="left"/>
              <w:rPr>
                <w:color w:val="000000" w:themeColor="text1"/>
                <w:kern w:val="0"/>
                <w:u w:val="none" w:color="auto"/>
                <w14:textFill>
                  <w14:solidFill>
                    <w14:schemeClr w14:val="tx1"/>
                  </w14:solidFill>
                </w14:textFill>
              </w:rPr>
            </w:pPr>
            <w:r>
              <w:rPr>
                <w:color w:val="000000" w:themeColor="text1"/>
                <w:spacing w:val="1"/>
                <w:kern w:val="0"/>
                <w:sz w:val="21"/>
                <w:szCs w:val="21"/>
                <w:u w:val="none" w:color="auto"/>
                <w14:textFill>
                  <w14:solidFill>
                    <w14:schemeClr w14:val="tx1"/>
                  </w14:solidFill>
                </w14:textFill>
              </w:rPr>
              <w:t>废水排</w:t>
            </w:r>
            <w:r>
              <w:rPr>
                <w:color w:val="000000" w:themeColor="text1"/>
                <w:kern w:val="0"/>
                <w:sz w:val="21"/>
                <w:szCs w:val="21"/>
                <w:u w:val="none" w:color="auto"/>
                <w14:textFill>
                  <w14:solidFill>
                    <w14:schemeClr w14:val="tx1"/>
                  </w14:solidFill>
                </w14:textFill>
              </w:rPr>
              <w:t>放</w:t>
            </w:r>
            <w:r>
              <w:rPr>
                <w:color w:val="000000" w:themeColor="text1"/>
                <w:spacing w:val="1"/>
                <w:kern w:val="0"/>
                <w:sz w:val="21"/>
                <w:szCs w:val="21"/>
                <w:u w:val="none" w:color="auto"/>
                <w14:textFill>
                  <w14:solidFill>
                    <w14:schemeClr w14:val="tx1"/>
                  </w14:solidFill>
                </w14:textFill>
              </w:rPr>
              <w:t>量</w:t>
            </w:r>
            <w:r>
              <w:rPr>
                <w:bCs/>
                <w:color w:val="000000" w:themeColor="text1"/>
                <w:spacing w:val="-2"/>
                <w:kern w:val="0"/>
                <w:sz w:val="21"/>
                <w:szCs w:val="21"/>
                <w:u w:val="none" w:color="auto"/>
                <w14:textFill>
                  <w14:solidFill>
                    <w14:schemeClr w14:val="tx1"/>
                  </w14:solidFill>
                </w14:textFill>
              </w:rPr>
              <w:t>Q</w:t>
            </w:r>
            <w:r>
              <w:rPr>
                <w:color w:val="000000" w:themeColor="text1"/>
                <w:spacing w:val="1"/>
                <w:kern w:val="0"/>
                <w:sz w:val="21"/>
                <w:szCs w:val="21"/>
                <w:u w:val="none" w:color="auto"/>
                <w14:textFill>
                  <w14:solidFill>
                    <w14:schemeClr w14:val="tx1"/>
                  </w14:solidFill>
                </w14:textFill>
              </w:rPr>
              <w:t>（</w:t>
            </w:r>
            <w:r>
              <w:rPr>
                <w:bCs/>
                <w:color w:val="000000" w:themeColor="text1"/>
                <w:kern w:val="0"/>
                <w:sz w:val="21"/>
                <w:szCs w:val="21"/>
                <w:u w:val="none" w:color="auto"/>
                <w14:textFill>
                  <w14:solidFill>
                    <w14:schemeClr w14:val="tx1"/>
                  </w14:solidFill>
                </w14:textFill>
              </w:rPr>
              <w:t>m</w:t>
            </w:r>
            <w:r>
              <w:rPr>
                <w:bCs/>
                <w:color w:val="000000" w:themeColor="text1"/>
                <w:spacing w:val="-1"/>
                <w:kern w:val="0"/>
                <w:position w:val="7"/>
                <w:sz w:val="14"/>
                <w:szCs w:val="14"/>
                <w:u w:val="none" w:color="auto"/>
                <w14:textFill>
                  <w14:solidFill>
                    <w14:schemeClr w14:val="tx1"/>
                  </w14:solidFill>
                </w14:textFill>
              </w:rPr>
              <w:t>3</w:t>
            </w:r>
            <w:r>
              <w:rPr>
                <w:bCs/>
                <w:color w:val="000000" w:themeColor="text1"/>
                <w:kern w:val="0"/>
                <w:sz w:val="21"/>
                <w:szCs w:val="21"/>
                <w:u w:val="none" w:color="auto"/>
                <w14:textFill>
                  <w14:solidFill>
                    <w14:schemeClr w14:val="tx1"/>
                  </w14:solidFill>
                </w14:textFill>
              </w:rPr>
              <w:t>/</w:t>
            </w:r>
            <w:r>
              <w:rPr>
                <w:bCs/>
                <w:color w:val="000000" w:themeColor="text1"/>
                <w:spacing w:val="-1"/>
                <w:kern w:val="0"/>
                <w:sz w:val="21"/>
                <w:szCs w:val="21"/>
                <w:u w:val="none" w:color="auto"/>
                <w14:textFill>
                  <w14:solidFill>
                    <w14:schemeClr w14:val="tx1"/>
                  </w14:solidFill>
                </w14:textFill>
              </w:rPr>
              <w:t>d</w:t>
            </w:r>
            <w:r>
              <w:rPr>
                <w:color w:val="000000" w:themeColor="text1"/>
                <w:spacing w:val="1"/>
                <w:kern w:val="0"/>
                <w:sz w:val="21"/>
                <w:szCs w:val="21"/>
                <w:u w:val="none" w:color="auto"/>
                <w14:textFill>
                  <w14:solidFill>
                    <w14:schemeClr w14:val="tx1"/>
                  </w14:solidFill>
                </w14:textFill>
              </w:rPr>
              <w:t>）</w:t>
            </w:r>
            <w:r>
              <w:rPr>
                <w:bCs/>
                <w:color w:val="000000" w:themeColor="text1"/>
                <w:kern w:val="0"/>
                <w:sz w:val="21"/>
                <w:szCs w:val="21"/>
                <w:u w:val="none" w:color="auto"/>
                <w14:textFill>
                  <w14:solidFill>
                    <w14:schemeClr w14:val="tx1"/>
                  </w14:solidFill>
                </w14:textFill>
              </w:rPr>
              <w:t>/</w:t>
            </w:r>
            <w:r>
              <w:rPr>
                <w:color w:val="000000" w:themeColor="text1"/>
                <w:kern w:val="0"/>
                <w:sz w:val="21"/>
                <w:szCs w:val="21"/>
                <w:u w:val="none" w:color="auto"/>
                <w14:textFill>
                  <w14:solidFill>
                    <w14:schemeClr w14:val="tx1"/>
                  </w14:solidFill>
                </w14:textFill>
              </w:rPr>
              <w:t>水</w:t>
            </w:r>
            <w:r>
              <w:rPr>
                <w:color w:val="000000" w:themeColor="text1"/>
                <w:spacing w:val="1"/>
                <w:kern w:val="0"/>
                <w:sz w:val="21"/>
                <w:szCs w:val="21"/>
                <w:u w:val="none" w:color="auto"/>
                <w14:textFill>
                  <w14:solidFill>
                    <w14:schemeClr w14:val="tx1"/>
                  </w14:solidFill>
                </w14:textFill>
              </w:rPr>
              <w:t>污染物</w:t>
            </w:r>
            <w:r>
              <w:rPr>
                <w:color w:val="000000" w:themeColor="text1"/>
                <w:kern w:val="0"/>
                <w:sz w:val="21"/>
                <w:szCs w:val="21"/>
                <w:u w:val="none" w:color="auto"/>
                <w14:textFill>
                  <w14:solidFill>
                    <w14:schemeClr w14:val="tx1"/>
                  </w14:solidFill>
                </w14:textFill>
              </w:rPr>
              <w:t>当量</w:t>
            </w:r>
            <w:r>
              <w:rPr>
                <w:color w:val="000000" w:themeColor="text1"/>
                <w:spacing w:val="2"/>
                <w:kern w:val="0"/>
                <w:sz w:val="21"/>
                <w:szCs w:val="21"/>
                <w:u w:val="none" w:color="auto"/>
                <w14:textFill>
                  <w14:solidFill>
                    <w14:schemeClr w14:val="tx1"/>
                  </w14:solidFill>
                </w14:textFill>
              </w:rPr>
              <w:t>数</w:t>
            </w:r>
            <w:r>
              <w:rPr>
                <w:bCs/>
                <w:color w:val="000000" w:themeColor="text1"/>
                <w:kern w:val="0"/>
                <w:sz w:val="21"/>
                <w:szCs w:val="21"/>
                <w:u w:val="none" w:color="auto"/>
                <w14:textFill>
                  <w14:solidFill>
                    <w14:schemeClr w14:val="tx1"/>
                  </w14:solidFill>
                </w14:textFill>
              </w:rPr>
              <w:t>W</w:t>
            </w:r>
            <w:r>
              <w:rPr>
                <w:color w:val="000000" w:themeColor="text1"/>
                <w:spacing w:val="1"/>
                <w:kern w:val="0"/>
                <w:sz w:val="21"/>
                <w:szCs w:val="21"/>
                <w:u w:val="none" w:color="auto"/>
                <w14:textFill>
                  <w14:solidFill>
                    <w14:schemeClr w14:val="tx1"/>
                  </w14:solidFill>
                </w14:textFill>
              </w:rPr>
              <w:t>（无</w:t>
            </w:r>
            <w:r>
              <w:rPr>
                <w:color w:val="000000" w:themeColor="text1"/>
                <w:kern w:val="0"/>
                <w:sz w:val="21"/>
                <w:szCs w:val="21"/>
                <w:u w:val="none" w:color="auto"/>
                <w14:textFill>
                  <w14:solidFill>
                    <w14:schemeClr w14:val="tx1"/>
                  </w14:solidFill>
                </w14:textFill>
              </w:rPr>
              <w:t>量</w:t>
            </w:r>
            <w:r>
              <w:rPr>
                <w:color w:val="000000" w:themeColor="text1"/>
                <w:spacing w:val="1"/>
                <w:kern w:val="0"/>
                <w:sz w:val="21"/>
                <w:szCs w:val="21"/>
                <w:u w:val="none" w:color="auto"/>
                <w14:textFill>
                  <w14:solidFill>
                    <w14:schemeClr w14:val="tx1"/>
                  </w14:solidFill>
                </w14:textFill>
              </w:rPr>
              <w:t>纲</w:t>
            </w:r>
            <w:r>
              <w:rPr>
                <w:color w:val="000000" w:themeColor="text1"/>
                <w:kern w:val="0"/>
                <w:sz w:val="21"/>
                <w:szCs w:val="21"/>
                <w:u w:val="none" w:color="auto"/>
                <w14:textFill>
                  <w14:solidFill>
                    <w14:schemeClr w14:val="tx1"/>
                  </w14:solidFill>
                </w14:textFill>
              </w:rPr>
              <w:t>）</w:t>
            </w:r>
          </w:p>
        </w:tc>
      </w:tr>
      <w:tr>
        <w:tblPrEx>
          <w:tblCellMar>
            <w:top w:w="0" w:type="dxa"/>
            <w:left w:w="0" w:type="dxa"/>
            <w:bottom w:w="0" w:type="dxa"/>
            <w:right w:w="0" w:type="dxa"/>
          </w:tblCellMar>
        </w:tblPrEx>
        <w:trPr>
          <w:trHeight w:val="349" w:hRule="exact"/>
          <w:jc w:val="center"/>
        </w:trPr>
        <w:tc>
          <w:tcPr>
            <w:tcW w:w="1476" w:type="dxa"/>
            <w:tcBorders>
              <w:top w:val="single" w:color="000000" w:sz="4" w:space="0"/>
              <w:left w:val="single" w:color="000000" w:sz="12"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72" w:lineRule="exact"/>
              <w:ind w:left="491" w:right="503" w:firstLine="0" w:firstLineChars="0"/>
              <w:jc w:val="center"/>
              <w:rPr>
                <w:color w:val="000000" w:themeColor="text1"/>
                <w:kern w:val="0"/>
                <w:u w:val="none" w:color="auto"/>
                <w14:textFill>
                  <w14:solidFill>
                    <w14:schemeClr w14:val="tx1"/>
                  </w14:solidFill>
                </w14:textFill>
              </w:rPr>
            </w:pPr>
            <w:r>
              <w:rPr>
                <w:color w:val="000000" w:themeColor="text1"/>
                <w:kern w:val="0"/>
                <w:sz w:val="21"/>
                <w:szCs w:val="21"/>
                <w:u w:val="none" w:color="auto"/>
                <w14:textFill>
                  <w14:solidFill>
                    <w14:schemeClr w14:val="tx1"/>
                  </w14:solidFill>
                </w14:textFill>
              </w:rPr>
              <w:t>一级</w:t>
            </w:r>
          </w:p>
        </w:tc>
        <w:tc>
          <w:tcPr>
            <w:tcW w:w="1434"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72" w:lineRule="exact"/>
              <w:ind w:left="289" w:firstLine="0" w:firstLineChars="0"/>
              <w:jc w:val="left"/>
              <w:rPr>
                <w:color w:val="000000" w:themeColor="text1"/>
                <w:kern w:val="0"/>
                <w:u w:val="none" w:color="auto"/>
                <w14:textFill>
                  <w14:solidFill>
                    <w14:schemeClr w14:val="tx1"/>
                  </w14:solidFill>
                </w14:textFill>
              </w:rPr>
            </w:pPr>
            <w:r>
              <w:rPr>
                <w:color w:val="000000" w:themeColor="text1"/>
                <w:kern w:val="0"/>
                <w:sz w:val="21"/>
                <w:szCs w:val="21"/>
                <w:u w:val="none" w:color="auto"/>
                <w14:textFill>
                  <w14:solidFill>
                    <w14:schemeClr w14:val="tx1"/>
                  </w14:solidFill>
                </w14:textFill>
              </w:rPr>
              <w:t>直接排放</w:t>
            </w:r>
          </w:p>
        </w:tc>
        <w:tc>
          <w:tcPr>
            <w:tcW w:w="6131" w:type="dxa"/>
            <w:tcBorders>
              <w:top w:val="single" w:color="000000" w:sz="4" w:space="0"/>
              <w:left w:val="single" w:color="000000" w:sz="4" w:space="0"/>
              <w:bottom w:val="single" w:color="000000" w:sz="4" w:space="0"/>
              <w:right w:val="single" w:color="000000" w:sz="12" w:space="0"/>
            </w:tcBorders>
            <w:shd w:val="clear" w:color="auto" w:fill="auto"/>
            <w:vAlign w:val="center"/>
          </w:tcPr>
          <w:p>
            <w:pPr>
              <w:tabs>
                <w:tab w:val="clear" w:pos="480"/>
              </w:tabs>
              <w:kinsoku w:val="0"/>
              <w:overflowPunct w:val="0"/>
              <w:autoSpaceDE w:val="0"/>
              <w:autoSpaceDN w:val="0"/>
              <w:adjustRightInd w:val="0"/>
              <w:spacing w:line="288" w:lineRule="exact"/>
              <w:ind w:right="2058" w:firstLine="0" w:firstLineChars="0"/>
              <w:jc w:val="center"/>
              <w:rPr>
                <w:color w:val="000000" w:themeColor="text1"/>
                <w:kern w:val="0"/>
                <w:u w:val="none" w:color="auto"/>
                <w14:textFill>
                  <w14:solidFill>
                    <w14:schemeClr w14:val="tx1"/>
                  </w14:solidFill>
                </w14:textFill>
              </w:rPr>
            </w:pPr>
            <w:r>
              <w:rPr>
                <w:color w:val="000000" w:themeColor="text1"/>
                <w:kern w:val="0"/>
                <w:sz w:val="21"/>
                <w:szCs w:val="21"/>
                <w:u w:val="none" w:color="auto"/>
                <w14:textFill>
                  <w14:solidFill>
                    <w14:schemeClr w14:val="tx1"/>
                  </w14:solidFill>
                </w14:textFill>
              </w:rPr>
              <w:t xml:space="preserve">          Q≥20000或</w:t>
            </w:r>
            <w:r>
              <w:rPr>
                <w:color w:val="000000" w:themeColor="text1"/>
                <w:spacing w:val="-2"/>
                <w:kern w:val="0"/>
                <w:sz w:val="21"/>
                <w:szCs w:val="21"/>
                <w:u w:val="none" w:color="auto"/>
                <w14:textFill>
                  <w14:solidFill>
                    <w14:schemeClr w14:val="tx1"/>
                  </w14:solidFill>
                </w14:textFill>
              </w:rPr>
              <w:t>W</w:t>
            </w:r>
            <w:r>
              <w:rPr>
                <w:color w:val="000000" w:themeColor="text1"/>
                <w:kern w:val="0"/>
                <w:sz w:val="21"/>
                <w:szCs w:val="21"/>
                <w:u w:val="none" w:color="auto"/>
                <w14:textFill>
                  <w14:solidFill>
                    <w14:schemeClr w14:val="tx1"/>
                  </w14:solidFill>
                </w14:textFill>
              </w:rPr>
              <w:t>≥600000</w:t>
            </w:r>
          </w:p>
        </w:tc>
      </w:tr>
      <w:tr>
        <w:tblPrEx>
          <w:tblCellMar>
            <w:top w:w="0" w:type="dxa"/>
            <w:left w:w="0" w:type="dxa"/>
            <w:bottom w:w="0" w:type="dxa"/>
            <w:right w:w="0" w:type="dxa"/>
          </w:tblCellMar>
        </w:tblPrEx>
        <w:trPr>
          <w:trHeight w:val="350" w:hRule="exact"/>
          <w:jc w:val="center"/>
        </w:trPr>
        <w:tc>
          <w:tcPr>
            <w:tcW w:w="1476" w:type="dxa"/>
            <w:tcBorders>
              <w:top w:val="single" w:color="000000" w:sz="4" w:space="0"/>
              <w:left w:val="single" w:color="000000" w:sz="12"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73" w:lineRule="exact"/>
              <w:ind w:left="491" w:right="503" w:firstLine="0" w:firstLineChars="0"/>
              <w:jc w:val="center"/>
              <w:rPr>
                <w:color w:val="000000" w:themeColor="text1"/>
                <w:kern w:val="0"/>
                <w:u w:val="none" w:color="auto"/>
                <w14:textFill>
                  <w14:solidFill>
                    <w14:schemeClr w14:val="tx1"/>
                  </w14:solidFill>
                </w14:textFill>
              </w:rPr>
            </w:pPr>
            <w:r>
              <w:rPr>
                <w:color w:val="000000" w:themeColor="text1"/>
                <w:kern w:val="0"/>
                <w:sz w:val="21"/>
                <w:szCs w:val="21"/>
                <w:u w:val="none" w:color="auto"/>
                <w14:textFill>
                  <w14:solidFill>
                    <w14:schemeClr w14:val="tx1"/>
                  </w14:solidFill>
                </w14:textFill>
              </w:rPr>
              <w:t>二级</w:t>
            </w:r>
          </w:p>
        </w:tc>
        <w:tc>
          <w:tcPr>
            <w:tcW w:w="1434"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73" w:lineRule="exact"/>
              <w:ind w:left="289" w:firstLine="0" w:firstLineChars="0"/>
              <w:jc w:val="left"/>
              <w:rPr>
                <w:color w:val="000000" w:themeColor="text1"/>
                <w:kern w:val="0"/>
                <w:u w:val="none" w:color="auto"/>
                <w14:textFill>
                  <w14:solidFill>
                    <w14:schemeClr w14:val="tx1"/>
                  </w14:solidFill>
                </w14:textFill>
              </w:rPr>
            </w:pPr>
            <w:r>
              <w:rPr>
                <w:color w:val="000000" w:themeColor="text1"/>
                <w:kern w:val="0"/>
                <w:sz w:val="21"/>
                <w:szCs w:val="21"/>
                <w:u w:val="none" w:color="auto"/>
                <w14:textFill>
                  <w14:solidFill>
                    <w14:schemeClr w14:val="tx1"/>
                  </w14:solidFill>
                </w14:textFill>
              </w:rPr>
              <w:t>直接排放</w:t>
            </w:r>
          </w:p>
        </w:tc>
        <w:tc>
          <w:tcPr>
            <w:tcW w:w="6131" w:type="dxa"/>
            <w:tcBorders>
              <w:top w:val="single" w:color="000000" w:sz="4" w:space="0"/>
              <w:left w:val="single" w:color="000000" w:sz="4" w:space="0"/>
              <w:bottom w:val="single" w:color="000000" w:sz="4" w:space="0"/>
              <w:right w:val="single" w:color="000000" w:sz="12" w:space="0"/>
            </w:tcBorders>
            <w:shd w:val="clear" w:color="auto" w:fill="auto"/>
            <w:vAlign w:val="center"/>
          </w:tcPr>
          <w:p>
            <w:pPr>
              <w:tabs>
                <w:tab w:val="clear" w:pos="480"/>
              </w:tabs>
              <w:kinsoku w:val="0"/>
              <w:overflowPunct w:val="0"/>
              <w:autoSpaceDE w:val="0"/>
              <w:autoSpaceDN w:val="0"/>
              <w:adjustRightInd w:val="0"/>
              <w:spacing w:line="273" w:lineRule="exact"/>
              <w:ind w:left="7" w:firstLine="0" w:firstLineChars="0"/>
              <w:jc w:val="center"/>
              <w:rPr>
                <w:color w:val="000000" w:themeColor="text1"/>
                <w:kern w:val="0"/>
                <w:u w:val="none" w:color="auto"/>
                <w14:textFill>
                  <w14:solidFill>
                    <w14:schemeClr w14:val="tx1"/>
                  </w14:solidFill>
                </w14:textFill>
              </w:rPr>
            </w:pPr>
            <w:r>
              <w:rPr>
                <w:color w:val="000000" w:themeColor="text1"/>
                <w:kern w:val="0"/>
                <w:sz w:val="21"/>
                <w:szCs w:val="21"/>
                <w:u w:val="none" w:color="auto"/>
                <w14:textFill>
                  <w14:solidFill>
                    <w14:schemeClr w14:val="tx1"/>
                  </w14:solidFill>
                </w14:textFill>
              </w:rPr>
              <w:t>其他</w:t>
            </w:r>
          </w:p>
        </w:tc>
      </w:tr>
      <w:tr>
        <w:tblPrEx>
          <w:tblCellMar>
            <w:top w:w="0" w:type="dxa"/>
            <w:left w:w="0" w:type="dxa"/>
            <w:bottom w:w="0" w:type="dxa"/>
            <w:right w:w="0" w:type="dxa"/>
          </w:tblCellMar>
        </w:tblPrEx>
        <w:trPr>
          <w:trHeight w:val="351" w:hRule="exact"/>
          <w:jc w:val="center"/>
        </w:trPr>
        <w:tc>
          <w:tcPr>
            <w:tcW w:w="1476" w:type="dxa"/>
            <w:tcBorders>
              <w:top w:val="single" w:color="000000" w:sz="4" w:space="0"/>
              <w:left w:val="single" w:color="000000" w:sz="12"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73" w:lineRule="exact"/>
              <w:ind w:left="491" w:right="503" w:firstLine="0" w:firstLineChars="0"/>
              <w:jc w:val="center"/>
              <w:rPr>
                <w:color w:val="000000" w:themeColor="text1"/>
                <w:kern w:val="0"/>
                <w:sz w:val="21"/>
                <w:szCs w:val="21"/>
                <w:u w:val="none" w:color="auto"/>
                <w14:textFill>
                  <w14:solidFill>
                    <w14:schemeClr w14:val="tx1"/>
                  </w14:solidFill>
                </w14:textFill>
              </w:rPr>
            </w:pPr>
            <w:r>
              <w:rPr>
                <w:color w:val="000000" w:themeColor="text1"/>
                <w:kern w:val="0"/>
                <w:sz w:val="21"/>
                <w:szCs w:val="21"/>
                <w:u w:val="none" w:color="auto"/>
                <w14:textFill>
                  <w14:solidFill>
                    <w14:schemeClr w14:val="tx1"/>
                  </w14:solidFill>
                </w14:textFill>
              </w:rPr>
              <w:t>三级A</w:t>
            </w:r>
          </w:p>
        </w:tc>
        <w:tc>
          <w:tcPr>
            <w:tcW w:w="1434"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73" w:lineRule="exact"/>
              <w:ind w:left="289" w:firstLine="0" w:firstLineChars="0"/>
              <w:jc w:val="left"/>
              <w:rPr>
                <w:color w:val="000000" w:themeColor="text1"/>
                <w:kern w:val="0"/>
                <w:sz w:val="21"/>
                <w:szCs w:val="21"/>
                <w:u w:val="none" w:color="auto"/>
                <w14:textFill>
                  <w14:solidFill>
                    <w14:schemeClr w14:val="tx1"/>
                  </w14:solidFill>
                </w14:textFill>
              </w:rPr>
            </w:pPr>
            <w:r>
              <w:rPr>
                <w:color w:val="000000" w:themeColor="text1"/>
                <w:kern w:val="0"/>
                <w:sz w:val="21"/>
                <w:szCs w:val="21"/>
                <w:u w:val="none" w:color="auto"/>
                <w14:textFill>
                  <w14:solidFill>
                    <w14:schemeClr w14:val="tx1"/>
                  </w14:solidFill>
                </w14:textFill>
              </w:rPr>
              <w:t>直接排放</w:t>
            </w:r>
          </w:p>
        </w:tc>
        <w:tc>
          <w:tcPr>
            <w:tcW w:w="6131" w:type="dxa"/>
            <w:tcBorders>
              <w:top w:val="single" w:color="000000" w:sz="4" w:space="0"/>
              <w:left w:val="single" w:color="000000" w:sz="4" w:space="0"/>
              <w:bottom w:val="single" w:color="000000" w:sz="4" w:space="0"/>
              <w:right w:val="single" w:color="000000" w:sz="12" w:space="0"/>
            </w:tcBorders>
            <w:shd w:val="clear" w:color="auto" w:fill="auto"/>
            <w:vAlign w:val="center"/>
          </w:tcPr>
          <w:p>
            <w:pPr>
              <w:tabs>
                <w:tab w:val="clear" w:pos="480"/>
              </w:tabs>
              <w:kinsoku w:val="0"/>
              <w:overflowPunct w:val="0"/>
              <w:autoSpaceDE w:val="0"/>
              <w:autoSpaceDN w:val="0"/>
              <w:adjustRightInd w:val="0"/>
              <w:spacing w:line="273" w:lineRule="exact"/>
              <w:ind w:right="503" w:firstLine="0" w:firstLineChars="0"/>
              <w:jc w:val="center"/>
              <w:rPr>
                <w:color w:val="000000" w:themeColor="text1"/>
                <w:kern w:val="0"/>
                <w:sz w:val="21"/>
                <w:szCs w:val="21"/>
                <w:u w:val="none" w:color="auto"/>
                <w14:textFill>
                  <w14:solidFill>
                    <w14:schemeClr w14:val="tx1"/>
                  </w14:solidFill>
                </w14:textFill>
              </w:rPr>
            </w:pPr>
            <w:r>
              <w:rPr>
                <w:color w:val="000000" w:themeColor="text1"/>
                <w:kern w:val="0"/>
                <w:sz w:val="21"/>
                <w:szCs w:val="21"/>
                <w:u w:val="none" w:color="auto"/>
                <w14:textFill>
                  <w14:solidFill>
                    <w14:schemeClr w14:val="tx1"/>
                  </w14:solidFill>
                </w14:textFill>
              </w:rPr>
              <w:t>Q＜200且W＜6000</w:t>
            </w:r>
          </w:p>
        </w:tc>
      </w:tr>
      <w:tr>
        <w:tblPrEx>
          <w:tblCellMar>
            <w:top w:w="0" w:type="dxa"/>
            <w:left w:w="0" w:type="dxa"/>
            <w:bottom w:w="0" w:type="dxa"/>
            <w:right w:w="0" w:type="dxa"/>
          </w:tblCellMar>
        </w:tblPrEx>
        <w:trPr>
          <w:trHeight w:val="359" w:hRule="exact"/>
          <w:jc w:val="center"/>
        </w:trPr>
        <w:tc>
          <w:tcPr>
            <w:tcW w:w="1476" w:type="dxa"/>
            <w:tcBorders>
              <w:top w:val="single" w:color="000000" w:sz="4" w:space="0"/>
              <w:left w:val="single" w:color="000000" w:sz="12" w:space="0"/>
              <w:bottom w:val="single" w:color="000000" w:sz="12" w:space="0"/>
              <w:right w:val="single" w:color="000000" w:sz="4" w:space="0"/>
            </w:tcBorders>
            <w:shd w:val="clear" w:color="auto" w:fill="auto"/>
            <w:vAlign w:val="center"/>
          </w:tcPr>
          <w:p>
            <w:pPr>
              <w:tabs>
                <w:tab w:val="clear" w:pos="480"/>
              </w:tabs>
              <w:kinsoku w:val="0"/>
              <w:overflowPunct w:val="0"/>
              <w:autoSpaceDE w:val="0"/>
              <w:autoSpaceDN w:val="0"/>
              <w:adjustRightInd w:val="0"/>
              <w:spacing w:line="288" w:lineRule="exact"/>
              <w:ind w:left="441" w:firstLine="0" w:firstLineChars="0"/>
              <w:jc w:val="left"/>
              <w:rPr>
                <w:b/>
                <w:bCs/>
                <w:color w:val="000000" w:themeColor="text1"/>
                <w:kern w:val="0"/>
                <w:u w:val="none" w:color="auto"/>
                <w14:textFill>
                  <w14:solidFill>
                    <w14:schemeClr w14:val="tx1"/>
                  </w14:solidFill>
                </w14:textFill>
              </w:rPr>
            </w:pPr>
            <w:r>
              <w:rPr>
                <w:b/>
                <w:bCs/>
                <w:color w:val="000000" w:themeColor="text1"/>
                <w:kern w:val="0"/>
                <w:sz w:val="21"/>
                <w:szCs w:val="21"/>
                <w:u w:val="none" w:color="auto"/>
                <w14:textFill>
                  <w14:solidFill>
                    <w14:schemeClr w14:val="tx1"/>
                  </w14:solidFill>
                </w14:textFill>
              </w:rPr>
              <w:t>三级B</w:t>
            </w:r>
          </w:p>
        </w:tc>
        <w:tc>
          <w:tcPr>
            <w:tcW w:w="1434" w:type="dxa"/>
            <w:tcBorders>
              <w:top w:val="single" w:color="000000" w:sz="4" w:space="0"/>
              <w:left w:val="single" w:color="000000" w:sz="4" w:space="0"/>
              <w:bottom w:val="single" w:color="000000" w:sz="12" w:space="0"/>
              <w:right w:val="single" w:color="000000" w:sz="4" w:space="0"/>
            </w:tcBorders>
            <w:shd w:val="clear" w:color="auto" w:fill="auto"/>
            <w:vAlign w:val="center"/>
          </w:tcPr>
          <w:p>
            <w:pPr>
              <w:tabs>
                <w:tab w:val="clear" w:pos="480"/>
              </w:tabs>
              <w:kinsoku w:val="0"/>
              <w:overflowPunct w:val="0"/>
              <w:autoSpaceDE w:val="0"/>
              <w:autoSpaceDN w:val="0"/>
              <w:adjustRightInd w:val="0"/>
              <w:spacing w:line="272" w:lineRule="exact"/>
              <w:ind w:left="289" w:firstLine="0" w:firstLineChars="0"/>
              <w:jc w:val="left"/>
              <w:rPr>
                <w:b/>
                <w:bCs/>
                <w:color w:val="000000" w:themeColor="text1"/>
                <w:kern w:val="0"/>
                <w:u w:val="none" w:color="auto"/>
                <w14:textFill>
                  <w14:solidFill>
                    <w14:schemeClr w14:val="tx1"/>
                  </w14:solidFill>
                </w14:textFill>
              </w:rPr>
            </w:pPr>
            <w:r>
              <w:rPr>
                <w:b/>
                <w:bCs/>
                <w:color w:val="000000" w:themeColor="text1"/>
                <w:kern w:val="0"/>
                <w:sz w:val="21"/>
                <w:szCs w:val="21"/>
                <w:u w:val="none" w:color="auto"/>
                <w14:textFill>
                  <w14:solidFill>
                    <w14:schemeClr w14:val="tx1"/>
                  </w14:solidFill>
                </w14:textFill>
              </w:rPr>
              <w:t>间接排放</w:t>
            </w:r>
          </w:p>
        </w:tc>
        <w:tc>
          <w:tcPr>
            <w:tcW w:w="6131" w:type="dxa"/>
            <w:tcBorders>
              <w:top w:val="single" w:color="000000" w:sz="4" w:space="0"/>
              <w:left w:val="single" w:color="000000" w:sz="4" w:space="0"/>
              <w:bottom w:val="single" w:color="000000" w:sz="12" w:space="0"/>
              <w:right w:val="single" w:color="000000" w:sz="12" w:space="0"/>
            </w:tcBorders>
            <w:shd w:val="clear" w:color="auto" w:fill="auto"/>
            <w:vAlign w:val="center"/>
          </w:tcPr>
          <w:p>
            <w:pPr>
              <w:tabs>
                <w:tab w:val="clear" w:pos="480"/>
              </w:tabs>
              <w:kinsoku w:val="0"/>
              <w:overflowPunct w:val="0"/>
              <w:autoSpaceDE w:val="0"/>
              <w:autoSpaceDN w:val="0"/>
              <w:adjustRightInd w:val="0"/>
              <w:spacing w:before="46" w:line="240" w:lineRule="auto"/>
              <w:ind w:left="8" w:firstLine="0" w:firstLineChars="0"/>
              <w:jc w:val="center"/>
              <w:rPr>
                <w:b/>
                <w:bCs/>
                <w:color w:val="000000" w:themeColor="text1"/>
                <w:kern w:val="0"/>
                <w:u w:val="none" w:color="auto"/>
                <w14:textFill>
                  <w14:solidFill>
                    <w14:schemeClr w14:val="tx1"/>
                  </w14:solidFill>
                </w14:textFill>
              </w:rPr>
            </w:pPr>
            <w:r>
              <w:rPr>
                <w:b/>
                <w:bCs/>
                <w:color w:val="000000" w:themeColor="text1"/>
                <w:kern w:val="0"/>
                <w:sz w:val="21"/>
                <w:szCs w:val="21"/>
                <w:u w:val="none" w:color="auto"/>
                <w14:textFill>
                  <w14:solidFill>
                    <w14:schemeClr w14:val="tx1"/>
                  </w14:solidFill>
                </w14:textFill>
              </w:rPr>
              <w:t>/</w:t>
            </w:r>
          </w:p>
        </w:tc>
      </w:tr>
    </w:tbl>
    <w:p>
      <w:pPr>
        <w:pStyle w:val="462"/>
        <w:ind w:firstLine="480"/>
        <w:rPr>
          <w:rFonts w:ascii="Times New Roman" w:hAnsi="Times New Roman" w:eastAsia="宋体" w:cs="Times New Roman"/>
          <w:color w:val="000000" w:themeColor="text1"/>
          <w:u w:val="none" w:color="auto"/>
          <w:lang w:val="zh-CN"/>
          <w14:textFill>
            <w14:solidFill>
              <w14:schemeClr w14:val="tx1"/>
            </w14:solidFill>
          </w14:textFill>
        </w:rPr>
      </w:pPr>
      <w:r>
        <w:rPr>
          <w:rFonts w:hint="eastAsia" w:ascii="Times New Roman" w:hAnsi="Times New Roman" w:eastAsia="宋体" w:cs="Times New Roman"/>
          <w:color w:val="000000" w:themeColor="text1"/>
          <w:u w:val="none" w:color="auto"/>
          <w:lang w:eastAsia="zh-CN"/>
          <w14:textFill>
            <w14:solidFill>
              <w14:schemeClr w14:val="tx1"/>
            </w14:solidFill>
          </w14:textFill>
        </w:rPr>
        <w:t>本项目废水主要为</w:t>
      </w:r>
      <w:r>
        <w:rPr>
          <w:rFonts w:hint="eastAsia" w:cs="Times New Roman"/>
          <w:color w:val="000000" w:themeColor="text1"/>
          <w:u w:val="none" w:color="auto"/>
          <w:lang w:val="en-US" w:eastAsia="zh-CN"/>
          <w14:textFill>
            <w14:solidFill>
              <w14:schemeClr w14:val="tx1"/>
            </w14:solidFill>
          </w14:textFill>
        </w:rPr>
        <w:t>汇集</w:t>
      </w:r>
      <w:r>
        <w:rPr>
          <w:rFonts w:hint="eastAsia" w:ascii="Times New Roman" w:hAnsi="Times New Roman" w:eastAsia="宋体" w:cs="Times New Roman"/>
          <w:color w:val="000000" w:themeColor="text1"/>
          <w:u w:val="none" w:color="auto"/>
          <w:lang w:eastAsia="zh-CN"/>
          <w14:textFill>
            <w14:solidFill>
              <w14:schemeClr w14:val="tx1"/>
            </w14:solidFill>
          </w14:textFill>
        </w:rPr>
        <w:t>站员工生活污水。生活污水经</w:t>
      </w:r>
      <w:r>
        <w:rPr>
          <w:rFonts w:hint="eastAsia" w:cs="Times New Roman"/>
          <w:color w:val="000000" w:themeColor="text1"/>
          <w:u w:val="none" w:color="auto"/>
          <w:lang w:eastAsia="zh-CN"/>
          <w14:textFill>
            <w14:solidFill>
              <w14:schemeClr w14:val="tx1"/>
            </w14:solidFill>
          </w14:textFill>
        </w:rPr>
        <w:t>一体化污水处理设施</w:t>
      </w:r>
      <w:r>
        <w:rPr>
          <w:rFonts w:hint="eastAsia" w:ascii="Times New Roman" w:hAnsi="Times New Roman" w:eastAsia="宋体" w:cs="Times New Roman"/>
          <w:color w:val="000000" w:themeColor="text1"/>
          <w:u w:val="none" w:color="auto"/>
          <w:lang w:eastAsia="zh-CN"/>
          <w14:textFill>
            <w14:solidFill>
              <w14:schemeClr w14:val="tx1"/>
            </w14:solidFill>
          </w14:textFill>
        </w:rPr>
        <w:t>处理后，用于项目</w:t>
      </w:r>
      <w:r>
        <w:rPr>
          <w:rFonts w:hint="eastAsia" w:cs="Times New Roman"/>
          <w:color w:val="000000" w:themeColor="text1"/>
          <w:u w:val="none" w:color="auto"/>
          <w:lang w:eastAsia="zh-CN"/>
          <w14:textFill>
            <w14:solidFill>
              <w14:schemeClr w14:val="tx1"/>
            </w14:solidFill>
          </w14:textFill>
        </w:rPr>
        <w:t>汇集站</w:t>
      </w:r>
      <w:r>
        <w:rPr>
          <w:rFonts w:hint="eastAsia" w:cs="Times New Roman"/>
          <w:color w:val="000000" w:themeColor="text1"/>
          <w:u w:val="none" w:color="auto"/>
          <w:lang w:val="en-US" w:eastAsia="zh-CN"/>
          <w14:textFill>
            <w14:solidFill>
              <w14:schemeClr w14:val="tx1"/>
            </w14:solidFill>
          </w14:textFill>
        </w:rPr>
        <w:t>场区和周边绿化</w:t>
      </w:r>
      <w:r>
        <w:rPr>
          <w:rFonts w:hint="eastAsia" w:ascii="Times New Roman" w:hAnsi="Times New Roman" w:eastAsia="宋体" w:cs="Times New Roman"/>
          <w:color w:val="000000" w:themeColor="text1"/>
          <w:u w:val="none" w:color="auto"/>
          <w:lang w:eastAsia="zh-CN"/>
          <w14:textFill>
            <w14:solidFill>
              <w14:schemeClr w14:val="tx1"/>
            </w14:solidFill>
          </w14:textFill>
        </w:rPr>
        <w:t>，不外排，即本项目无废水直接外排至地表水。</w:t>
      </w:r>
      <w:r>
        <w:rPr>
          <w:rFonts w:ascii="Times New Roman" w:hAnsi="Times New Roman" w:eastAsia="宋体" w:cs="Times New Roman"/>
          <w:color w:val="000000" w:themeColor="text1"/>
          <w:u w:val="none" w:color="auto"/>
          <w:lang w:val="zh-CN"/>
          <w14:textFill>
            <w14:solidFill>
              <w14:schemeClr w14:val="tx1"/>
            </w14:solidFill>
          </w14:textFill>
        </w:rPr>
        <w:t>本项目水污染评价工作等级为</w:t>
      </w:r>
      <w:r>
        <w:rPr>
          <w:rFonts w:ascii="Times New Roman" w:hAnsi="Times New Roman" w:eastAsia="宋体" w:cs="Times New Roman"/>
          <w:color w:val="000000" w:themeColor="text1"/>
          <w:highlight w:val="none"/>
          <w:u w:val="none" w:color="auto"/>
          <w:lang w:val="zh-CN"/>
          <w14:textFill>
            <w14:solidFill>
              <w14:schemeClr w14:val="tx1"/>
            </w14:solidFill>
          </w14:textFill>
        </w:rPr>
        <w:t>三级B</w:t>
      </w:r>
      <w:r>
        <w:rPr>
          <w:rFonts w:ascii="Times New Roman" w:hAnsi="Times New Roman" w:eastAsia="宋体" w:cs="Times New Roman"/>
          <w:color w:val="000000" w:themeColor="text1"/>
          <w:u w:val="none" w:color="auto"/>
          <w:lang w:val="zh-CN"/>
          <w14:textFill>
            <w14:solidFill>
              <w14:schemeClr w14:val="tx1"/>
            </w14:solidFill>
          </w14:textFill>
        </w:rPr>
        <w:t>。</w:t>
      </w:r>
    </w:p>
    <w:p>
      <w:pPr>
        <w:pStyle w:val="460"/>
        <w:ind w:firstLine="482"/>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地下水环境评价等级</w:t>
      </w:r>
    </w:p>
    <w:p>
      <w:pPr>
        <w:ind w:firstLine="480"/>
        <w:rPr>
          <w:rFonts w:hint="default" w:eastAsia="宋体"/>
          <w:color w:val="000000" w:themeColor="text1"/>
          <w:szCs w:val="20"/>
          <w:u w:val="none" w:color="auto"/>
          <w:lang w:val="en-US" w:eastAsia="zh-CN"/>
          <w14:textFill>
            <w14:solidFill>
              <w14:schemeClr w14:val="tx1"/>
            </w14:solidFill>
          </w14:textFill>
        </w:rPr>
      </w:pPr>
      <w:r>
        <w:rPr>
          <w:rFonts w:hint="eastAsia"/>
          <w:color w:val="000000" w:themeColor="text1"/>
          <w:szCs w:val="20"/>
          <w:u w:val="none" w:color="auto"/>
          <w14:textFill>
            <w14:solidFill>
              <w14:schemeClr w14:val="tx1"/>
            </w14:solidFill>
          </w14:textFill>
        </w:rPr>
        <w:t>根据《环境影响评价技术导则 地下水环境》 (HJ610－2016) 附录 A 地下水环境 影响评价行业分类表，本项目建设属于“E  电力—34、其他能源发电”中的‘海上潮汐电 站、波浪电站、温差电站等；涉及环境敏感区的总装机容量5万千瓦及以上的风力发电’报告书项目，地下水环境影响评价项目类别为Ⅳ类，不开展地下水环境影响评价。</w:t>
      </w:r>
    </w:p>
    <w:p>
      <w:pPr>
        <w:pStyle w:val="460"/>
        <w:ind w:firstLine="482"/>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大气环境评价等级</w:t>
      </w:r>
    </w:p>
    <w:p>
      <w:pPr>
        <w:ind w:firstLine="480"/>
        <w:rPr>
          <w:color w:val="000000" w:themeColor="text1"/>
          <w:szCs w:val="20"/>
          <w:u w:val="none" w:color="auto"/>
          <w14:textFill>
            <w14:solidFill>
              <w14:schemeClr w14:val="tx1"/>
            </w14:solidFill>
          </w14:textFill>
        </w:rPr>
      </w:pPr>
      <w:r>
        <w:rPr>
          <w:color w:val="000000" w:themeColor="text1"/>
          <w:szCs w:val="20"/>
          <w:u w:val="none" w:color="auto"/>
          <w14:textFill>
            <w14:solidFill>
              <w14:schemeClr w14:val="tx1"/>
            </w14:solidFill>
          </w14:textFill>
        </w:rPr>
        <w:t>根据《环境影响评价技术导则 大气环境》（HJ2.2-2018），分别计算项目排放主要污染物的最大地面空气质量浓度占标率P</w:t>
      </w:r>
      <w:r>
        <w:rPr>
          <w:color w:val="000000" w:themeColor="text1"/>
          <w:szCs w:val="20"/>
          <w:u w:val="none" w:color="auto"/>
          <w:vertAlign w:val="subscript"/>
          <w14:textFill>
            <w14:solidFill>
              <w14:schemeClr w14:val="tx1"/>
            </w14:solidFill>
          </w14:textFill>
        </w:rPr>
        <w:t xml:space="preserve">i </w:t>
      </w:r>
      <w:r>
        <w:rPr>
          <w:color w:val="000000" w:themeColor="text1"/>
          <w:szCs w:val="20"/>
          <w:u w:val="none" w:color="auto"/>
          <w14:textFill>
            <w14:solidFill>
              <w14:schemeClr w14:val="tx1"/>
            </w14:solidFill>
          </w14:textFill>
        </w:rPr>
        <w:t>（第i 个污染物，简称“最大浓度占标率”），及第i 个污染物的地面空气质量浓度达到标准值的10%时所对应的最远距离D</w:t>
      </w:r>
      <w:r>
        <w:rPr>
          <w:color w:val="000000" w:themeColor="text1"/>
          <w:szCs w:val="20"/>
          <w:u w:val="none" w:color="auto"/>
          <w:vertAlign w:val="subscript"/>
          <w14:textFill>
            <w14:solidFill>
              <w14:schemeClr w14:val="tx1"/>
            </w14:solidFill>
          </w14:textFill>
        </w:rPr>
        <w:t>10%</w:t>
      </w:r>
      <w:r>
        <w:rPr>
          <w:color w:val="000000" w:themeColor="text1"/>
          <w:szCs w:val="20"/>
          <w:u w:val="none" w:color="auto"/>
          <w14:textFill>
            <w14:solidFill>
              <w14:schemeClr w14:val="tx1"/>
            </w14:solidFill>
          </w14:textFill>
        </w:rPr>
        <w:t xml:space="preserve"> 来确定评价等级。</w:t>
      </w:r>
    </w:p>
    <w:p>
      <w:pPr>
        <w:ind w:firstLine="480"/>
        <w:rPr>
          <w:rFonts w:hint="eastAsia"/>
          <w:color w:val="000000" w:themeColor="text1"/>
          <w:szCs w:val="20"/>
          <w:highlight w:val="none"/>
          <w:u w:val="none" w:color="auto"/>
          <w:lang w:eastAsia="zh-CN"/>
          <w14:textFill>
            <w14:solidFill>
              <w14:schemeClr w14:val="tx1"/>
            </w14:solidFill>
          </w14:textFill>
        </w:rPr>
      </w:pPr>
      <w:r>
        <w:rPr>
          <w:rFonts w:hint="eastAsia"/>
          <w:color w:val="000000" w:themeColor="text1"/>
          <w:szCs w:val="20"/>
          <w:highlight w:val="none"/>
          <w:u w:val="none" w:color="auto"/>
          <w:lang w:eastAsia="zh-CN"/>
          <w14:textFill>
            <w14:solidFill>
              <w14:schemeClr w14:val="tx1"/>
            </w14:solidFill>
          </w14:textFill>
        </w:rPr>
        <w:t>本项目施工期污染因子主要为施工扬尘和施工设备尾气，经采取措施治理后可将施工期大气环境影响降到最小 (施工结束后其污染消失) ，其最大地面浓度占标率 Pmax 小于1% 。营运期风电场无废气产生，汇集站食堂油烟很少，最大地面浓度占标率 Pmax 远小于1% ，评价等级为三级。</w:t>
      </w:r>
    </w:p>
    <w:p>
      <w:pPr>
        <w:pStyle w:val="460"/>
        <w:ind w:firstLine="482"/>
        <w:rPr>
          <w:rFonts w:ascii="Times New Roman" w:hAnsi="Times New Roman" w:eastAsia="宋体" w:cs="Times New Roman"/>
          <w:color w:val="000000" w:themeColor="text1"/>
          <w:u w:val="none" w:color="auto"/>
          <w14:textFill>
            <w14:solidFill>
              <w14:schemeClr w14:val="tx1"/>
            </w14:solidFill>
          </w14:textFill>
        </w:rPr>
      </w:pPr>
      <w:r>
        <w:rPr>
          <w:rFonts w:ascii="Times New Roman" w:hAnsi="Times New Roman" w:eastAsia="宋体" w:cs="Times New Roman"/>
          <w:color w:val="000000" w:themeColor="text1"/>
          <w:u w:val="none" w:color="auto"/>
          <w14:textFill>
            <w14:solidFill>
              <w14:schemeClr w14:val="tx1"/>
            </w14:solidFill>
          </w14:textFill>
        </w:rPr>
        <w:t>声环境评价等级</w:t>
      </w:r>
    </w:p>
    <w:p>
      <w:pPr>
        <w:ind w:firstLine="480"/>
        <w:rPr>
          <w:rFonts w:hint="eastAsia" w:ascii="Times New Roman" w:hAnsi="Times New Roman" w:eastAsia="宋体" w:cs="Times New Roman"/>
          <w:color w:val="000000" w:themeColor="text1"/>
          <w:szCs w:val="20"/>
          <w:highlight w:val="none"/>
          <w:u w:val="none" w:color="auto"/>
          <w:lang w:eastAsia="zh-CN"/>
          <w14:textFill>
            <w14:solidFill>
              <w14:schemeClr w14:val="tx1"/>
            </w14:solidFill>
          </w14:textFill>
        </w:rPr>
      </w:pPr>
      <w:r>
        <w:rPr>
          <w:rFonts w:hint="eastAsia" w:ascii="Times New Roman" w:hAnsi="Times New Roman" w:eastAsia="宋体" w:cs="Times New Roman"/>
          <w:color w:val="000000" w:themeColor="text1"/>
          <w:szCs w:val="20"/>
          <w:u w:val="none" w:color="auto"/>
          <w14:textFill>
            <w14:solidFill>
              <w14:schemeClr w14:val="tx1"/>
            </w14:solidFill>
          </w14:textFill>
        </w:rPr>
        <w:t>根据《环境影响评价技术导则—声环境》 (HJ2.4-200</w:t>
      </w:r>
      <w:r>
        <w:rPr>
          <w:rFonts w:hint="eastAsia" w:ascii="Times New Roman" w:hAnsi="Times New Roman" w:eastAsia="宋体" w:cs="Times New Roman"/>
          <w:color w:val="000000" w:themeColor="text1"/>
          <w:szCs w:val="20"/>
          <w:highlight w:val="none"/>
          <w:u w:val="none" w:color="auto"/>
          <w:lang w:eastAsia="zh-CN"/>
          <w14:textFill>
            <w14:solidFill>
              <w14:schemeClr w14:val="tx1"/>
            </w14:solidFill>
          </w14:textFill>
        </w:rPr>
        <w:t>9) ，</w:t>
      </w:r>
      <w:r>
        <w:rPr>
          <w:rFonts w:hint="default" w:ascii="Times New Roman" w:hAnsi="Times New Roman" w:eastAsia="宋体" w:cs="Times New Roman"/>
          <w:color w:val="000000" w:themeColor="text1"/>
          <w:szCs w:val="20"/>
          <w:highlight w:val="none"/>
          <w:u w:val="none" w:color="auto"/>
          <w:lang w:eastAsia="zh-CN"/>
          <w14:textFill>
            <w14:solidFill>
              <w14:schemeClr w14:val="tx1"/>
            </w14:solidFill>
          </w14:textFill>
        </w:rPr>
        <w:t>建设项目所处的声环境功能区为GB 3096规定的1类、2类地区，</w:t>
      </w:r>
      <w:r>
        <w:rPr>
          <w:rFonts w:hint="eastAsia" w:ascii="Times New Roman" w:hAnsi="Times New Roman" w:eastAsia="宋体" w:cs="Times New Roman"/>
          <w:color w:val="000000" w:themeColor="text1"/>
          <w:szCs w:val="20"/>
          <w:lang w:eastAsia="zh-CN"/>
          <w14:textFill>
            <w14:solidFill>
              <w14:schemeClr w14:val="tx1"/>
            </w14:solidFill>
          </w14:textFill>
        </w:rPr>
        <w:t>经预测，</w:t>
      </w:r>
      <w:r>
        <w:rPr>
          <w:rFonts w:hint="eastAsia" w:ascii="Times New Roman" w:hAnsi="Times New Roman" w:eastAsia="宋体" w:cs="Times New Roman"/>
          <w:color w:val="000000" w:themeColor="text1"/>
          <w:szCs w:val="20"/>
          <w14:textFill>
            <w14:solidFill>
              <w14:schemeClr w14:val="tx1"/>
            </w14:solidFill>
          </w14:textFill>
        </w:rPr>
        <w:t>本项目</w:t>
      </w:r>
      <w:r>
        <w:rPr>
          <w:rFonts w:hint="eastAsia" w:ascii="Times New Roman" w:hAnsi="Times New Roman" w:eastAsia="宋体" w:cs="Times New Roman"/>
          <w:color w:val="000000" w:themeColor="text1"/>
          <w:szCs w:val="20"/>
          <w:lang w:eastAsia="zh-CN"/>
          <w14:textFill>
            <w14:solidFill>
              <w14:schemeClr w14:val="tx1"/>
            </w14:solidFill>
          </w14:textFill>
        </w:rPr>
        <w:t>建设前后</w:t>
      </w:r>
      <w:r>
        <w:rPr>
          <w:rFonts w:hint="eastAsia" w:ascii="Times New Roman" w:hAnsi="Times New Roman" w:eastAsia="宋体" w:cs="Times New Roman"/>
          <w:color w:val="000000" w:themeColor="text1"/>
          <w:szCs w:val="20"/>
          <w14:textFill>
            <w14:solidFill>
              <w14:schemeClr w14:val="tx1"/>
            </w14:solidFill>
          </w14:textFill>
        </w:rPr>
        <w:t>评价范围内声环境敏感目标噪声级增高量达5dB(A)</w:t>
      </w:r>
      <w:r>
        <w:rPr>
          <w:rFonts w:hint="eastAsia" w:ascii="Times New Roman" w:hAnsi="Times New Roman" w:eastAsia="宋体" w:cs="Times New Roman"/>
          <w:color w:val="000000" w:themeColor="text1"/>
          <w:szCs w:val="20"/>
          <w:lang w:eastAsia="zh-CN"/>
          <w14:textFill>
            <w14:solidFill>
              <w14:schemeClr w14:val="tx1"/>
            </w14:solidFill>
          </w14:textFill>
        </w:rPr>
        <w:t>以上</w:t>
      </w:r>
      <w:r>
        <w:rPr>
          <w:rFonts w:hint="eastAsia" w:ascii="Times New Roman" w:hAnsi="Times New Roman" w:eastAsia="宋体" w:cs="Times New Roman"/>
          <w:color w:val="000000" w:themeColor="text1"/>
          <w:szCs w:val="20"/>
          <w14:textFill>
            <w14:solidFill>
              <w14:schemeClr w14:val="tx1"/>
            </w14:solidFill>
          </w14:textFill>
        </w:rPr>
        <w:t xml:space="preserve"> 。因此，声环境影响评价等级为</w:t>
      </w:r>
      <w:r>
        <w:rPr>
          <w:rFonts w:hint="eastAsia" w:ascii="Times New Roman" w:hAnsi="Times New Roman" w:eastAsia="宋体" w:cs="Times New Roman"/>
          <w:color w:val="000000" w:themeColor="text1"/>
          <w:szCs w:val="20"/>
          <w:lang w:eastAsia="zh-CN"/>
          <w14:textFill>
            <w14:solidFill>
              <w14:schemeClr w14:val="tx1"/>
            </w14:solidFill>
          </w14:textFill>
        </w:rPr>
        <w:t>一</w:t>
      </w:r>
      <w:r>
        <w:rPr>
          <w:rFonts w:hint="eastAsia" w:ascii="Times New Roman" w:hAnsi="Times New Roman" w:eastAsia="宋体" w:cs="Times New Roman"/>
          <w:color w:val="000000" w:themeColor="text1"/>
          <w:szCs w:val="20"/>
          <w14:textFill>
            <w14:solidFill>
              <w14:schemeClr w14:val="tx1"/>
            </w14:solidFill>
          </w14:textFill>
        </w:rPr>
        <w:t>级</w:t>
      </w:r>
      <w:r>
        <w:rPr>
          <w:rFonts w:ascii="Times New Roman" w:hAnsi="Times New Roman" w:eastAsia="宋体" w:cs="Times New Roman"/>
          <w:color w:val="000000" w:themeColor="text1"/>
          <w:szCs w:val="20"/>
          <w14:textFill>
            <w14:solidFill>
              <w14:schemeClr w14:val="tx1"/>
            </w14:solidFill>
          </w14:textFill>
        </w:rPr>
        <w:t>。</w:t>
      </w:r>
    </w:p>
    <w:p>
      <w:pPr>
        <w:pStyle w:val="460"/>
        <w:ind w:firstLine="482"/>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土壤环境评价等级</w:t>
      </w:r>
    </w:p>
    <w:p>
      <w:pPr>
        <w:ind w:firstLine="480"/>
        <w:rPr>
          <w:rFonts w:hint="eastAsia"/>
          <w:color w:val="000000" w:themeColor="text1"/>
          <w:szCs w:val="20"/>
          <w:u w:val="none" w:color="auto"/>
          <w14:textFill>
            <w14:solidFill>
              <w14:schemeClr w14:val="tx1"/>
            </w14:solidFill>
          </w14:textFill>
        </w:rPr>
      </w:pPr>
      <w:r>
        <w:rPr>
          <w:rFonts w:hint="eastAsia"/>
          <w:color w:val="000000" w:themeColor="text1"/>
          <w:szCs w:val="20"/>
          <w:u w:val="none" w:color="auto"/>
          <w14:textFill>
            <w14:solidFill>
              <w14:schemeClr w14:val="tx1"/>
            </w14:solidFill>
          </w14:textFill>
        </w:rPr>
        <w:t>根据《环境影响评价技术导则 土壤环境 (试行) 》 (HJ 964－2018) 附录 A 土壤环境影响评价项目类别，本项目为风力发电项目属于Ⅳ类建设项目，不开展土壤环境影响评价。</w:t>
      </w:r>
    </w:p>
    <w:p>
      <w:pPr>
        <w:pStyle w:val="460"/>
        <w:ind w:firstLine="482"/>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环境风险评价等级</w:t>
      </w:r>
    </w:p>
    <w:p>
      <w:pPr>
        <w:ind w:firstLine="480"/>
        <w:rPr>
          <w:color w:val="000000" w:themeColor="text1"/>
          <w:szCs w:val="20"/>
          <w:highlight w:val="none"/>
          <w:u w:val="none" w:color="auto"/>
          <w14:textFill>
            <w14:solidFill>
              <w14:schemeClr w14:val="tx1"/>
            </w14:solidFill>
          </w14:textFill>
        </w:rPr>
      </w:pPr>
      <w:r>
        <w:rPr>
          <w:color w:val="000000" w:themeColor="text1"/>
          <w:szCs w:val="20"/>
          <w:u w:val="none" w:color="auto"/>
          <w14:textFill>
            <w14:solidFill>
              <w14:schemeClr w14:val="tx1"/>
            </w14:solidFill>
          </w14:textFill>
        </w:rPr>
        <w:t>根据《建设项目环境风险评价技术导则》（HJ169-2018）的规定，根据建设项目涉及的物质及工艺系统危险性和所在地的环境敏感性确定环境风险潜势，将环境风险评价工作划分为一、二、三级及简单分析。</w:t>
      </w:r>
    </w:p>
    <w:p>
      <w:pPr>
        <w:pStyle w:val="623"/>
        <w:ind w:firstLine="422"/>
        <w:rPr>
          <w:rFonts w:cs="Times New Roman"/>
          <w:color w:val="000000" w:themeColor="text1"/>
          <w:u w:val="none" w:color="auto"/>
          <w14:textFill>
            <w14:solidFill>
              <w14:schemeClr w14:val="tx1"/>
            </w14:solidFill>
          </w14:textFill>
        </w:rPr>
      </w:pPr>
      <w:r>
        <w:rPr>
          <w:rFonts w:cs="Times New Roman"/>
          <w:color w:val="000000" w:themeColor="text1"/>
          <w:u w:val="none" w:color="auto"/>
          <w14:textFill>
            <w14:solidFill>
              <w14:schemeClr w14:val="tx1"/>
            </w14:solidFill>
          </w14:textFill>
        </w:rPr>
        <w:t>环境风险评价工作等级划分表</w:t>
      </w:r>
    </w:p>
    <w:tbl>
      <w:tblPr>
        <w:tblStyle w:val="360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97"/>
        <w:gridCol w:w="1707"/>
        <w:gridCol w:w="1919"/>
        <w:gridCol w:w="2345"/>
        <w:gridCol w:w="17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7" w:type="dxa"/>
            <w:vAlign w:val="center"/>
          </w:tcPr>
          <w:p>
            <w:pPr>
              <w:pStyle w:val="2695"/>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环境风险潜势</w:t>
            </w:r>
          </w:p>
        </w:tc>
        <w:tc>
          <w:tcPr>
            <w:tcW w:w="1707" w:type="dxa"/>
            <w:vAlign w:val="center"/>
          </w:tcPr>
          <w:p>
            <w:pPr>
              <w:pStyle w:val="2695"/>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fldChar w:fldCharType="begin"/>
            </w:r>
            <w:r>
              <w:rPr>
                <w:color w:val="000000" w:themeColor="text1"/>
                <w:u w:val="none" w:color="auto"/>
                <w14:textFill>
                  <w14:solidFill>
                    <w14:schemeClr w14:val="tx1"/>
                  </w14:solidFill>
                </w14:textFill>
              </w:rPr>
              <w:instrText xml:space="preserve"> = 4 \* ROMAN </w:instrText>
            </w:r>
            <w:r>
              <w:rPr>
                <w:color w:val="000000" w:themeColor="text1"/>
                <w:u w:val="none" w:color="auto"/>
                <w14:textFill>
                  <w14:solidFill>
                    <w14:schemeClr w14:val="tx1"/>
                  </w14:solidFill>
                </w14:textFill>
              </w:rPr>
              <w:fldChar w:fldCharType="separate"/>
            </w:r>
            <w:r>
              <w:rPr>
                <w:color w:val="000000" w:themeColor="text1"/>
                <w:u w:val="none" w:color="auto"/>
                <w14:textFill>
                  <w14:solidFill>
                    <w14:schemeClr w14:val="tx1"/>
                  </w14:solidFill>
                </w14:textFill>
              </w:rPr>
              <w:t>IV</w:t>
            </w:r>
            <w:r>
              <w:rPr>
                <w:color w:val="000000" w:themeColor="text1"/>
                <w:u w:val="none" w:color="auto"/>
                <w14:textFill>
                  <w14:solidFill>
                    <w14:schemeClr w14:val="tx1"/>
                  </w14:solidFill>
                </w14:textFill>
              </w:rPr>
              <w:fldChar w:fldCharType="end"/>
            </w:r>
            <w:r>
              <w:rPr>
                <w:color w:val="000000" w:themeColor="text1"/>
                <w:u w:val="none" w:color="auto"/>
                <w14:textFill>
                  <w14:solidFill>
                    <w14:schemeClr w14:val="tx1"/>
                  </w14:solidFill>
                </w14:textFill>
              </w:rPr>
              <w:t>、</w:t>
            </w:r>
            <w:r>
              <w:rPr>
                <w:color w:val="000000" w:themeColor="text1"/>
                <w:u w:val="none" w:color="auto"/>
                <w14:textFill>
                  <w14:solidFill>
                    <w14:schemeClr w14:val="tx1"/>
                  </w14:solidFill>
                </w14:textFill>
              </w:rPr>
              <w:fldChar w:fldCharType="begin"/>
            </w:r>
            <w:r>
              <w:rPr>
                <w:color w:val="000000" w:themeColor="text1"/>
                <w:u w:val="none" w:color="auto"/>
                <w14:textFill>
                  <w14:solidFill>
                    <w14:schemeClr w14:val="tx1"/>
                  </w14:solidFill>
                </w14:textFill>
              </w:rPr>
              <w:instrText xml:space="preserve"> = 4 \* ROMAN </w:instrText>
            </w:r>
            <w:r>
              <w:rPr>
                <w:color w:val="000000" w:themeColor="text1"/>
                <w:u w:val="none" w:color="auto"/>
                <w14:textFill>
                  <w14:solidFill>
                    <w14:schemeClr w14:val="tx1"/>
                  </w14:solidFill>
                </w14:textFill>
              </w:rPr>
              <w:fldChar w:fldCharType="separate"/>
            </w:r>
            <w:r>
              <w:rPr>
                <w:color w:val="000000" w:themeColor="text1"/>
                <w:u w:val="none" w:color="auto"/>
                <w14:textFill>
                  <w14:solidFill>
                    <w14:schemeClr w14:val="tx1"/>
                  </w14:solidFill>
                </w14:textFill>
              </w:rPr>
              <w:t>IV</w:t>
            </w:r>
            <w:r>
              <w:rPr>
                <w:color w:val="000000" w:themeColor="text1"/>
                <w:u w:val="none" w:color="auto"/>
                <w14:textFill>
                  <w14:solidFill>
                    <w14:schemeClr w14:val="tx1"/>
                  </w14:solidFill>
                </w14:textFill>
              </w:rPr>
              <w:fldChar w:fldCharType="end"/>
            </w:r>
            <w:r>
              <w:rPr>
                <w:color w:val="000000" w:themeColor="text1"/>
                <w:u w:val="none" w:color="auto"/>
                <w14:textFill>
                  <w14:solidFill>
                    <w14:schemeClr w14:val="tx1"/>
                  </w14:solidFill>
                </w14:textFill>
              </w:rPr>
              <w:t>+</w:t>
            </w:r>
          </w:p>
        </w:tc>
        <w:tc>
          <w:tcPr>
            <w:tcW w:w="1919" w:type="dxa"/>
            <w:vAlign w:val="center"/>
          </w:tcPr>
          <w:p>
            <w:pPr>
              <w:pStyle w:val="2695"/>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fldChar w:fldCharType="begin"/>
            </w:r>
            <w:r>
              <w:rPr>
                <w:color w:val="000000" w:themeColor="text1"/>
                <w:u w:val="none" w:color="auto"/>
                <w14:textFill>
                  <w14:solidFill>
                    <w14:schemeClr w14:val="tx1"/>
                  </w14:solidFill>
                </w14:textFill>
              </w:rPr>
              <w:instrText xml:space="preserve"> = 3 \* ROMAN </w:instrText>
            </w:r>
            <w:r>
              <w:rPr>
                <w:color w:val="000000" w:themeColor="text1"/>
                <w:u w:val="none" w:color="auto"/>
                <w14:textFill>
                  <w14:solidFill>
                    <w14:schemeClr w14:val="tx1"/>
                  </w14:solidFill>
                </w14:textFill>
              </w:rPr>
              <w:fldChar w:fldCharType="separate"/>
            </w:r>
            <w:r>
              <w:rPr>
                <w:color w:val="000000" w:themeColor="text1"/>
                <w:u w:val="none" w:color="auto"/>
                <w14:textFill>
                  <w14:solidFill>
                    <w14:schemeClr w14:val="tx1"/>
                  </w14:solidFill>
                </w14:textFill>
              </w:rPr>
              <w:t>III</w:t>
            </w:r>
            <w:r>
              <w:rPr>
                <w:color w:val="000000" w:themeColor="text1"/>
                <w:u w:val="none" w:color="auto"/>
                <w14:textFill>
                  <w14:solidFill>
                    <w14:schemeClr w14:val="tx1"/>
                  </w14:solidFill>
                </w14:textFill>
              </w:rPr>
              <w:fldChar w:fldCharType="end"/>
            </w:r>
          </w:p>
        </w:tc>
        <w:tc>
          <w:tcPr>
            <w:tcW w:w="2345" w:type="dxa"/>
            <w:vAlign w:val="center"/>
          </w:tcPr>
          <w:p>
            <w:pPr>
              <w:pStyle w:val="2695"/>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fldChar w:fldCharType="begin"/>
            </w:r>
            <w:r>
              <w:rPr>
                <w:color w:val="000000" w:themeColor="text1"/>
                <w:u w:val="none" w:color="auto"/>
                <w14:textFill>
                  <w14:solidFill>
                    <w14:schemeClr w14:val="tx1"/>
                  </w14:solidFill>
                </w14:textFill>
              </w:rPr>
              <w:instrText xml:space="preserve"> = 2 \* ROMAN </w:instrText>
            </w:r>
            <w:r>
              <w:rPr>
                <w:color w:val="000000" w:themeColor="text1"/>
                <w:u w:val="none" w:color="auto"/>
                <w14:textFill>
                  <w14:solidFill>
                    <w14:schemeClr w14:val="tx1"/>
                  </w14:solidFill>
                </w14:textFill>
              </w:rPr>
              <w:fldChar w:fldCharType="separate"/>
            </w:r>
            <w:r>
              <w:rPr>
                <w:color w:val="000000" w:themeColor="text1"/>
                <w:u w:val="none" w:color="auto"/>
                <w14:textFill>
                  <w14:solidFill>
                    <w14:schemeClr w14:val="tx1"/>
                  </w14:solidFill>
                </w14:textFill>
              </w:rPr>
              <w:t>II</w:t>
            </w:r>
            <w:r>
              <w:rPr>
                <w:color w:val="000000" w:themeColor="text1"/>
                <w:u w:val="none" w:color="auto"/>
                <w14:textFill>
                  <w14:solidFill>
                    <w14:schemeClr w14:val="tx1"/>
                  </w14:solidFill>
                </w14:textFill>
              </w:rPr>
              <w:fldChar w:fldCharType="end"/>
            </w:r>
          </w:p>
        </w:tc>
        <w:tc>
          <w:tcPr>
            <w:tcW w:w="1707" w:type="dxa"/>
            <w:vAlign w:val="center"/>
          </w:tcPr>
          <w:p>
            <w:pPr>
              <w:pStyle w:val="2695"/>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fldChar w:fldCharType="begin"/>
            </w:r>
            <w:r>
              <w:rPr>
                <w:color w:val="000000" w:themeColor="text1"/>
                <w:u w:val="none" w:color="auto"/>
                <w14:textFill>
                  <w14:solidFill>
                    <w14:schemeClr w14:val="tx1"/>
                  </w14:solidFill>
                </w14:textFill>
              </w:rPr>
              <w:instrText xml:space="preserve"> = 1 \* ROMAN </w:instrText>
            </w:r>
            <w:r>
              <w:rPr>
                <w:color w:val="000000" w:themeColor="text1"/>
                <w:u w:val="none" w:color="auto"/>
                <w14:textFill>
                  <w14:solidFill>
                    <w14:schemeClr w14:val="tx1"/>
                  </w14:solidFill>
                </w14:textFill>
              </w:rPr>
              <w:fldChar w:fldCharType="separate"/>
            </w:r>
            <w:r>
              <w:rPr>
                <w:color w:val="000000" w:themeColor="text1"/>
                <w:u w:val="none" w:color="auto"/>
                <w14:textFill>
                  <w14:solidFill>
                    <w14:schemeClr w14:val="tx1"/>
                  </w14:solidFill>
                </w14:textFill>
              </w:rPr>
              <w:t>I</w:t>
            </w:r>
            <w:r>
              <w:rPr>
                <w:color w:val="000000" w:themeColor="text1"/>
                <w:u w:val="none" w:color="auto"/>
                <w14:textFill>
                  <w14:solidFill>
                    <w14:schemeClr w14:val="tx1"/>
                  </w14:solidFill>
                </w14:textFill>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7" w:type="dxa"/>
            <w:vAlign w:val="center"/>
          </w:tcPr>
          <w:p>
            <w:pPr>
              <w:pStyle w:val="2695"/>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评价工作等级</w:t>
            </w:r>
          </w:p>
        </w:tc>
        <w:tc>
          <w:tcPr>
            <w:tcW w:w="1707" w:type="dxa"/>
            <w:vAlign w:val="center"/>
          </w:tcPr>
          <w:p>
            <w:pPr>
              <w:pStyle w:val="2695"/>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一</w:t>
            </w:r>
          </w:p>
        </w:tc>
        <w:tc>
          <w:tcPr>
            <w:tcW w:w="1919" w:type="dxa"/>
            <w:shd w:val="clear" w:color="auto" w:fill="auto"/>
            <w:vAlign w:val="center"/>
          </w:tcPr>
          <w:p>
            <w:pPr>
              <w:pStyle w:val="2695"/>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二</w:t>
            </w:r>
          </w:p>
        </w:tc>
        <w:tc>
          <w:tcPr>
            <w:tcW w:w="2345" w:type="dxa"/>
            <w:vAlign w:val="center"/>
          </w:tcPr>
          <w:p>
            <w:pPr>
              <w:pStyle w:val="2695"/>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三</w:t>
            </w:r>
          </w:p>
        </w:tc>
        <w:tc>
          <w:tcPr>
            <w:tcW w:w="1707" w:type="dxa"/>
            <w:shd w:val="clear" w:color="auto" w:fill="AEAAAA" w:themeFill="background2" w:themeFillShade="BF"/>
            <w:vAlign w:val="center"/>
          </w:tcPr>
          <w:p>
            <w:pPr>
              <w:pStyle w:val="2695"/>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简单分析a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175" w:type="dxa"/>
            <w:gridSpan w:val="5"/>
            <w:vAlign w:val="center"/>
          </w:tcPr>
          <w:p>
            <w:pPr>
              <w:pStyle w:val="2695"/>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a是相对于详细评价工作内容而言，在描述危险物质、环境影响途径、环境危害后果、风险防范措施等方面给出定性的说明。</w:t>
            </w:r>
          </w:p>
        </w:tc>
      </w:tr>
    </w:tbl>
    <w:p>
      <w:pPr>
        <w:ind w:firstLine="480"/>
        <w:rPr>
          <w:rFonts w:hint="eastAsia"/>
          <w:color w:val="000000" w:themeColor="text1"/>
          <w:u w:val="none" w:color="auto"/>
          <w14:textFill>
            <w14:solidFill>
              <w14:schemeClr w14:val="tx1"/>
            </w14:solidFill>
          </w14:textFill>
        </w:rPr>
      </w:pPr>
      <w:r>
        <w:rPr>
          <w:u w:val="none" w:color="auto"/>
        </w:rPr>
        <w:t>本项目主要的危险化学品为</w:t>
      </w:r>
      <w:r>
        <w:rPr>
          <w:rFonts w:hint="eastAsia"/>
          <w:highlight w:val="none"/>
          <w:u w:val="none" w:color="auto"/>
          <w:lang w:eastAsia="zh-CN"/>
        </w:rPr>
        <w:t>油类物质</w:t>
      </w:r>
      <w:r>
        <w:rPr>
          <w:highlight w:val="none"/>
          <w:u w:val="none" w:color="auto"/>
        </w:rPr>
        <w:t>，</w:t>
      </w:r>
      <w:r>
        <w:rPr>
          <w:rFonts w:eastAsiaTheme="minorEastAsia"/>
          <w:color w:val="000000" w:themeColor="text1"/>
          <w:highlight w:val="none"/>
          <w:u w:val="none" w:color="auto"/>
          <w14:textFill>
            <w14:solidFill>
              <w14:schemeClr w14:val="tx1"/>
            </w14:solidFill>
          </w14:textFill>
        </w:rPr>
        <w:t>经核算，</w:t>
      </w:r>
      <w:r>
        <w:rPr>
          <w:rFonts w:hint="eastAsia" w:ascii="Times New Roman" w:hAnsi="Times New Roman" w:eastAsia="宋体" w:cs="Times New Roman"/>
          <w:u w:val="none" w:color="auto"/>
          <w:lang w:val="en-US" w:eastAsia="zh-CN"/>
        </w:rPr>
        <w:t>Q＜1</w:t>
      </w:r>
      <w:r>
        <w:rPr>
          <w:rFonts w:hint="eastAsia" w:cs="Times New Roman"/>
          <w:u w:val="none" w:color="auto"/>
          <w:lang w:val="en-US" w:eastAsia="zh-CN"/>
        </w:rPr>
        <w:t>，</w:t>
      </w:r>
      <w:r>
        <w:rPr>
          <w:rFonts w:hint="eastAsia"/>
          <w:color w:val="000000" w:themeColor="text1"/>
          <w:u w:val="none" w:color="auto"/>
          <w14:textFill>
            <w14:solidFill>
              <w14:schemeClr w14:val="tx1"/>
            </w14:solidFill>
          </w14:textFill>
        </w:rPr>
        <w:t>项目环境风险潜势为</w:t>
      </w:r>
      <w:r>
        <w:rPr>
          <w:rFonts w:hint="eastAsia"/>
          <w:color w:val="000000" w:themeColor="text1"/>
          <w:u w:val="none" w:color="auto"/>
          <w:lang w:val="en-US" w:eastAsia="zh-CN"/>
          <w14:textFill>
            <w14:solidFill>
              <w14:schemeClr w14:val="tx1"/>
            </w14:solidFill>
          </w14:textFill>
        </w:rPr>
        <w:t>I</w:t>
      </w:r>
      <w:r>
        <w:rPr>
          <w:rFonts w:hint="eastAsia"/>
          <w:color w:val="000000" w:themeColor="text1"/>
          <w:u w:val="none" w:color="auto"/>
          <w14:textFill>
            <w14:solidFill>
              <w14:schemeClr w14:val="tx1"/>
            </w14:solidFill>
          </w14:textFill>
        </w:rPr>
        <w:t>，环境风险评价等级</w:t>
      </w:r>
      <w:r>
        <w:rPr>
          <w:rFonts w:hint="eastAsia"/>
          <w:color w:val="000000" w:themeColor="text1"/>
          <w:u w:val="none" w:color="auto"/>
          <w:lang w:eastAsia="zh-CN"/>
          <w14:textFill>
            <w14:solidFill>
              <w14:schemeClr w14:val="tx1"/>
            </w14:solidFill>
          </w14:textFill>
        </w:rPr>
        <w:t>为简单分析</w:t>
      </w:r>
      <w:r>
        <w:rPr>
          <w:rFonts w:hint="eastAsia"/>
          <w:color w:val="000000" w:themeColor="text1"/>
          <w:u w:val="none" w:color="auto"/>
          <w14:textFill>
            <w14:solidFill>
              <w14:schemeClr w14:val="tx1"/>
            </w14:solidFill>
          </w14:textFill>
        </w:rPr>
        <w:t>。</w:t>
      </w:r>
    </w:p>
    <w:p>
      <w:pPr>
        <w:pStyle w:val="460"/>
        <w:ind w:firstLine="482"/>
        <w:rPr>
          <w:color w:val="000000" w:themeColor="text1"/>
          <w:u w:val="none" w:color="auto"/>
          <w14:textFill>
            <w14:solidFill>
              <w14:schemeClr w14:val="tx1"/>
            </w14:solidFill>
          </w14:textFill>
        </w:rPr>
      </w:pPr>
      <w:r>
        <w:rPr>
          <w:rFonts w:hint="eastAsia"/>
          <w:color w:val="000000" w:themeColor="text1"/>
          <w:u w:val="none" w:color="auto"/>
          <w:lang w:val="en-US" w:eastAsia="zh-CN"/>
          <w14:textFill>
            <w14:solidFill>
              <w14:schemeClr w14:val="tx1"/>
            </w14:solidFill>
          </w14:textFill>
        </w:rPr>
        <w:t>电磁环境</w:t>
      </w:r>
      <w:r>
        <w:rPr>
          <w:color w:val="000000" w:themeColor="text1"/>
          <w:u w:val="none" w:color="auto"/>
          <w14:textFill>
            <w14:solidFill>
              <w14:schemeClr w14:val="tx1"/>
            </w14:solidFill>
          </w14:textFill>
        </w:rPr>
        <w:t>评价等级</w:t>
      </w:r>
    </w:p>
    <w:p>
      <w:pPr>
        <w:tabs>
          <w:tab w:val="clear" w:pos="480"/>
        </w:tabs>
        <w:adjustRightInd w:val="0"/>
        <w:snapToGrid w:val="0"/>
        <w:ind w:firstLine="480"/>
      </w:pPr>
      <w:r>
        <w:t>根据《环境影响评价技术导则 输变电》（HJ24-2020）中规定，</w:t>
      </w:r>
      <w:r>
        <w:rPr>
          <w:rFonts w:hint="eastAsia"/>
        </w:rPr>
        <w:t>开关站、串补站电磁环境影响评价等级根据</w:t>
      </w:r>
      <w:r>
        <w:rPr>
          <w:rFonts w:hint="eastAsia"/>
          <w:lang w:val="en-US" w:eastAsia="zh-CN"/>
        </w:rPr>
        <w:t>下表</w:t>
      </w:r>
      <w:r>
        <w:rPr>
          <w:rFonts w:hint="eastAsia"/>
        </w:rPr>
        <w:t>中同电压等级的变电站确定</w:t>
      </w:r>
      <w:r>
        <w:rPr>
          <w:rFonts w:hint="eastAsia"/>
          <w:lang w:eastAsia="zh-CN"/>
        </w:rPr>
        <w:t>。</w:t>
      </w:r>
      <w:r>
        <w:rPr>
          <w:rFonts w:hint="eastAsia"/>
        </w:rPr>
        <w:t>本项目最高电压等级为22</w:t>
      </w:r>
      <w:r>
        <w:t>0</w:t>
      </w:r>
      <w:r>
        <w:rPr>
          <w:rFonts w:hint="eastAsia"/>
          <w:lang w:eastAsia="zh-CN"/>
        </w:rPr>
        <w:t>kV</w:t>
      </w:r>
      <w:r>
        <w:rPr>
          <w:rFonts w:hint="eastAsia"/>
        </w:rPr>
        <w:t>，且为户外式。</w:t>
      </w:r>
    </w:p>
    <w:p>
      <w:pPr>
        <w:pStyle w:val="623"/>
        <w:ind w:firstLine="422"/>
        <w:rPr>
          <w:b/>
          <w:bCs/>
          <w:sz w:val="21"/>
          <w:szCs w:val="21"/>
        </w:rPr>
      </w:pPr>
      <w:r>
        <w:rPr>
          <w:rFonts w:hint="eastAsia" w:cs="Times New Roman"/>
          <w:color w:val="000000" w:themeColor="text1"/>
          <w:u w:val="none" w:color="auto"/>
          <w14:textFill>
            <w14:solidFill>
              <w14:schemeClr w14:val="tx1"/>
            </w14:solidFill>
          </w14:textFill>
        </w:rPr>
        <w:t>输变电</w:t>
      </w:r>
      <w:r>
        <w:rPr>
          <w:rFonts w:hint="eastAsia"/>
          <w:b/>
          <w:bCs/>
          <w:sz w:val="21"/>
          <w:szCs w:val="21"/>
        </w:rPr>
        <w:t>工程电磁环境影响评价工作等级部分内容</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1234"/>
        <w:gridCol w:w="845"/>
        <w:gridCol w:w="4722"/>
        <w:gridCol w:w="17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Align w:val="center"/>
          </w:tcPr>
          <w:p>
            <w:pPr>
              <w:tabs>
                <w:tab w:val="clear" w:pos="480"/>
              </w:tabs>
              <w:spacing w:line="240" w:lineRule="auto"/>
              <w:ind w:firstLine="0" w:firstLineChars="0"/>
              <w:jc w:val="center"/>
              <w:rPr>
                <w:b/>
                <w:bCs/>
                <w:sz w:val="21"/>
                <w:szCs w:val="21"/>
              </w:rPr>
            </w:pPr>
            <w:r>
              <w:rPr>
                <w:b/>
                <w:bCs/>
                <w:sz w:val="21"/>
                <w:szCs w:val="21"/>
              </w:rPr>
              <w:t>分类</w:t>
            </w:r>
          </w:p>
        </w:tc>
        <w:tc>
          <w:tcPr>
            <w:tcW w:w="664" w:type="pct"/>
            <w:vAlign w:val="center"/>
          </w:tcPr>
          <w:p>
            <w:pPr>
              <w:tabs>
                <w:tab w:val="clear" w:pos="480"/>
              </w:tabs>
              <w:spacing w:line="240" w:lineRule="auto"/>
              <w:ind w:firstLine="0" w:firstLineChars="0"/>
              <w:jc w:val="center"/>
              <w:rPr>
                <w:b/>
                <w:bCs/>
                <w:sz w:val="21"/>
                <w:szCs w:val="21"/>
              </w:rPr>
            </w:pPr>
            <w:r>
              <w:rPr>
                <w:b/>
                <w:bCs/>
                <w:sz w:val="21"/>
                <w:szCs w:val="21"/>
              </w:rPr>
              <w:t>电压等级</w:t>
            </w:r>
          </w:p>
        </w:tc>
        <w:tc>
          <w:tcPr>
            <w:tcW w:w="455" w:type="pct"/>
            <w:vAlign w:val="center"/>
          </w:tcPr>
          <w:p>
            <w:pPr>
              <w:tabs>
                <w:tab w:val="clear" w:pos="480"/>
              </w:tabs>
              <w:spacing w:line="240" w:lineRule="auto"/>
              <w:ind w:firstLine="0" w:firstLineChars="0"/>
              <w:jc w:val="center"/>
              <w:rPr>
                <w:b/>
                <w:bCs/>
                <w:sz w:val="21"/>
                <w:szCs w:val="21"/>
              </w:rPr>
            </w:pPr>
            <w:r>
              <w:rPr>
                <w:b/>
                <w:bCs/>
                <w:sz w:val="21"/>
                <w:szCs w:val="21"/>
              </w:rPr>
              <w:t>工程</w:t>
            </w:r>
          </w:p>
        </w:tc>
        <w:tc>
          <w:tcPr>
            <w:tcW w:w="2541" w:type="pct"/>
            <w:vAlign w:val="center"/>
          </w:tcPr>
          <w:p>
            <w:pPr>
              <w:tabs>
                <w:tab w:val="clear" w:pos="480"/>
              </w:tabs>
              <w:spacing w:line="240" w:lineRule="auto"/>
              <w:ind w:firstLine="0" w:firstLineChars="0"/>
              <w:jc w:val="center"/>
              <w:rPr>
                <w:b/>
                <w:bCs/>
                <w:sz w:val="21"/>
                <w:szCs w:val="21"/>
              </w:rPr>
            </w:pPr>
            <w:r>
              <w:rPr>
                <w:b/>
                <w:bCs/>
                <w:sz w:val="21"/>
                <w:szCs w:val="21"/>
              </w:rPr>
              <w:t>条件</w:t>
            </w:r>
          </w:p>
        </w:tc>
        <w:tc>
          <w:tcPr>
            <w:tcW w:w="944" w:type="pct"/>
            <w:vAlign w:val="center"/>
          </w:tcPr>
          <w:p>
            <w:pPr>
              <w:tabs>
                <w:tab w:val="clear" w:pos="480"/>
              </w:tabs>
              <w:spacing w:line="240" w:lineRule="auto"/>
              <w:ind w:firstLine="0" w:firstLineChars="0"/>
              <w:jc w:val="center"/>
              <w:rPr>
                <w:b/>
                <w:bCs/>
                <w:sz w:val="21"/>
                <w:szCs w:val="21"/>
              </w:rPr>
            </w:pPr>
            <w:r>
              <w:rPr>
                <w:b/>
                <w:bCs/>
                <w:sz w:val="21"/>
                <w:szCs w:val="21"/>
              </w:rPr>
              <w:t>评价工作等级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restart"/>
            <w:vAlign w:val="center"/>
          </w:tcPr>
          <w:p>
            <w:pPr>
              <w:tabs>
                <w:tab w:val="clear" w:pos="480"/>
              </w:tabs>
              <w:spacing w:line="240" w:lineRule="auto"/>
              <w:ind w:firstLine="0" w:firstLineChars="0"/>
              <w:jc w:val="center"/>
              <w:rPr>
                <w:sz w:val="21"/>
                <w:szCs w:val="21"/>
              </w:rPr>
            </w:pPr>
            <w:r>
              <w:rPr>
                <w:sz w:val="21"/>
                <w:szCs w:val="21"/>
              </w:rPr>
              <w:t>交流</w:t>
            </w:r>
          </w:p>
        </w:tc>
        <w:tc>
          <w:tcPr>
            <w:tcW w:w="664" w:type="pct"/>
            <w:vMerge w:val="restart"/>
            <w:vAlign w:val="center"/>
          </w:tcPr>
          <w:p>
            <w:pPr>
              <w:tabs>
                <w:tab w:val="clear" w:pos="480"/>
              </w:tabs>
              <w:spacing w:line="240" w:lineRule="auto"/>
              <w:ind w:firstLine="0" w:firstLineChars="0"/>
              <w:jc w:val="center"/>
              <w:rPr>
                <w:rFonts w:hint="eastAsia" w:eastAsia="宋体"/>
                <w:sz w:val="21"/>
                <w:szCs w:val="21"/>
                <w:lang w:eastAsia="zh-CN"/>
              </w:rPr>
            </w:pPr>
            <w:r>
              <w:rPr>
                <w:rFonts w:hint="eastAsia"/>
                <w:sz w:val="21"/>
                <w:szCs w:val="21"/>
              </w:rPr>
              <w:t>220～330</w:t>
            </w:r>
            <w:r>
              <w:rPr>
                <w:rFonts w:hint="eastAsia"/>
                <w:sz w:val="21"/>
                <w:szCs w:val="21"/>
                <w:lang w:eastAsia="zh-CN"/>
              </w:rPr>
              <w:t>kV</w:t>
            </w:r>
          </w:p>
        </w:tc>
        <w:tc>
          <w:tcPr>
            <w:tcW w:w="455" w:type="pct"/>
            <w:vMerge w:val="restart"/>
            <w:vAlign w:val="center"/>
          </w:tcPr>
          <w:p>
            <w:pPr>
              <w:tabs>
                <w:tab w:val="clear" w:pos="480"/>
              </w:tabs>
              <w:spacing w:line="240" w:lineRule="auto"/>
              <w:ind w:firstLine="0" w:firstLineChars="0"/>
              <w:jc w:val="center"/>
              <w:rPr>
                <w:sz w:val="21"/>
                <w:szCs w:val="21"/>
              </w:rPr>
            </w:pPr>
            <w:r>
              <w:rPr>
                <w:sz w:val="21"/>
                <w:szCs w:val="21"/>
              </w:rPr>
              <w:t>变电站</w:t>
            </w:r>
          </w:p>
        </w:tc>
        <w:tc>
          <w:tcPr>
            <w:tcW w:w="2541" w:type="pct"/>
            <w:vAlign w:val="center"/>
          </w:tcPr>
          <w:p>
            <w:pPr>
              <w:tabs>
                <w:tab w:val="clear" w:pos="480"/>
              </w:tabs>
              <w:spacing w:line="240" w:lineRule="auto"/>
              <w:ind w:firstLine="0" w:firstLineChars="0"/>
              <w:rPr>
                <w:sz w:val="21"/>
                <w:szCs w:val="21"/>
              </w:rPr>
            </w:pPr>
            <w:r>
              <w:rPr>
                <w:sz w:val="21"/>
                <w:szCs w:val="21"/>
              </w:rPr>
              <w:t>户内式、地下式</w:t>
            </w:r>
          </w:p>
        </w:tc>
        <w:tc>
          <w:tcPr>
            <w:tcW w:w="944" w:type="pct"/>
            <w:vAlign w:val="center"/>
          </w:tcPr>
          <w:p>
            <w:pPr>
              <w:tabs>
                <w:tab w:val="clear" w:pos="480"/>
              </w:tabs>
              <w:spacing w:line="240" w:lineRule="auto"/>
              <w:ind w:firstLine="0" w:firstLineChars="0"/>
              <w:jc w:val="center"/>
              <w:rPr>
                <w:sz w:val="21"/>
                <w:szCs w:val="21"/>
              </w:rPr>
            </w:pPr>
            <w:r>
              <w:rPr>
                <w:sz w:val="21"/>
                <w:szCs w:val="21"/>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vAlign w:val="center"/>
          </w:tcPr>
          <w:p>
            <w:pPr>
              <w:widowControl/>
              <w:tabs>
                <w:tab w:val="clear" w:pos="480"/>
              </w:tabs>
              <w:spacing w:line="240" w:lineRule="auto"/>
              <w:ind w:firstLine="0" w:firstLineChars="0"/>
              <w:jc w:val="left"/>
              <w:rPr>
                <w:sz w:val="21"/>
                <w:szCs w:val="21"/>
              </w:rPr>
            </w:pPr>
          </w:p>
        </w:tc>
        <w:tc>
          <w:tcPr>
            <w:tcW w:w="0" w:type="auto"/>
            <w:vMerge w:val="continue"/>
            <w:vAlign w:val="center"/>
          </w:tcPr>
          <w:p>
            <w:pPr>
              <w:widowControl/>
              <w:tabs>
                <w:tab w:val="clear" w:pos="480"/>
              </w:tabs>
              <w:spacing w:line="240" w:lineRule="auto"/>
              <w:ind w:firstLine="0" w:firstLineChars="0"/>
              <w:jc w:val="left"/>
              <w:rPr>
                <w:sz w:val="21"/>
                <w:szCs w:val="21"/>
              </w:rPr>
            </w:pPr>
          </w:p>
        </w:tc>
        <w:tc>
          <w:tcPr>
            <w:tcW w:w="0" w:type="auto"/>
            <w:vMerge w:val="continue"/>
            <w:vAlign w:val="center"/>
          </w:tcPr>
          <w:p>
            <w:pPr>
              <w:widowControl/>
              <w:tabs>
                <w:tab w:val="clear" w:pos="480"/>
              </w:tabs>
              <w:spacing w:line="240" w:lineRule="auto"/>
              <w:ind w:firstLine="0" w:firstLineChars="0"/>
              <w:jc w:val="left"/>
              <w:rPr>
                <w:sz w:val="21"/>
                <w:szCs w:val="21"/>
              </w:rPr>
            </w:pPr>
          </w:p>
        </w:tc>
        <w:tc>
          <w:tcPr>
            <w:tcW w:w="2541" w:type="pct"/>
            <w:vAlign w:val="center"/>
          </w:tcPr>
          <w:p>
            <w:pPr>
              <w:tabs>
                <w:tab w:val="clear" w:pos="480"/>
              </w:tabs>
              <w:spacing w:line="240" w:lineRule="auto"/>
              <w:ind w:firstLine="0" w:firstLineChars="0"/>
              <w:rPr>
                <w:sz w:val="21"/>
                <w:szCs w:val="21"/>
              </w:rPr>
            </w:pPr>
            <w:r>
              <w:rPr>
                <w:sz w:val="21"/>
                <w:szCs w:val="21"/>
              </w:rPr>
              <w:t>户外式</w:t>
            </w:r>
          </w:p>
        </w:tc>
        <w:tc>
          <w:tcPr>
            <w:tcW w:w="944" w:type="pct"/>
            <w:vAlign w:val="center"/>
          </w:tcPr>
          <w:p>
            <w:pPr>
              <w:tabs>
                <w:tab w:val="clear" w:pos="480"/>
              </w:tabs>
              <w:spacing w:line="240" w:lineRule="auto"/>
              <w:ind w:firstLine="0" w:firstLineChars="0"/>
              <w:jc w:val="center"/>
              <w:rPr>
                <w:sz w:val="21"/>
                <w:szCs w:val="21"/>
              </w:rPr>
            </w:pPr>
            <w:r>
              <w:rPr>
                <w:sz w:val="21"/>
                <w:szCs w:val="21"/>
              </w:rPr>
              <w:t>二级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vAlign w:val="center"/>
          </w:tcPr>
          <w:p>
            <w:pPr>
              <w:widowControl/>
              <w:tabs>
                <w:tab w:val="clear" w:pos="480"/>
              </w:tabs>
              <w:spacing w:line="240" w:lineRule="auto"/>
              <w:ind w:firstLine="0" w:firstLineChars="0"/>
              <w:jc w:val="left"/>
              <w:rPr>
                <w:sz w:val="21"/>
                <w:szCs w:val="21"/>
              </w:rPr>
            </w:pPr>
          </w:p>
        </w:tc>
        <w:tc>
          <w:tcPr>
            <w:tcW w:w="0" w:type="auto"/>
            <w:vMerge w:val="continue"/>
            <w:vAlign w:val="center"/>
          </w:tcPr>
          <w:p>
            <w:pPr>
              <w:widowControl/>
              <w:tabs>
                <w:tab w:val="clear" w:pos="480"/>
              </w:tabs>
              <w:spacing w:line="240" w:lineRule="auto"/>
              <w:ind w:firstLine="0" w:firstLineChars="0"/>
              <w:jc w:val="left"/>
              <w:rPr>
                <w:sz w:val="21"/>
                <w:szCs w:val="21"/>
              </w:rPr>
            </w:pPr>
          </w:p>
        </w:tc>
        <w:tc>
          <w:tcPr>
            <w:tcW w:w="455" w:type="pct"/>
            <w:vMerge w:val="restart"/>
            <w:vAlign w:val="center"/>
          </w:tcPr>
          <w:p>
            <w:pPr>
              <w:tabs>
                <w:tab w:val="clear" w:pos="480"/>
              </w:tabs>
              <w:spacing w:line="240" w:lineRule="auto"/>
              <w:ind w:firstLine="0" w:firstLineChars="0"/>
              <w:jc w:val="center"/>
              <w:rPr>
                <w:sz w:val="21"/>
                <w:szCs w:val="21"/>
              </w:rPr>
            </w:pPr>
            <w:r>
              <w:rPr>
                <w:sz w:val="21"/>
                <w:szCs w:val="21"/>
              </w:rPr>
              <w:t>输电</w:t>
            </w:r>
          </w:p>
          <w:p>
            <w:pPr>
              <w:tabs>
                <w:tab w:val="clear" w:pos="480"/>
              </w:tabs>
              <w:spacing w:line="240" w:lineRule="auto"/>
              <w:ind w:firstLine="0" w:firstLineChars="0"/>
              <w:jc w:val="center"/>
              <w:rPr>
                <w:sz w:val="21"/>
                <w:szCs w:val="21"/>
              </w:rPr>
            </w:pPr>
            <w:r>
              <w:rPr>
                <w:sz w:val="21"/>
                <w:szCs w:val="21"/>
              </w:rPr>
              <w:t>线路</w:t>
            </w:r>
          </w:p>
        </w:tc>
        <w:tc>
          <w:tcPr>
            <w:tcW w:w="2541" w:type="pct"/>
            <w:vAlign w:val="center"/>
          </w:tcPr>
          <w:p>
            <w:pPr>
              <w:tabs>
                <w:tab w:val="clear" w:pos="480"/>
              </w:tabs>
              <w:spacing w:line="240" w:lineRule="auto"/>
              <w:ind w:firstLine="0" w:firstLineChars="0"/>
              <w:rPr>
                <w:sz w:val="21"/>
                <w:szCs w:val="21"/>
              </w:rPr>
            </w:pPr>
            <w:r>
              <w:rPr>
                <w:sz w:val="21"/>
                <w:szCs w:val="21"/>
              </w:rPr>
              <w:t>1、地下电缆</w:t>
            </w:r>
          </w:p>
          <w:p>
            <w:pPr>
              <w:tabs>
                <w:tab w:val="clear" w:pos="480"/>
              </w:tabs>
              <w:spacing w:line="240" w:lineRule="auto"/>
              <w:ind w:firstLine="0" w:firstLineChars="0"/>
              <w:rPr>
                <w:sz w:val="21"/>
                <w:szCs w:val="21"/>
              </w:rPr>
            </w:pPr>
            <w:r>
              <w:rPr>
                <w:sz w:val="21"/>
                <w:szCs w:val="21"/>
              </w:rPr>
              <w:t>2、边导线地面投影外两侧各1</w:t>
            </w:r>
            <w:r>
              <w:rPr>
                <w:rFonts w:hint="eastAsia"/>
                <w:sz w:val="21"/>
                <w:szCs w:val="21"/>
              </w:rPr>
              <w:t>5</w:t>
            </w:r>
            <w:r>
              <w:rPr>
                <w:sz w:val="21"/>
                <w:szCs w:val="21"/>
              </w:rPr>
              <w:t>m范围内无电磁环境敏感目标的架空线路</w:t>
            </w:r>
          </w:p>
        </w:tc>
        <w:tc>
          <w:tcPr>
            <w:tcW w:w="944" w:type="pct"/>
            <w:vAlign w:val="center"/>
          </w:tcPr>
          <w:p>
            <w:pPr>
              <w:tabs>
                <w:tab w:val="clear" w:pos="480"/>
              </w:tabs>
              <w:spacing w:line="240" w:lineRule="auto"/>
              <w:ind w:firstLine="0" w:firstLineChars="0"/>
              <w:jc w:val="center"/>
              <w:rPr>
                <w:sz w:val="21"/>
                <w:szCs w:val="21"/>
              </w:rPr>
            </w:pPr>
            <w:r>
              <w:rPr>
                <w:sz w:val="21"/>
                <w:szCs w:val="21"/>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vAlign w:val="center"/>
          </w:tcPr>
          <w:p>
            <w:pPr>
              <w:widowControl/>
              <w:tabs>
                <w:tab w:val="clear" w:pos="480"/>
              </w:tabs>
              <w:spacing w:line="240" w:lineRule="auto"/>
              <w:ind w:firstLine="0" w:firstLineChars="0"/>
              <w:jc w:val="left"/>
              <w:rPr>
                <w:sz w:val="21"/>
                <w:szCs w:val="21"/>
              </w:rPr>
            </w:pPr>
          </w:p>
        </w:tc>
        <w:tc>
          <w:tcPr>
            <w:tcW w:w="0" w:type="auto"/>
            <w:vMerge w:val="continue"/>
            <w:vAlign w:val="center"/>
          </w:tcPr>
          <w:p>
            <w:pPr>
              <w:widowControl/>
              <w:tabs>
                <w:tab w:val="clear" w:pos="480"/>
              </w:tabs>
              <w:spacing w:line="240" w:lineRule="auto"/>
              <w:ind w:firstLine="0" w:firstLineChars="0"/>
              <w:jc w:val="left"/>
              <w:rPr>
                <w:sz w:val="21"/>
                <w:szCs w:val="21"/>
              </w:rPr>
            </w:pPr>
          </w:p>
        </w:tc>
        <w:tc>
          <w:tcPr>
            <w:tcW w:w="0" w:type="auto"/>
            <w:vMerge w:val="continue"/>
            <w:vAlign w:val="center"/>
          </w:tcPr>
          <w:p>
            <w:pPr>
              <w:widowControl/>
              <w:tabs>
                <w:tab w:val="clear" w:pos="480"/>
              </w:tabs>
              <w:spacing w:line="240" w:lineRule="auto"/>
              <w:ind w:firstLine="0" w:firstLineChars="0"/>
              <w:jc w:val="left"/>
              <w:rPr>
                <w:sz w:val="21"/>
                <w:szCs w:val="21"/>
              </w:rPr>
            </w:pPr>
          </w:p>
        </w:tc>
        <w:tc>
          <w:tcPr>
            <w:tcW w:w="2541" w:type="pct"/>
            <w:vAlign w:val="center"/>
          </w:tcPr>
          <w:p>
            <w:pPr>
              <w:tabs>
                <w:tab w:val="clear" w:pos="480"/>
              </w:tabs>
              <w:spacing w:line="240" w:lineRule="auto"/>
              <w:ind w:firstLine="0" w:firstLineChars="0"/>
              <w:rPr>
                <w:sz w:val="21"/>
                <w:szCs w:val="21"/>
              </w:rPr>
            </w:pPr>
            <w:r>
              <w:rPr>
                <w:sz w:val="21"/>
                <w:szCs w:val="21"/>
              </w:rPr>
              <w:t>边导线地面投影外两侧各1</w:t>
            </w:r>
            <w:r>
              <w:rPr>
                <w:rFonts w:hint="eastAsia"/>
                <w:sz w:val="21"/>
                <w:szCs w:val="21"/>
              </w:rPr>
              <w:t>5</w:t>
            </w:r>
            <w:r>
              <w:rPr>
                <w:sz w:val="21"/>
                <w:szCs w:val="21"/>
              </w:rPr>
              <w:t>m范围内有电磁环境敏感目标的架空线路</w:t>
            </w:r>
          </w:p>
        </w:tc>
        <w:tc>
          <w:tcPr>
            <w:tcW w:w="944" w:type="pct"/>
            <w:vAlign w:val="center"/>
          </w:tcPr>
          <w:p>
            <w:pPr>
              <w:tabs>
                <w:tab w:val="clear" w:pos="480"/>
              </w:tabs>
              <w:spacing w:line="240" w:lineRule="auto"/>
              <w:ind w:firstLine="0" w:firstLineChars="0"/>
              <w:jc w:val="center"/>
              <w:rPr>
                <w:sz w:val="21"/>
                <w:szCs w:val="21"/>
              </w:rPr>
            </w:pPr>
            <w:r>
              <w:rPr>
                <w:sz w:val="21"/>
                <w:szCs w:val="21"/>
              </w:rPr>
              <w:t>二级</w:t>
            </w:r>
          </w:p>
        </w:tc>
      </w:tr>
    </w:tbl>
    <w:p>
      <w:pPr>
        <w:tabs>
          <w:tab w:val="clear" w:pos="480"/>
        </w:tabs>
        <w:adjustRightInd w:val="0"/>
        <w:snapToGrid w:val="0"/>
        <w:ind w:firstLine="480"/>
      </w:pPr>
      <w:r>
        <w:rPr>
          <w:rFonts w:hint="eastAsia"/>
        </w:rPr>
        <w:t>本项目仅对22</w:t>
      </w:r>
      <w:r>
        <w:t>0</w:t>
      </w:r>
      <w:r>
        <w:rPr>
          <w:rFonts w:hint="eastAsia"/>
          <w:lang w:eastAsia="zh-CN"/>
        </w:rPr>
        <w:t>kV</w:t>
      </w:r>
      <w:r>
        <w:rPr>
          <w:rFonts w:hint="eastAsia"/>
          <w:lang w:val="en-US" w:eastAsia="zh-CN"/>
        </w:rPr>
        <w:t>汇集</w:t>
      </w:r>
      <w:r>
        <w:rPr>
          <w:rFonts w:hint="eastAsia"/>
        </w:rPr>
        <w:t>站进行评价，不包括22</w:t>
      </w:r>
      <w:r>
        <w:t>0</w:t>
      </w:r>
      <w:r>
        <w:rPr>
          <w:rFonts w:hint="eastAsia"/>
          <w:lang w:eastAsia="zh-CN"/>
        </w:rPr>
        <w:t>kV</w:t>
      </w:r>
      <w:r>
        <w:rPr>
          <w:rFonts w:hint="eastAsia"/>
          <w:lang w:val="en-US" w:eastAsia="zh-CN"/>
        </w:rPr>
        <w:t>送出</w:t>
      </w:r>
      <w:r>
        <w:rPr>
          <w:rFonts w:hint="eastAsia"/>
        </w:rPr>
        <w:t>输电线路。根据现场调查，确定本次评价等级，详见下表。</w:t>
      </w:r>
    </w:p>
    <w:p>
      <w:pPr>
        <w:pStyle w:val="623"/>
        <w:ind w:firstLine="422"/>
        <w:rPr>
          <w:b/>
          <w:bCs/>
          <w:sz w:val="21"/>
          <w:szCs w:val="21"/>
        </w:rPr>
      </w:pPr>
      <w:r>
        <w:rPr>
          <w:rFonts w:hint="eastAsia"/>
          <w:b/>
          <w:bCs/>
          <w:sz w:val="21"/>
          <w:szCs w:val="21"/>
        </w:rPr>
        <w:t>本工程评价工作等级</w:t>
      </w:r>
    </w:p>
    <w:tbl>
      <w:tblPr>
        <w:tblStyle w:val="88"/>
        <w:tblW w:w="491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63"/>
        <w:gridCol w:w="1303"/>
        <w:gridCol w:w="1413"/>
        <w:gridCol w:w="2668"/>
        <w:gridCol w:w="1396"/>
        <w:gridCol w:w="14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 w:type="pct"/>
            <w:vAlign w:val="center"/>
          </w:tcPr>
          <w:p>
            <w:pPr>
              <w:tabs>
                <w:tab w:val="clear" w:pos="480"/>
              </w:tabs>
              <w:spacing w:line="240" w:lineRule="auto"/>
              <w:ind w:firstLine="0" w:firstLineChars="0"/>
              <w:jc w:val="center"/>
              <w:rPr>
                <w:b/>
                <w:bCs/>
                <w:sz w:val="21"/>
                <w:szCs w:val="21"/>
              </w:rPr>
            </w:pPr>
            <w:r>
              <w:rPr>
                <w:b/>
                <w:bCs/>
                <w:sz w:val="21"/>
                <w:szCs w:val="21"/>
              </w:rPr>
              <w:t>分类</w:t>
            </w:r>
          </w:p>
        </w:tc>
        <w:tc>
          <w:tcPr>
            <w:tcW w:w="713" w:type="pct"/>
            <w:vAlign w:val="center"/>
          </w:tcPr>
          <w:p>
            <w:pPr>
              <w:tabs>
                <w:tab w:val="clear" w:pos="480"/>
              </w:tabs>
              <w:spacing w:line="240" w:lineRule="auto"/>
              <w:ind w:firstLine="0" w:firstLineChars="0"/>
              <w:jc w:val="center"/>
              <w:rPr>
                <w:b/>
                <w:bCs/>
                <w:sz w:val="21"/>
                <w:szCs w:val="21"/>
              </w:rPr>
            </w:pPr>
            <w:r>
              <w:rPr>
                <w:b/>
                <w:bCs/>
                <w:sz w:val="21"/>
                <w:szCs w:val="21"/>
              </w:rPr>
              <w:t>电压等级</w:t>
            </w:r>
          </w:p>
        </w:tc>
        <w:tc>
          <w:tcPr>
            <w:tcW w:w="773" w:type="pct"/>
            <w:vAlign w:val="center"/>
          </w:tcPr>
          <w:p>
            <w:pPr>
              <w:tabs>
                <w:tab w:val="clear" w:pos="480"/>
              </w:tabs>
              <w:spacing w:line="240" w:lineRule="auto"/>
              <w:ind w:firstLine="0" w:firstLineChars="0"/>
              <w:jc w:val="center"/>
              <w:rPr>
                <w:b/>
                <w:bCs/>
                <w:sz w:val="21"/>
                <w:szCs w:val="21"/>
              </w:rPr>
            </w:pPr>
            <w:r>
              <w:rPr>
                <w:b/>
                <w:bCs/>
                <w:sz w:val="21"/>
                <w:szCs w:val="21"/>
              </w:rPr>
              <w:t>工程</w:t>
            </w:r>
          </w:p>
        </w:tc>
        <w:tc>
          <w:tcPr>
            <w:tcW w:w="1460" w:type="pct"/>
            <w:vAlign w:val="center"/>
          </w:tcPr>
          <w:p>
            <w:pPr>
              <w:tabs>
                <w:tab w:val="clear" w:pos="480"/>
              </w:tabs>
              <w:spacing w:line="240" w:lineRule="auto"/>
              <w:ind w:firstLine="0" w:firstLineChars="0"/>
              <w:jc w:val="center"/>
              <w:rPr>
                <w:b/>
                <w:bCs/>
                <w:sz w:val="21"/>
                <w:szCs w:val="21"/>
              </w:rPr>
            </w:pPr>
            <w:r>
              <w:rPr>
                <w:b/>
                <w:bCs/>
                <w:sz w:val="21"/>
                <w:szCs w:val="21"/>
              </w:rPr>
              <w:t>本项目条件</w:t>
            </w:r>
          </w:p>
        </w:tc>
        <w:tc>
          <w:tcPr>
            <w:tcW w:w="764" w:type="pct"/>
            <w:vAlign w:val="center"/>
          </w:tcPr>
          <w:p>
            <w:pPr>
              <w:tabs>
                <w:tab w:val="clear" w:pos="480"/>
              </w:tabs>
              <w:spacing w:line="240" w:lineRule="auto"/>
              <w:ind w:firstLine="0" w:firstLineChars="0"/>
              <w:jc w:val="center"/>
              <w:rPr>
                <w:b/>
                <w:bCs/>
                <w:sz w:val="21"/>
                <w:szCs w:val="21"/>
              </w:rPr>
            </w:pPr>
            <w:r>
              <w:rPr>
                <w:b/>
                <w:bCs/>
                <w:sz w:val="21"/>
                <w:szCs w:val="21"/>
              </w:rPr>
              <w:t>评价等级</w:t>
            </w:r>
          </w:p>
        </w:tc>
        <w:tc>
          <w:tcPr>
            <w:tcW w:w="815" w:type="pct"/>
            <w:vAlign w:val="center"/>
          </w:tcPr>
          <w:p>
            <w:pPr>
              <w:tabs>
                <w:tab w:val="clear" w:pos="480"/>
              </w:tabs>
              <w:spacing w:line="240" w:lineRule="auto"/>
              <w:ind w:firstLine="0" w:firstLineChars="0"/>
              <w:jc w:val="center"/>
              <w:rPr>
                <w:b/>
                <w:bCs/>
                <w:sz w:val="21"/>
                <w:szCs w:val="21"/>
              </w:rPr>
            </w:pPr>
            <w:r>
              <w:rPr>
                <w:b/>
                <w:bCs/>
                <w:sz w:val="21"/>
                <w:szCs w:val="21"/>
              </w:rPr>
              <w:t>预测方法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 w:type="pct"/>
            <w:vAlign w:val="center"/>
          </w:tcPr>
          <w:p>
            <w:pPr>
              <w:tabs>
                <w:tab w:val="clear" w:pos="480"/>
              </w:tabs>
              <w:spacing w:line="240" w:lineRule="auto"/>
              <w:ind w:firstLine="0" w:firstLineChars="0"/>
              <w:jc w:val="center"/>
              <w:rPr>
                <w:sz w:val="21"/>
                <w:szCs w:val="21"/>
              </w:rPr>
            </w:pPr>
            <w:r>
              <w:rPr>
                <w:sz w:val="21"/>
                <w:szCs w:val="21"/>
              </w:rPr>
              <w:t>交流</w:t>
            </w:r>
          </w:p>
        </w:tc>
        <w:tc>
          <w:tcPr>
            <w:tcW w:w="713" w:type="pct"/>
            <w:vAlign w:val="center"/>
          </w:tcPr>
          <w:p>
            <w:pPr>
              <w:tabs>
                <w:tab w:val="clear" w:pos="480"/>
              </w:tabs>
              <w:spacing w:line="240" w:lineRule="auto"/>
              <w:ind w:firstLine="0" w:firstLineChars="0"/>
              <w:jc w:val="center"/>
              <w:rPr>
                <w:rFonts w:hint="eastAsia" w:eastAsia="宋体"/>
                <w:sz w:val="21"/>
                <w:szCs w:val="21"/>
                <w:lang w:eastAsia="zh-CN"/>
              </w:rPr>
            </w:pPr>
            <w:r>
              <w:rPr>
                <w:rFonts w:hint="eastAsia"/>
                <w:sz w:val="21"/>
                <w:szCs w:val="21"/>
              </w:rPr>
              <w:t>22</w:t>
            </w:r>
            <w:r>
              <w:rPr>
                <w:sz w:val="21"/>
                <w:szCs w:val="21"/>
              </w:rPr>
              <w:t>0</w:t>
            </w:r>
            <w:r>
              <w:rPr>
                <w:rFonts w:hint="eastAsia"/>
                <w:sz w:val="21"/>
                <w:szCs w:val="21"/>
                <w:lang w:eastAsia="zh-CN"/>
              </w:rPr>
              <w:t>kV</w:t>
            </w:r>
          </w:p>
        </w:tc>
        <w:tc>
          <w:tcPr>
            <w:tcW w:w="773" w:type="pct"/>
            <w:vAlign w:val="center"/>
          </w:tcPr>
          <w:p>
            <w:pPr>
              <w:tabs>
                <w:tab w:val="clear" w:pos="480"/>
              </w:tabs>
              <w:spacing w:line="240" w:lineRule="auto"/>
              <w:ind w:firstLine="0" w:firstLineChars="0"/>
              <w:jc w:val="center"/>
              <w:rPr>
                <w:sz w:val="21"/>
                <w:szCs w:val="21"/>
              </w:rPr>
            </w:pPr>
            <w:r>
              <w:rPr>
                <w:rFonts w:hint="eastAsia"/>
                <w:sz w:val="21"/>
                <w:szCs w:val="21"/>
                <w:lang w:val="en-US" w:eastAsia="zh-CN"/>
              </w:rPr>
              <w:t>汇集</w:t>
            </w:r>
            <w:r>
              <w:rPr>
                <w:sz w:val="21"/>
                <w:szCs w:val="21"/>
              </w:rPr>
              <w:t>站</w:t>
            </w:r>
          </w:p>
        </w:tc>
        <w:tc>
          <w:tcPr>
            <w:tcW w:w="1460" w:type="pct"/>
            <w:vAlign w:val="center"/>
          </w:tcPr>
          <w:p>
            <w:pPr>
              <w:tabs>
                <w:tab w:val="clear" w:pos="480"/>
              </w:tabs>
              <w:spacing w:line="240" w:lineRule="auto"/>
              <w:ind w:firstLine="0" w:firstLineChars="0"/>
              <w:jc w:val="center"/>
              <w:rPr>
                <w:sz w:val="21"/>
                <w:szCs w:val="21"/>
              </w:rPr>
            </w:pPr>
            <w:r>
              <w:rPr>
                <w:sz w:val="21"/>
                <w:szCs w:val="21"/>
              </w:rPr>
              <w:t>户外式</w:t>
            </w:r>
          </w:p>
        </w:tc>
        <w:tc>
          <w:tcPr>
            <w:tcW w:w="764" w:type="pct"/>
            <w:vAlign w:val="center"/>
          </w:tcPr>
          <w:p>
            <w:pPr>
              <w:tabs>
                <w:tab w:val="clear" w:pos="480"/>
              </w:tabs>
              <w:spacing w:line="240" w:lineRule="auto"/>
              <w:ind w:firstLine="0" w:firstLineChars="0"/>
              <w:jc w:val="center"/>
              <w:rPr>
                <w:sz w:val="21"/>
                <w:szCs w:val="21"/>
              </w:rPr>
            </w:pPr>
            <w:r>
              <w:rPr>
                <w:sz w:val="21"/>
                <w:szCs w:val="21"/>
              </w:rPr>
              <w:t>二级</w:t>
            </w:r>
          </w:p>
        </w:tc>
        <w:tc>
          <w:tcPr>
            <w:tcW w:w="815" w:type="pct"/>
            <w:vAlign w:val="center"/>
          </w:tcPr>
          <w:p>
            <w:pPr>
              <w:tabs>
                <w:tab w:val="clear" w:pos="480"/>
              </w:tabs>
              <w:spacing w:line="240" w:lineRule="auto"/>
              <w:ind w:firstLine="0" w:firstLineChars="0"/>
              <w:jc w:val="center"/>
              <w:rPr>
                <w:sz w:val="21"/>
                <w:szCs w:val="21"/>
              </w:rPr>
            </w:pPr>
            <w:r>
              <w:rPr>
                <w:rFonts w:hint="eastAsia"/>
                <w:sz w:val="21"/>
                <w:szCs w:val="21"/>
              </w:rPr>
              <w:t>类比监测</w:t>
            </w:r>
          </w:p>
        </w:tc>
      </w:tr>
    </w:tbl>
    <w:p>
      <w:pPr>
        <w:tabs>
          <w:tab w:val="clear" w:pos="480"/>
        </w:tabs>
        <w:adjustRightInd w:val="0"/>
        <w:snapToGrid w:val="0"/>
        <w:ind w:firstLine="480"/>
        <w:rPr>
          <w:rFonts w:hint="eastAsia"/>
        </w:rPr>
      </w:pPr>
      <w:r>
        <w:rPr>
          <w:rFonts w:hint="eastAsia"/>
        </w:rPr>
        <w:t>综合考虑，本工程电磁环境影响评价等级应为二级。</w:t>
      </w:r>
    </w:p>
    <w:p>
      <w:pPr>
        <w:tabs>
          <w:tab w:val="clear" w:pos="480"/>
        </w:tabs>
        <w:adjustRightInd w:val="0"/>
        <w:snapToGrid w:val="0"/>
        <w:ind w:firstLine="480"/>
      </w:pPr>
      <w:r>
        <w:rPr>
          <w:rFonts w:hint="eastAsia"/>
        </w:rPr>
        <w:t>根据《环境影响评价技术导则</w:t>
      </w:r>
      <w:r>
        <w:t xml:space="preserve"> </w:t>
      </w:r>
      <w:r>
        <w:rPr>
          <w:rFonts w:hint="eastAsia"/>
        </w:rPr>
        <w:t>输变电》（</w:t>
      </w:r>
      <w:r>
        <w:t>HJ24-2020</w:t>
      </w:r>
      <w:r>
        <w:rPr>
          <w:rFonts w:hint="eastAsia"/>
        </w:rPr>
        <w:t>）表</w:t>
      </w:r>
      <w:r>
        <w:t>3</w:t>
      </w:r>
      <w:r>
        <w:rPr>
          <w:rFonts w:hint="eastAsia"/>
        </w:rPr>
        <w:t>，电磁环境影响评价范围判定依据见下表。</w:t>
      </w:r>
    </w:p>
    <w:p>
      <w:pPr>
        <w:pStyle w:val="623"/>
        <w:ind w:firstLine="422"/>
        <w:rPr>
          <w:rFonts w:hint="eastAsia"/>
          <w:b/>
          <w:bCs/>
          <w:sz w:val="21"/>
          <w:szCs w:val="21"/>
        </w:rPr>
      </w:pPr>
      <w:r>
        <w:rPr>
          <w:rFonts w:hint="eastAsia"/>
          <w:b/>
          <w:bCs/>
          <w:sz w:val="21"/>
          <w:szCs w:val="21"/>
        </w:rPr>
        <w:t>输变电建设项目电磁环境影响评价范围</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870"/>
        <w:gridCol w:w="1498"/>
        <w:gridCol w:w="1529"/>
        <w:gridCol w:w="3362"/>
        <w:gridCol w:w="184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8" w:type="pct"/>
            <w:vMerge w:val="restart"/>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分类</w:t>
            </w:r>
          </w:p>
        </w:tc>
        <w:tc>
          <w:tcPr>
            <w:tcW w:w="823" w:type="pct"/>
            <w:vMerge w:val="restart"/>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电压等级</w:t>
            </w:r>
          </w:p>
        </w:tc>
        <w:tc>
          <w:tcPr>
            <w:tcW w:w="3698" w:type="pct"/>
            <w:gridSpan w:val="3"/>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评价范围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8" w:type="pct"/>
            <w:vMerge w:val="continue"/>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lang w:eastAsia="en-US"/>
              </w:rPr>
            </w:pPr>
          </w:p>
        </w:tc>
        <w:tc>
          <w:tcPr>
            <w:tcW w:w="823" w:type="pct"/>
            <w:vMerge w:val="continue"/>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lang w:eastAsia="en-US"/>
              </w:rPr>
            </w:pPr>
          </w:p>
        </w:tc>
        <w:tc>
          <w:tcPr>
            <w:tcW w:w="840" w:type="pct"/>
            <w:vMerge w:val="restart"/>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rPr>
            </w:pPr>
            <w:r>
              <w:rPr>
                <w:sz w:val="21"/>
                <w:szCs w:val="21"/>
              </w:rPr>
              <w:t>变电站、换流站、开关站、串补站</w:t>
            </w:r>
          </w:p>
        </w:tc>
        <w:tc>
          <w:tcPr>
            <w:tcW w:w="2859" w:type="pct"/>
            <w:gridSpan w:val="2"/>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线路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8" w:type="pct"/>
            <w:vMerge w:val="continue"/>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lang w:eastAsia="en-US"/>
              </w:rPr>
            </w:pPr>
          </w:p>
        </w:tc>
        <w:tc>
          <w:tcPr>
            <w:tcW w:w="823" w:type="pct"/>
            <w:vMerge w:val="continue"/>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lang w:eastAsia="en-US"/>
              </w:rPr>
            </w:pPr>
          </w:p>
        </w:tc>
        <w:tc>
          <w:tcPr>
            <w:tcW w:w="840" w:type="pct"/>
            <w:vMerge w:val="continue"/>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lang w:eastAsia="en-US"/>
              </w:rPr>
            </w:pPr>
          </w:p>
        </w:tc>
        <w:tc>
          <w:tcPr>
            <w:tcW w:w="1847" w:type="pct"/>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架空线路</w:t>
            </w:r>
          </w:p>
        </w:tc>
        <w:tc>
          <w:tcPr>
            <w:tcW w:w="1012" w:type="pct"/>
            <w:shd w:val="clear" w:color="auto" w:fill="auto"/>
            <w:vAlign w:val="center"/>
          </w:tcPr>
          <w:p>
            <w:pPr>
              <w:tabs>
                <w:tab w:val="clear" w:pos="480"/>
              </w:tabs>
              <w:autoSpaceDE w:val="0"/>
              <w:autoSpaceDN w:val="0"/>
              <w:adjustRightInd w:val="0"/>
              <w:snapToGrid w:val="0"/>
              <w:spacing w:line="240" w:lineRule="auto"/>
              <w:ind w:firstLine="0" w:firstLineChars="0"/>
              <w:rPr>
                <w:sz w:val="21"/>
                <w:szCs w:val="21"/>
                <w:lang w:eastAsia="en-US"/>
              </w:rPr>
            </w:pPr>
            <w:r>
              <w:rPr>
                <w:sz w:val="21"/>
                <w:szCs w:val="21"/>
                <w:lang w:eastAsia="en-US"/>
              </w:rPr>
              <w:t>地下电缆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8" w:type="pct"/>
            <w:vMerge w:val="restart"/>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交流</w:t>
            </w:r>
          </w:p>
        </w:tc>
        <w:tc>
          <w:tcPr>
            <w:tcW w:w="823" w:type="pct"/>
            <w:shd w:val="clear" w:color="auto" w:fill="auto"/>
            <w:vAlign w:val="center"/>
          </w:tcPr>
          <w:p>
            <w:pPr>
              <w:tabs>
                <w:tab w:val="clear" w:pos="480"/>
              </w:tabs>
              <w:autoSpaceDE w:val="0"/>
              <w:autoSpaceDN w:val="0"/>
              <w:adjustRightInd w:val="0"/>
              <w:snapToGrid w:val="0"/>
              <w:spacing w:line="240" w:lineRule="auto"/>
              <w:ind w:firstLine="0" w:firstLineChars="0"/>
              <w:jc w:val="center"/>
              <w:rPr>
                <w:rFonts w:hint="eastAsia" w:eastAsia="宋体"/>
                <w:sz w:val="21"/>
                <w:szCs w:val="21"/>
                <w:lang w:eastAsia="zh-CN"/>
              </w:rPr>
            </w:pPr>
            <w:r>
              <w:rPr>
                <w:sz w:val="21"/>
                <w:szCs w:val="21"/>
                <w:lang w:eastAsia="en-US"/>
              </w:rPr>
              <w:t>110</w:t>
            </w:r>
            <w:r>
              <w:rPr>
                <w:rFonts w:hint="eastAsia"/>
                <w:sz w:val="21"/>
                <w:szCs w:val="21"/>
                <w:lang w:eastAsia="zh-CN"/>
              </w:rPr>
              <w:t>kV</w:t>
            </w:r>
          </w:p>
        </w:tc>
        <w:tc>
          <w:tcPr>
            <w:tcW w:w="840" w:type="pct"/>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站界外30m</w:t>
            </w:r>
          </w:p>
        </w:tc>
        <w:tc>
          <w:tcPr>
            <w:tcW w:w="1847" w:type="pct"/>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rPr>
            </w:pPr>
            <w:r>
              <w:rPr>
                <w:sz w:val="21"/>
                <w:szCs w:val="21"/>
              </w:rPr>
              <w:t>边导线地面投影外两侧各30m</w:t>
            </w:r>
          </w:p>
        </w:tc>
        <w:tc>
          <w:tcPr>
            <w:tcW w:w="1012" w:type="pct"/>
            <w:vMerge w:val="restart"/>
            <w:shd w:val="clear" w:color="auto" w:fill="auto"/>
            <w:vAlign w:val="center"/>
          </w:tcPr>
          <w:p>
            <w:pPr>
              <w:tabs>
                <w:tab w:val="clear" w:pos="480"/>
              </w:tabs>
              <w:autoSpaceDE w:val="0"/>
              <w:autoSpaceDN w:val="0"/>
              <w:adjustRightInd w:val="0"/>
              <w:snapToGrid w:val="0"/>
              <w:spacing w:line="240" w:lineRule="auto"/>
              <w:ind w:firstLine="0" w:firstLineChars="0"/>
              <w:rPr>
                <w:sz w:val="21"/>
                <w:szCs w:val="21"/>
              </w:rPr>
            </w:pPr>
            <w:r>
              <w:rPr>
                <w:sz w:val="21"/>
                <w:szCs w:val="21"/>
              </w:rPr>
              <w:t>管廊两侧边缘各外延5m（水平距离）</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8" w:type="pct"/>
            <w:vMerge w:val="continue"/>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rPr>
            </w:pPr>
          </w:p>
        </w:tc>
        <w:tc>
          <w:tcPr>
            <w:tcW w:w="823" w:type="pct"/>
            <w:shd w:val="clear" w:color="auto" w:fill="auto"/>
            <w:vAlign w:val="center"/>
          </w:tcPr>
          <w:p>
            <w:pPr>
              <w:tabs>
                <w:tab w:val="clear" w:pos="480"/>
              </w:tabs>
              <w:autoSpaceDE w:val="0"/>
              <w:autoSpaceDN w:val="0"/>
              <w:adjustRightInd w:val="0"/>
              <w:snapToGrid w:val="0"/>
              <w:spacing w:line="240" w:lineRule="auto"/>
              <w:ind w:firstLine="0" w:firstLineChars="0"/>
              <w:jc w:val="center"/>
              <w:rPr>
                <w:rFonts w:hint="eastAsia" w:eastAsia="宋体"/>
                <w:sz w:val="21"/>
                <w:szCs w:val="21"/>
                <w:lang w:eastAsia="zh-CN"/>
              </w:rPr>
            </w:pPr>
            <w:r>
              <w:rPr>
                <w:sz w:val="21"/>
                <w:szCs w:val="21"/>
                <w:lang w:eastAsia="en-US"/>
              </w:rPr>
              <w:t>220～330</w:t>
            </w:r>
            <w:r>
              <w:rPr>
                <w:rFonts w:hint="eastAsia"/>
                <w:sz w:val="21"/>
                <w:szCs w:val="21"/>
                <w:lang w:eastAsia="zh-CN"/>
              </w:rPr>
              <w:t>kV</w:t>
            </w:r>
          </w:p>
        </w:tc>
        <w:tc>
          <w:tcPr>
            <w:tcW w:w="840" w:type="pct"/>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站界外40m</w:t>
            </w:r>
          </w:p>
        </w:tc>
        <w:tc>
          <w:tcPr>
            <w:tcW w:w="1847" w:type="pct"/>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rPr>
            </w:pPr>
            <w:r>
              <w:rPr>
                <w:sz w:val="21"/>
                <w:szCs w:val="21"/>
              </w:rPr>
              <w:t>边导线地面投影外两侧各40m</w:t>
            </w:r>
          </w:p>
        </w:tc>
        <w:tc>
          <w:tcPr>
            <w:tcW w:w="1012" w:type="pct"/>
            <w:vMerge w:val="continue"/>
            <w:shd w:val="clear" w:color="auto" w:fill="auto"/>
            <w:vAlign w:val="center"/>
          </w:tcPr>
          <w:p>
            <w:pPr>
              <w:tabs>
                <w:tab w:val="clear" w:pos="480"/>
              </w:tabs>
              <w:autoSpaceDE w:val="0"/>
              <w:autoSpaceDN w:val="0"/>
              <w:adjustRightInd w:val="0"/>
              <w:snapToGrid w:val="0"/>
              <w:spacing w:line="240" w:lineRule="auto"/>
              <w:ind w:firstLine="0" w:firstLineChars="0"/>
              <w:rPr>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8" w:type="pct"/>
            <w:vMerge w:val="continue"/>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rPr>
            </w:pPr>
          </w:p>
        </w:tc>
        <w:tc>
          <w:tcPr>
            <w:tcW w:w="823" w:type="pct"/>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500</w:t>
            </w:r>
            <w:r>
              <w:rPr>
                <w:rFonts w:hint="eastAsia"/>
                <w:sz w:val="21"/>
                <w:szCs w:val="21"/>
                <w:lang w:eastAsia="zh-CN"/>
              </w:rPr>
              <w:t>kV</w:t>
            </w:r>
            <w:r>
              <w:rPr>
                <w:sz w:val="21"/>
                <w:szCs w:val="21"/>
                <w:lang w:eastAsia="en-US"/>
              </w:rPr>
              <w:t>及以上</w:t>
            </w:r>
          </w:p>
        </w:tc>
        <w:tc>
          <w:tcPr>
            <w:tcW w:w="840" w:type="pct"/>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站界外50m</w:t>
            </w:r>
          </w:p>
        </w:tc>
        <w:tc>
          <w:tcPr>
            <w:tcW w:w="1847" w:type="pct"/>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rPr>
            </w:pPr>
            <w:r>
              <w:rPr>
                <w:sz w:val="21"/>
                <w:szCs w:val="21"/>
              </w:rPr>
              <w:t>边导线地面投影外两侧各50m</w:t>
            </w:r>
          </w:p>
        </w:tc>
        <w:tc>
          <w:tcPr>
            <w:tcW w:w="1012" w:type="pct"/>
            <w:vMerge w:val="continue"/>
            <w:shd w:val="clear" w:color="auto" w:fill="auto"/>
            <w:vAlign w:val="center"/>
          </w:tcPr>
          <w:p>
            <w:pPr>
              <w:tabs>
                <w:tab w:val="clear" w:pos="480"/>
              </w:tabs>
              <w:autoSpaceDE w:val="0"/>
              <w:autoSpaceDN w:val="0"/>
              <w:adjustRightInd w:val="0"/>
              <w:snapToGrid w:val="0"/>
              <w:spacing w:line="240" w:lineRule="auto"/>
              <w:ind w:firstLine="0" w:firstLineChars="0"/>
              <w:rPr>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8" w:type="pct"/>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直流</w:t>
            </w:r>
          </w:p>
        </w:tc>
        <w:tc>
          <w:tcPr>
            <w:tcW w:w="823" w:type="pct"/>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±100</w:t>
            </w:r>
            <w:r>
              <w:rPr>
                <w:rFonts w:hint="eastAsia"/>
                <w:sz w:val="21"/>
                <w:szCs w:val="21"/>
                <w:lang w:eastAsia="zh-CN"/>
              </w:rPr>
              <w:t>kV</w:t>
            </w:r>
            <w:r>
              <w:rPr>
                <w:sz w:val="21"/>
                <w:szCs w:val="21"/>
                <w:lang w:eastAsia="en-US"/>
              </w:rPr>
              <w:t>及以上</w:t>
            </w:r>
          </w:p>
        </w:tc>
        <w:tc>
          <w:tcPr>
            <w:tcW w:w="840" w:type="pct"/>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站界外50m</w:t>
            </w:r>
          </w:p>
        </w:tc>
        <w:tc>
          <w:tcPr>
            <w:tcW w:w="1847" w:type="pct"/>
            <w:shd w:val="clear" w:color="auto" w:fill="auto"/>
            <w:vAlign w:val="center"/>
          </w:tcPr>
          <w:p>
            <w:pPr>
              <w:tabs>
                <w:tab w:val="clear" w:pos="480"/>
              </w:tabs>
              <w:autoSpaceDE w:val="0"/>
              <w:autoSpaceDN w:val="0"/>
              <w:adjustRightInd w:val="0"/>
              <w:snapToGrid w:val="0"/>
              <w:spacing w:line="240" w:lineRule="auto"/>
              <w:ind w:firstLine="0" w:firstLineChars="0"/>
              <w:jc w:val="center"/>
              <w:rPr>
                <w:sz w:val="21"/>
                <w:szCs w:val="21"/>
              </w:rPr>
            </w:pPr>
            <w:r>
              <w:rPr>
                <w:sz w:val="21"/>
                <w:szCs w:val="21"/>
              </w:rPr>
              <w:t>极导线地面投影外两侧各50m</w:t>
            </w:r>
          </w:p>
        </w:tc>
        <w:tc>
          <w:tcPr>
            <w:tcW w:w="1012" w:type="pct"/>
            <w:vMerge w:val="continue"/>
            <w:shd w:val="clear" w:color="auto" w:fill="auto"/>
            <w:vAlign w:val="center"/>
          </w:tcPr>
          <w:p>
            <w:pPr>
              <w:tabs>
                <w:tab w:val="clear" w:pos="480"/>
              </w:tabs>
              <w:autoSpaceDE w:val="0"/>
              <w:autoSpaceDN w:val="0"/>
              <w:adjustRightInd w:val="0"/>
              <w:snapToGrid w:val="0"/>
              <w:spacing w:line="240" w:lineRule="auto"/>
              <w:ind w:firstLine="0" w:firstLineChars="0"/>
              <w:rPr>
                <w:sz w:val="21"/>
                <w:szCs w:val="21"/>
              </w:rPr>
            </w:pPr>
          </w:p>
        </w:tc>
      </w:tr>
    </w:tbl>
    <w:p>
      <w:pPr>
        <w:tabs>
          <w:tab w:val="clear" w:pos="480"/>
        </w:tabs>
        <w:adjustRightInd w:val="0"/>
        <w:snapToGrid w:val="0"/>
        <w:ind w:firstLine="480"/>
        <w:rPr>
          <w:rFonts w:hint="eastAsia"/>
        </w:rPr>
      </w:pPr>
      <w:r>
        <w:rPr>
          <w:rFonts w:hint="eastAsia"/>
        </w:rPr>
        <w:t>本项目</w:t>
      </w:r>
      <w:r>
        <w:rPr>
          <w:rFonts w:hint="eastAsia"/>
          <w:lang w:val="en-US" w:eastAsia="zh-CN"/>
        </w:rPr>
        <w:t>汇集</w:t>
      </w:r>
      <w:r>
        <w:rPr>
          <w:rFonts w:hint="eastAsia"/>
        </w:rPr>
        <w:t>站最高电压等级为22</w:t>
      </w:r>
      <w:r>
        <w:t>0</w:t>
      </w:r>
      <w:r>
        <w:rPr>
          <w:rFonts w:hint="eastAsia"/>
          <w:lang w:eastAsia="zh-CN"/>
        </w:rPr>
        <w:t>kV</w:t>
      </w:r>
      <w:r>
        <w:rPr>
          <w:rFonts w:hint="eastAsia"/>
        </w:rPr>
        <w:t>，为户外式，且本次评价内容不包括输电线路。因此根据上表判断可知，本项目评价范围为</w:t>
      </w:r>
      <w:r>
        <w:rPr>
          <w:rFonts w:hint="eastAsia"/>
          <w:lang w:val="en-US" w:eastAsia="zh-CN"/>
        </w:rPr>
        <w:t>汇集</w:t>
      </w:r>
      <w:r>
        <w:rPr>
          <w:rFonts w:hint="eastAsia"/>
        </w:rPr>
        <w:t>站站界外4</w:t>
      </w:r>
      <w:r>
        <w:t>0m</w:t>
      </w:r>
      <w:r>
        <w:rPr>
          <w:rFonts w:hint="eastAsia"/>
        </w:rPr>
        <w:t>范围区域内。</w:t>
      </w:r>
    </w:p>
    <w:p>
      <w:pPr>
        <w:pStyle w:val="458"/>
        <w:ind w:firstLine="602"/>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评价范围</w:t>
      </w:r>
    </w:p>
    <w:p>
      <w:pPr>
        <w:pStyle w:val="2105"/>
        <w:spacing w:line="360" w:lineRule="auto"/>
        <w:rPr>
          <w:color w:val="000000" w:themeColor="text1"/>
          <w:u w:val="none" w:color="auto"/>
          <w14:textFill>
            <w14:solidFill>
              <w14:schemeClr w14:val="tx1"/>
            </w14:solidFill>
          </w14:textFill>
        </w:rPr>
      </w:pPr>
      <w:r>
        <w:rPr>
          <w:rFonts w:hint="eastAsia"/>
          <w:color w:val="000000" w:themeColor="text1"/>
          <w:u w:val="none" w:color="auto"/>
          <w:lang w:val="en-US" w:eastAsia="zh-CN"/>
          <w14:textFill>
            <w14:solidFill>
              <w14:schemeClr w14:val="tx1"/>
            </w14:solidFill>
          </w14:textFill>
        </w:rPr>
        <w:t>根据各要素评价工作等级、</w:t>
      </w:r>
      <w:r>
        <w:rPr>
          <w:color w:val="000000" w:themeColor="text1"/>
          <w:u w:val="none" w:color="auto"/>
          <w14:textFill>
            <w14:solidFill>
              <w14:schemeClr w14:val="tx1"/>
            </w14:solidFill>
          </w14:textFill>
        </w:rPr>
        <w:t>导则中确定评价范围的依据和要求，归纳出本项目的环境影响评价范围，详见下表。</w:t>
      </w:r>
    </w:p>
    <w:p>
      <w:pPr>
        <w:pStyle w:val="623"/>
        <w:ind w:firstLine="422"/>
        <w:rPr>
          <w:rFonts w:cs="Times New Roman"/>
          <w:color w:val="000000" w:themeColor="text1"/>
          <w:u w:val="none" w:color="auto"/>
          <w14:textFill>
            <w14:solidFill>
              <w14:schemeClr w14:val="tx1"/>
            </w14:solidFill>
          </w14:textFill>
        </w:rPr>
      </w:pPr>
      <w:r>
        <w:rPr>
          <w:rFonts w:cs="Times New Roman"/>
          <w:color w:val="000000" w:themeColor="text1"/>
          <w:u w:val="none" w:color="auto"/>
          <w14:textFill>
            <w14:solidFill>
              <w14:schemeClr w14:val="tx1"/>
            </w14:solidFill>
          </w14:textFill>
        </w:rPr>
        <w:t>评价范围一览表</w:t>
      </w:r>
    </w:p>
    <w:tbl>
      <w:tblPr>
        <w:tblStyle w:val="3600"/>
        <w:tblW w:w="488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21"/>
        <w:gridCol w:w="1543"/>
        <w:gridCol w:w="60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22" w:type="dxa"/>
            <w:vAlign w:val="center"/>
          </w:tcPr>
          <w:p>
            <w:pPr>
              <w:pStyle w:val="2695"/>
              <w:rPr>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评价环境要素</w:t>
            </w:r>
          </w:p>
        </w:tc>
        <w:tc>
          <w:tcPr>
            <w:tcW w:w="1543" w:type="dxa"/>
            <w:vAlign w:val="center"/>
          </w:tcPr>
          <w:p>
            <w:pPr>
              <w:pStyle w:val="2695"/>
              <w:rPr>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评价工作等级</w:t>
            </w:r>
          </w:p>
        </w:tc>
        <w:tc>
          <w:tcPr>
            <w:tcW w:w="6010" w:type="dxa"/>
            <w:vAlign w:val="center"/>
          </w:tcPr>
          <w:p>
            <w:pPr>
              <w:pStyle w:val="2695"/>
              <w:rPr>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评价范围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22" w:type="dxa"/>
            <w:vAlign w:val="center"/>
          </w:tcPr>
          <w:p>
            <w:pPr>
              <w:pStyle w:val="2695"/>
              <w:rPr>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地表水环境</w:t>
            </w:r>
          </w:p>
        </w:tc>
        <w:tc>
          <w:tcPr>
            <w:tcW w:w="1543" w:type="dxa"/>
            <w:vAlign w:val="center"/>
          </w:tcPr>
          <w:p>
            <w:pPr>
              <w:pStyle w:val="2695"/>
              <w:rPr>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三级B</w:t>
            </w:r>
          </w:p>
        </w:tc>
        <w:tc>
          <w:tcPr>
            <w:tcW w:w="6010" w:type="dxa"/>
            <w:vAlign w:val="center"/>
          </w:tcPr>
          <w:p>
            <w:pPr>
              <w:pStyle w:val="2695"/>
              <w:rPr>
                <w:rFonts w:hint="eastAsia" w:eastAsia="宋体"/>
                <w:color w:val="000000" w:themeColor="text1"/>
                <w:sz w:val="21"/>
                <w:szCs w:val="21"/>
                <w:u w:val="none" w:color="auto"/>
                <w:lang w:eastAsia="zh-CN"/>
                <w14:textFill>
                  <w14:solidFill>
                    <w14:schemeClr w14:val="tx1"/>
                  </w14:solidFill>
                </w14:textFill>
              </w:rPr>
            </w:pPr>
            <w:r>
              <w:rPr>
                <w:rFonts w:hint="eastAsia" w:cs="Times New Roman"/>
                <w:color w:val="000000" w:themeColor="text1"/>
                <w:sz w:val="21"/>
                <w:szCs w:val="21"/>
                <w:u w:val="none" w:color="auto"/>
                <w:lang w:val="en-US" w:eastAsia="zh-CN"/>
                <w14:textFill>
                  <w14:solidFill>
                    <w14:schemeClr w14:val="tx1"/>
                  </w14:solidFill>
                </w14:textFill>
              </w:rPr>
              <w:t>两江口</w:t>
            </w: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水库、</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风电场区域内</w:t>
            </w:r>
            <w:r>
              <w:rPr>
                <w:rFonts w:hint="eastAsia"/>
                <w:sz w:val="21"/>
                <w:szCs w:val="21"/>
                <w:u w:val="none" w:color="auto"/>
                <w:vertAlign w:val="baseline"/>
                <w:lang w:val="en-US" w:eastAsia="zh-CN"/>
              </w:rPr>
              <w:t>沟渠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22" w:type="dxa"/>
            <w:vAlign w:val="center"/>
          </w:tcPr>
          <w:p>
            <w:pPr>
              <w:pStyle w:val="2695"/>
              <w:rPr>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大气环境</w:t>
            </w:r>
          </w:p>
        </w:tc>
        <w:tc>
          <w:tcPr>
            <w:tcW w:w="1543" w:type="dxa"/>
            <w:vAlign w:val="center"/>
          </w:tcPr>
          <w:p>
            <w:pPr>
              <w:pStyle w:val="2695"/>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lang w:eastAsia="zh-CN"/>
                <w14:textFill>
                  <w14:solidFill>
                    <w14:schemeClr w14:val="tx1"/>
                  </w14:solidFill>
                </w14:textFill>
              </w:rPr>
              <w:t>三</w:t>
            </w:r>
            <w:r>
              <w:rPr>
                <w:color w:val="000000" w:themeColor="text1"/>
                <w:sz w:val="21"/>
                <w:szCs w:val="21"/>
                <w:u w:val="none" w:color="auto"/>
                <w14:textFill>
                  <w14:solidFill>
                    <w14:schemeClr w14:val="tx1"/>
                  </w14:solidFill>
                </w14:textFill>
              </w:rPr>
              <w:t>级</w:t>
            </w:r>
          </w:p>
        </w:tc>
        <w:tc>
          <w:tcPr>
            <w:tcW w:w="6010" w:type="dxa"/>
            <w:vAlign w:val="center"/>
          </w:tcPr>
          <w:p>
            <w:pPr>
              <w:pStyle w:val="2695"/>
              <w:rPr>
                <w:color w:val="000000" w:themeColor="text1"/>
                <w:sz w:val="21"/>
                <w:szCs w:val="21"/>
                <w:u w:val="none" w:color="auto"/>
                <w14:textFill>
                  <w14:solidFill>
                    <w14:schemeClr w14:val="tx1"/>
                  </w14:solidFill>
                </w14:textFill>
              </w:rPr>
            </w:pPr>
            <w:r>
              <w:rPr>
                <w:rFonts w:ascii="宋体" w:hAnsi="宋体" w:eastAsia="宋体" w:cs="宋体"/>
                <w:spacing w:val="11"/>
                <w:sz w:val="21"/>
                <w:szCs w:val="21"/>
                <w:u w:val="none" w:color="auto"/>
              </w:rPr>
              <w:t>评价等级为三级，无需设置评价范围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22" w:type="dxa"/>
            <w:vAlign w:val="center"/>
          </w:tcPr>
          <w:p>
            <w:pPr>
              <w:pStyle w:val="2695"/>
              <w:rPr>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声环境</w:t>
            </w:r>
          </w:p>
        </w:tc>
        <w:tc>
          <w:tcPr>
            <w:tcW w:w="1543" w:type="dxa"/>
            <w:vAlign w:val="center"/>
          </w:tcPr>
          <w:p>
            <w:pPr>
              <w:pStyle w:val="2695"/>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lang w:eastAsia="zh-CN"/>
                <w14:textFill>
                  <w14:solidFill>
                    <w14:schemeClr w14:val="tx1"/>
                  </w14:solidFill>
                </w14:textFill>
              </w:rPr>
              <w:t>一</w:t>
            </w:r>
            <w:r>
              <w:rPr>
                <w:color w:val="000000" w:themeColor="text1"/>
                <w:sz w:val="21"/>
                <w:szCs w:val="21"/>
                <w:u w:val="none" w:color="auto"/>
                <w14:textFill>
                  <w14:solidFill>
                    <w14:schemeClr w14:val="tx1"/>
                  </w14:solidFill>
                </w14:textFill>
              </w:rPr>
              <w:t>级</w:t>
            </w:r>
          </w:p>
        </w:tc>
        <w:tc>
          <w:tcPr>
            <w:tcW w:w="6010" w:type="dxa"/>
            <w:vAlign w:val="center"/>
          </w:tcPr>
          <w:p>
            <w:pPr>
              <w:pStyle w:val="2695"/>
              <w:rPr>
                <w:rFonts w:hint="default" w:eastAsia="宋体"/>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eastAsia="zh-CN"/>
                <w14:textFill>
                  <w14:solidFill>
                    <w14:schemeClr w14:val="tx1"/>
                  </w14:solidFill>
                </w14:textFill>
              </w:rPr>
              <w:t>风机平台边界</w:t>
            </w:r>
            <w:r>
              <w:rPr>
                <w:color w:val="000000" w:themeColor="text1"/>
                <w:sz w:val="21"/>
                <w:szCs w:val="21"/>
                <w:u w:val="none" w:color="auto"/>
                <w14:textFill>
                  <w14:solidFill>
                    <w14:schemeClr w14:val="tx1"/>
                  </w14:solidFill>
                </w14:textFill>
              </w:rPr>
              <w:t>外</w:t>
            </w:r>
            <w:r>
              <w:rPr>
                <w:rFonts w:hint="eastAsia"/>
                <w:color w:val="000000" w:themeColor="text1"/>
                <w:sz w:val="21"/>
                <w:szCs w:val="21"/>
                <w:u w:val="none" w:color="auto"/>
                <w:lang w:val="en-US" w:eastAsia="zh-CN"/>
                <w14:textFill>
                  <w14:solidFill>
                    <w14:schemeClr w14:val="tx1"/>
                  </w14:solidFill>
                </w14:textFill>
              </w:rPr>
              <w:t>6</w:t>
            </w:r>
            <w:r>
              <w:rPr>
                <w:color w:val="000000" w:themeColor="text1"/>
                <w:sz w:val="21"/>
                <w:szCs w:val="21"/>
                <w:u w:val="none" w:color="auto"/>
                <w14:textFill>
                  <w14:solidFill>
                    <w14:schemeClr w14:val="tx1"/>
                  </w14:solidFill>
                </w14:textFill>
              </w:rPr>
              <w:t>00m范围</w:t>
            </w:r>
            <w:r>
              <w:rPr>
                <w:rFonts w:hint="eastAsia"/>
                <w:color w:val="000000" w:themeColor="text1"/>
                <w:sz w:val="21"/>
                <w:szCs w:val="21"/>
                <w:u w:val="none" w:color="auto"/>
                <w:lang w:eastAsia="zh-CN"/>
                <w14:textFill>
                  <w14:solidFill>
                    <w14:schemeClr w14:val="tx1"/>
                  </w14:solidFill>
                </w14:textFill>
              </w:rPr>
              <w:t>，</w:t>
            </w:r>
            <w:r>
              <w:rPr>
                <w:rFonts w:hint="eastAsia"/>
                <w:color w:val="000000" w:themeColor="text1"/>
                <w:sz w:val="21"/>
                <w:szCs w:val="21"/>
                <w:u w:val="none" w:color="auto"/>
                <w:lang w:val="en-US" w:eastAsia="zh-CN"/>
                <w14:textFill>
                  <w14:solidFill>
                    <w14:schemeClr w14:val="tx1"/>
                  </w14:solidFill>
                </w14:textFill>
              </w:rPr>
              <w:t>进场道路和</w:t>
            </w:r>
            <w:r>
              <w:rPr>
                <w:rFonts w:hint="eastAsia"/>
                <w:color w:val="000000" w:themeColor="text1"/>
                <w:sz w:val="21"/>
                <w:szCs w:val="21"/>
                <w:u w:val="none" w:color="auto"/>
                <w:lang w:eastAsia="zh-CN"/>
                <w14:textFill>
                  <w14:solidFill>
                    <w14:schemeClr w14:val="tx1"/>
                  </w14:solidFill>
                </w14:textFill>
              </w:rPr>
              <w:t>场内道路两侧</w:t>
            </w:r>
            <w:r>
              <w:rPr>
                <w:rFonts w:hint="eastAsia"/>
                <w:color w:val="000000" w:themeColor="text1"/>
                <w:sz w:val="21"/>
                <w:szCs w:val="21"/>
                <w:u w:val="none" w:color="auto"/>
                <w:lang w:val="en-US" w:eastAsia="zh-CN"/>
                <w14:textFill>
                  <w14:solidFill>
                    <w14:schemeClr w14:val="tx1"/>
                  </w14:solidFill>
                </w14:textFill>
              </w:rPr>
              <w:t>200</w:t>
            </w:r>
            <w:r>
              <w:rPr>
                <w:color w:val="000000" w:themeColor="text1"/>
                <w:sz w:val="21"/>
                <w:szCs w:val="21"/>
                <w:u w:val="none" w:color="auto"/>
                <w14:textFill>
                  <w14:solidFill>
                    <w14:schemeClr w14:val="tx1"/>
                  </w14:solidFill>
                </w14:textFill>
              </w:rPr>
              <w:t>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522" w:type="dxa"/>
            <w:vAlign w:val="center"/>
          </w:tcPr>
          <w:p>
            <w:pPr>
              <w:pStyle w:val="2695"/>
              <w:rPr>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生态环境</w:t>
            </w:r>
          </w:p>
        </w:tc>
        <w:tc>
          <w:tcPr>
            <w:tcW w:w="1543" w:type="dxa"/>
            <w:vAlign w:val="center"/>
          </w:tcPr>
          <w:p>
            <w:pPr>
              <w:pStyle w:val="2695"/>
              <w:rPr>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三级</w:t>
            </w:r>
          </w:p>
        </w:tc>
        <w:tc>
          <w:tcPr>
            <w:tcW w:w="6010" w:type="dxa"/>
            <w:vAlign w:val="center"/>
          </w:tcPr>
          <w:p>
            <w:pPr>
              <w:pStyle w:val="2695"/>
              <w:rPr>
                <w:color w:val="000000" w:themeColor="text1"/>
                <w:sz w:val="21"/>
                <w:szCs w:val="21"/>
                <w:u w:val="none" w:color="auto"/>
                <w14:textFill>
                  <w14:solidFill>
                    <w14:schemeClr w14:val="tx1"/>
                  </w14:solidFill>
                </w14:textFill>
              </w:rPr>
            </w:pPr>
            <w:r>
              <w:rPr>
                <w:bCs/>
                <w:sz w:val="21"/>
                <w:szCs w:val="21"/>
                <w:u w:val="none" w:color="auto"/>
              </w:rPr>
              <w:t>风机及箱变基础、施工道路、施工生产生活区、</w:t>
            </w:r>
            <w:r>
              <w:rPr>
                <w:rFonts w:hint="eastAsia"/>
                <w:bCs/>
                <w:sz w:val="21"/>
                <w:szCs w:val="21"/>
                <w:u w:val="none" w:color="auto"/>
              </w:rPr>
              <w:t>弃渣场区</w:t>
            </w:r>
            <w:r>
              <w:rPr>
                <w:bCs/>
                <w:sz w:val="21"/>
                <w:szCs w:val="21"/>
                <w:u w:val="none" w:color="auto"/>
              </w:rPr>
              <w:t>等永久占地和临时占地及周边300m范围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522" w:type="dxa"/>
            <w:vAlign w:val="center"/>
          </w:tcPr>
          <w:p>
            <w:pPr>
              <w:pStyle w:val="2695"/>
              <w:rPr>
                <w:rFonts w:hint="default" w:eastAsia="宋体"/>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电磁环境</w:t>
            </w:r>
          </w:p>
        </w:tc>
        <w:tc>
          <w:tcPr>
            <w:tcW w:w="1543" w:type="dxa"/>
            <w:vAlign w:val="center"/>
          </w:tcPr>
          <w:p>
            <w:pPr>
              <w:pStyle w:val="2695"/>
              <w:rPr>
                <w:rFonts w:hint="eastAsia" w:eastAsia="宋体"/>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二级</w:t>
            </w:r>
          </w:p>
        </w:tc>
        <w:tc>
          <w:tcPr>
            <w:tcW w:w="6010" w:type="dxa"/>
            <w:vAlign w:val="center"/>
          </w:tcPr>
          <w:p>
            <w:pPr>
              <w:pStyle w:val="2695"/>
              <w:rPr>
                <w:bCs/>
                <w:sz w:val="21"/>
                <w:szCs w:val="21"/>
                <w:u w:val="none" w:color="auto"/>
              </w:rPr>
            </w:pPr>
            <w:r>
              <w:rPr>
                <w:rFonts w:hint="eastAsia"/>
                <w:sz w:val="21"/>
                <w:szCs w:val="21"/>
                <w:lang w:val="en-US" w:eastAsia="zh-CN"/>
              </w:rPr>
              <w:t>汇集</w:t>
            </w:r>
            <w:r>
              <w:rPr>
                <w:rFonts w:hint="eastAsia"/>
                <w:sz w:val="21"/>
                <w:szCs w:val="21"/>
              </w:rPr>
              <w:t>站站界外4</w:t>
            </w:r>
            <w:r>
              <w:rPr>
                <w:sz w:val="21"/>
                <w:szCs w:val="21"/>
              </w:rPr>
              <w:t>0m</w:t>
            </w:r>
            <w:r>
              <w:rPr>
                <w:rFonts w:hint="eastAsia"/>
                <w:sz w:val="21"/>
                <w:szCs w:val="21"/>
              </w:rPr>
              <w:t>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522" w:type="dxa"/>
            <w:vAlign w:val="center"/>
          </w:tcPr>
          <w:p>
            <w:pPr>
              <w:pStyle w:val="2695"/>
              <w:rPr>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地下水环境</w:t>
            </w:r>
          </w:p>
        </w:tc>
        <w:tc>
          <w:tcPr>
            <w:tcW w:w="1543" w:type="dxa"/>
            <w:vAlign w:val="center"/>
          </w:tcPr>
          <w:p>
            <w:pPr>
              <w:pStyle w:val="2695"/>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w:t>
            </w:r>
          </w:p>
        </w:tc>
        <w:tc>
          <w:tcPr>
            <w:tcW w:w="6010" w:type="dxa"/>
            <w:vAlign w:val="center"/>
          </w:tcPr>
          <w:p>
            <w:pPr>
              <w:pStyle w:val="2695"/>
              <w:rPr>
                <w:rFonts w:hint="eastAsia" w:eastAsia="宋体"/>
                <w:bCs/>
                <w:sz w:val="21"/>
                <w:szCs w:val="21"/>
                <w:u w:val="none" w:color="auto"/>
                <w:lang w:val="en-US" w:eastAsia="zh-CN"/>
              </w:rPr>
            </w:pPr>
            <w:r>
              <w:rPr>
                <w:rFonts w:hint="eastAsia"/>
                <w:bCs/>
                <w:sz w:val="21"/>
                <w:szCs w:val="21"/>
                <w:u w:val="none" w:color="auto"/>
                <w:lang w:val="en-US" w:eastAsia="zh-CN"/>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522" w:type="dxa"/>
            <w:shd w:val="clear" w:color="auto" w:fill="auto"/>
            <w:vAlign w:val="center"/>
          </w:tcPr>
          <w:p>
            <w:pPr>
              <w:pStyle w:val="2695"/>
              <w:ind w:firstLine="0" w:firstLineChars="0"/>
              <w:rPr>
                <w:rFonts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color w:val="000000" w:themeColor="text1"/>
                <w:sz w:val="21"/>
                <w:szCs w:val="21"/>
                <w:u w:val="none" w:color="auto"/>
                <w14:textFill>
                  <w14:solidFill>
                    <w14:schemeClr w14:val="tx1"/>
                  </w14:solidFill>
                </w14:textFill>
              </w:rPr>
              <w:t>土壤环境</w:t>
            </w:r>
          </w:p>
        </w:tc>
        <w:tc>
          <w:tcPr>
            <w:tcW w:w="1543" w:type="dxa"/>
            <w:shd w:val="clear" w:color="auto" w:fill="auto"/>
            <w:vAlign w:val="center"/>
          </w:tcPr>
          <w:p>
            <w:pPr>
              <w:pStyle w:val="2695"/>
              <w:ind w:firstLine="0" w:firstLineChars="0"/>
              <w:rPr>
                <w:rFonts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w:t>
            </w:r>
          </w:p>
        </w:tc>
        <w:tc>
          <w:tcPr>
            <w:tcW w:w="6010" w:type="dxa"/>
            <w:vAlign w:val="center"/>
          </w:tcPr>
          <w:p>
            <w:pPr>
              <w:pStyle w:val="2695"/>
              <w:rPr>
                <w:bCs/>
                <w:sz w:val="21"/>
                <w:szCs w:val="21"/>
                <w:u w:val="none" w:color="auto"/>
              </w:rPr>
            </w:pPr>
            <w:r>
              <w:rPr>
                <w:rFonts w:hint="eastAsia"/>
                <w:bCs/>
                <w:sz w:val="21"/>
                <w:szCs w:val="21"/>
                <w:u w:val="none" w:color="auto"/>
                <w:lang w:val="en-US" w:eastAsia="zh-CN"/>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522" w:type="dxa"/>
            <w:shd w:val="clear" w:color="auto" w:fill="auto"/>
            <w:vAlign w:val="center"/>
          </w:tcPr>
          <w:p>
            <w:pPr>
              <w:pStyle w:val="2695"/>
              <w:ind w:firstLine="0" w:firstLineChars="0"/>
              <w:rPr>
                <w:rFonts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color w:val="000000" w:themeColor="text1"/>
                <w:sz w:val="21"/>
                <w:szCs w:val="21"/>
                <w:u w:val="none" w:color="auto"/>
                <w14:textFill>
                  <w14:solidFill>
                    <w14:schemeClr w14:val="tx1"/>
                  </w14:solidFill>
                </w14:textFill>
              </w:rPr>
              <w:t>环境风险</w:t>
            </w:r>
          </w:p>
        </w:tc>
        <w:tc>
          <w:tcPr>
            <w:tcW w:w="1543" w:type="dxa"/>
            <w:shd w:val="clear" w:color="auto" w:fill="auto"/>
            <w:vAlign w:val="center"/>
          </w:tcPr>
          <w:p>
            <w:pPr>
              <w:pStyle w:val="2695"/>
              <w:ind w:firstLine="0" w:firstLineChars="0"/>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u w:val="none" w:color="auto"/>
                <w:lang w:eastAsia="zh-CN"/>
                <w14:textFill>
                  <w14:solidFill>
                    <w14:schemeClr w14:val="tx1"/>
                  </w14:solidFill>
                </w14:textFill>
              </w:rPr>
              <w:t>简单分析</w:t>
            </w:r>
          </w:p>
        </w:tc>
        <w:tc>
          <w:tcPr>
            <w:tcW w:w="6010" w:type="dxa"/>
            <w:vAlign w:val="center"/>
          </w:tcPr>
          <w:p>
            <w:pPr>
              <w:pStyle w:val="2695"/>
              <w:rPr>
                <w:bCs/>
                <w:sz w:val="21"/>
                <w:szCs w:val="21"/>
                <w:u w:val="none" w:color="auto"/>
              </w:rPr>
            </w:pPr>
            <w:r>
              <w:rPr>
                <w:rFonts w:hint="eastAsia"/>
                <w:bCs/>
                <w:sz w:val="21"/>
                <w:szCs w:val="21"/>
                <w:u w:val="none" w:color="auto"/>
                <w:lang w:val="en-US" w:eastAsia="zh-CN"/>
              </w:rPr>
              <w:t>无</w:t>
            </w:r>
          </w:p>
        </w:tc>
      </w:tr>
    </w:tbl>
    <w:p>
      <w:pPr>
        <w:pStyle w:val="457"/>
        <w:ind w:firstLine="643"/>
        <w:rPr>
          <w:rFonts w:ascii="Times New Roman" w:cs="Times New Roman"/>
          <w:color w:val="000000" w:themeColor="text1"/>
          <w:u w:val="none" w:color="auto"/>
          <w14:textFill>
            <w14:solidFill>
              <w14:schemeClr w14:val="tx1"/>
            </w14:solidFill>
          </w14:textFill>
        </w:rPr>
      </w:pPr>
      <w:bookmarkStart w:id="22" w:name="_Toc28898"/>
      <w:r>
        <w:rPr>
          <w:rFonts w:ascii="Times New Roman" w:cs="Times New Roman"/>
          <w:color w:val="000000" w:themeColor="text1"/>
          <w:u w:val="none" w:color="auto"/>
          <w14:textFill>
            <w14:solidFill>
              <w14:schemeClr w14:val="tx1"/>
            </w14:solidFill>
          </w14:textFill>
        </w:rPr>
        <w:t>评价标准</w:t>
      </w:r>
      <w:bookmarkEnd w:id="22"/>
    </w:p>
    <w:p>
      <w:pPr>
        <w:ind w:firstLine="480"/>
        <w:rPr>
          <w:rFonts w:hint="eastAsia" w:ascii="Times New Roman" w:hAnsi="Times New Roman" w:eastAsia="宋体" w:cs="Times New Roman"/>
          <w:color w:val="000000" w:themeColor="text1"/>
          <w:highlight w:val="none"/>
          <w:u w:val="none" w:color="auto"/>
          <w:lang w:eastAsia="zh-CN"/>
          <w14:textFill>
            <w14:solidFill>
              <w14:schemeClr w14:val="tx1"/>
            </w14:solidFill>
          </w14:textFill>
        </w:rPr>
      </w:pPr>
      <w:r>
        <w:rPr>
          <w:rFonts w:hint="eastAsia" w:cs="Times New Roman"/>
          <w:color w:val="000000" w:themeColor="text1"/>
          <w:highlight w:val="none"/>
          <w:u w:val="none" w:color="auto"/>
          <w:lang w:val="en-US" w:eastAsia="zh-CN"/>
          <w14:textFill>
            <w14:solidFill>
              <w14:schemeClr w14:val="tx1"/>
            </w14:solidFill>
          </w14:textFill>
        </w:rPr>
        <w:t>根据环境功能区划，</w:t>
      </w:r>
      <w:r>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t>本次</w:t>
      </w:r>
      <w:r>
        <w:rPr>
          <w:rFonts w:hint="eastAsia" w:ascii="Times New Roman" w:hAnsi="Times New Roman" w:eastAsia="宋体" w:cs="Times New Roman"/>
          <w:color w:val="000000" w:themeColor="text1"/>
          <w:highlight w:val="none"/>
          <w:u w:val="none" w:color="auto"/>
          <w:lang w:eastAsia="zh-CN"/>
          <w14:textFill>
            <w14:solidFill>
              <w14:schemeClr w14:val="tx1"/>
            </w14:solidFill>
          </w14:textFill>
        </w:rPr>
        <w:t>变更</w:t>
      </w:r>
      <w:r>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t>环评</w:t>
      </w:r>
      <w:r>
        <w:rPr>
          <w:rFonts w:hint="eastAsia" w:cs="Times New Roman"/>
          <w:color w:val="000000" w:themeColor="text1"/>
          <w:highlight w:val="none"/>
          <w:u w:val="none" w:color="auto"/>
          <w:lang w:eastAsia="zh-CN"/>
          <w14:textFill>
            <w14:solidFill>
              <w14:schemeClr w14:val="tx1"/>
            </w14:solidFill>
          </w14:textFill>
        </w:rPr>
        <w:t>执行标准如下</w:t>
      </w:r>
      <w:r>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t>：</w:t>
      </w:r>
    </w:p>
    <w:p>
      <w:pPr>
        <w:pStyle w:val="458"/>
        <w:ind w:firstLine="602"/>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环境质量标准</w:t>
      </w:r>
    </w:p>
    <w:p>
      <w:pPr>
        <w:numPr>
          <w:ilvl w:val="0"/>
          <w:numId w:val="55"/>
        </w:numPr>
        <w:bidi w:val="0"/>
        <w:rPr>
          <w:rFonts w:hint="default"/>
        </w:rPr>
      </w:pPr>
      <w:bookmarkStart w:id="23" w:name="_Toc185760480"/>
      <w:bookmarkStart w:id="24" w:name="_Toc316652048"/>
      <w:r>
        <w:rPr>
          <w:rFonts w:hint="default"/>
        </w:rPr>
        <w:t>环境空气：执行《环境空气质量标准》（GB3095-2012）中的二级标准。</w:t>
      </w:r>
    </w:p>
    <w:p>
      <w:pPr>
        <w:numPr>
          <w:ilvl w:val="0"/>
          <w:numId w:val="55"/>
        </w:numPr>
        <w:bidi w:val="0"/>
        <w:rPr>
          <w:rFonts w:hint="eastAsia"/>
          <w:lang w:eastAsia="zh-CN"/>
        </w:rPr>
      </w:pPr>
      <w:r>
        <w:rPr>
          <w:rFonts w:hint="default"/>
        </w:rPr>
        <w:t>地表水：</w:t>
      </w:r>
      <w:r>
        <w:rPr>
          <w:rFonts w:hint="eastAsia"/>
          <w:lang w:val="en-US" w:eastAsia="zh-CN"/>
        </w:rPr>
        <w:t>两江口</w:t>
      </w:r>
      <w:r>
        <w:rPr>
          <w:rFonts w:hint="eastAsia"/>
          <w:lang w:eastAsia="zh-CN"/>
        </w:rPr>
        <w:t>水库执行</w:t>
      </w:r>
      <w:r>
        <w:rPr>
          <w:rFonts w:hint="default"/>
        </w:rPr>
        <w:t>《地表水环境质量标准》（GB3838-2002）中的II类标准</w:t>
      </w:r>
      <w:r>
        <w:rPr>
          <w:rFonts w:hint="eastAsia"/>
          <w:lang w:eastAsia="zh-CN"/>
        </w:rPr>
        <w:t>，</w:t>
      </w:r>
      <w:r>
        <w:rPr>
          <w:rFonts w:hint="default"/>
        </w:rPr>
        <w:t>评价范围内</w:t>
      </w:r>
      <w:r>
        <w:rPr>
          <w:rFonts w:hint="eastAsia"/>
          <w:lang w:eastAsia="zh-CN"/>
        </w:rPr>
        <w:t>其他</w:t>
      </w:r>
      <w:r>
        <w:rPr>
          <w:rFonts w:hint="default"/>
        </w:rPr>
        <w:t>地表水体执行《地表水环境质量标准》（GB3838-2002）中的III类标准</w:t>
      </w:r>
      <w:r>
        <w:rPr>
          <w:rFonts w:hint="eastAsia"/>
        </w:rPr>
        <w:t>。</w:t>
      </w:r>
    </w:p>
    <w:p>
      <w:pPr>
        <w:numPr>
          <w:ilvl w:val="0"/>
          <w:numId w:val="55"/>
        </w:numPr>
        <w:bidi w:val="0"/>
        <w:rPr>
          <w:rFonts w:hint="default"/>
        </w:rPr>
      </w:pPr>
      <w:r>
        <w:rPr>
          <w:rFonts w:hint="default"/>
        </w:rPr>
        <w:t>声环境：</w:t>
      </w:r>
      <w:r>
        <w:rPr>
          <w:rFonts w:hint="eastAsia"/>
          <w:lang w:eastAsia="zh-CN"/>
        </w:rPr>
        <w:t>汇集站</w:t>
      </w:r>
      <w:r>
        <w:rPr>
          <w:rFonts w:hint="default"/>
        </w:rPr>
        <w:t>和风电场附近的居民点（村庄）执行《声环境质量标准》（GB3096-2008）中2类标准；其他地区执行《声环境质量标准》（GB3096-2008）中1类标准；交通干线两侧35m内执行4a类标准。</w:t>
      </w:r>
    </w:p>
    <w:p>
      <w:pPr>
        <w:bidi w:val="0"/>
        <w:rPr>
          <w:rFonts w:hint="default"/>
        </w:rPr>
      </w:pPr>
      <w:r>
        <w:t>具体限值参见表</w:t>
      </w:r>
      <w:r>
        <w:rPr>
          <w:rFonts w:hint="eastAsia"/>
          <w:lang w:val="en-US" w:eastAsia="zh-CN"/>
        </w:rPr>
        <w:t>1-8</w:t>
      </w:r>
      <w:r>
        <w:t>。</w:t>
      </w:r>
    </w:p>
    <w:p>
      <w:pPr>
        <w:pStyle w:val="623"/>
        <w:ind w:firstLine="422"/>
        <w:rPr>
          <w:rFonts w:cs="Times New Roman"/>
          <w:color w:val="000000" w:themeColor="text1"/>
          <w:u w:val="none" w:color="auto"/>
          <w14:textFill>
            <w14:solidFill>
              <w14:schemeClr w14:val="tx1"/>
            </w14:solidFill>
          </w14:textFill>
        </w:rPr>
      </w:pPr>
      <w:r>
        <w:rPr>
          <w:rFonts w:hint="eastAsia" w:cs="Times New Roman"/>
          <w:color w:val="000000" w:themeColor="text1"/>
          <w:u w:val="none" w:color="auto"/>
          <w:lang w:eastAsia="zh-CN"/>
          <w14:textFill>
            <w14:solidFill>
              <w14:schemeClr w14:val="tx1"/>
            </w14:solidFill>
          </w14:textFill>
        </w:rPr>
        <w:t>环境质量执行标准</w:t>
      </w:r>
    </w:p>
    <w:tbl>
      <w:tblPr>
        <w:tblStyle w:val="88"/>
        <w:tblW w:w="909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008"/>
        <w:gridCol w:w="2090"/>
        <w:gridCol w:w="1077"/>
        <w:gridCol w:w="958"/>
        <w:gridCol w:w="1254"/>
        <w:gridCol w:w="1538"/>
        <w:gridCol w:w="117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要素</w:t>
            </w:r>
          </w:p>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分类</w:t>
            </w:r>
          </w:p>
        </w:tc>
        <w:tc>
          <w:tcPr>
            <w:tcW w:w="2090"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标准名称</w:t>
            </w:r>
          </w:p>
        </w:tc>
        <w:tc>
          <w:tcPr>
            <w:tcW w:w="1077"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类别</w:t>
            </w:r>
          </w:p>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（级）别</w:t>
            </w:r>
          </w:p>
        </w:tc>
        <w:tc>
          <w:tcPr>
            <w:tcW w:w="3750" w:type="dxa"/>
            <w:gridSpan w:val="3"/>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标准限值</w:t>
            </w:r>
          </w:p>
        </w:tc>
        <w:tc>
          <w:tcPr>
            <w:tcW w:w="1173"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评价对象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212" w:type="dxa"/>
            <w:gridSpan w:val="2"/>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参数名称</w:t>
            </w:r>
          </w:p>
        </w:tc>
        <w:tc>
          <w:tcPr>
            <w:tcW w:w="1538"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限值</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声环境</w:t>
            </w:r>
          </w:p>
        </w:tc>
        <w:tc>
          <w:tcPr>
            <w:tcW w:w="2090"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《声环境质量标准》(GB309-2008)</w:t>
            </w:r>
          </w:p>
        </w:tc>
        <w:tc>
          <w:tcPr>
            <w:tcW w:w="1077"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sz w:val="21"/>
                <w:szCs w:val="21"/>
                <w:u w:val="none" w:color="auto"/>
                <w:lang w:val="en-US" w:eastAsia="zh-CN"/>
              </w:rPr>
            </w:pPr>
            <w:r>
              <w:rPr>
                <w:rFonts w:hint="eastAsia"/>
                <w:sz w:val="21"/>
                <w:szCs w:val="21"/>
                <w:u w:val="none" w:color="auto"/>
                <w:lang w:val="en-US" w:eastAsia="zh-CN"/>
              </w:rPr>
              <w:t>1类</w:t>
            </w:r>
          </w:p>
        </w:tc>
        <w:tc>
          <w:tcPr>
            <w:tcW w:w="958"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等效声级Leq</w:t>
            </w:r>
            <w:r>
              <w:rPr>
                <w:rFonts w:hint="eastAsia"/>
                <w:sz w:val="21"/>
                <w:szCs w:val="21"/>
                <w:u w:val="none" w:color="auto"/>
              </w:rPr>
              <w:t>（A）</w:t>
            </w:r>
          </w:p>
        </w:tc>
        <w:tc>
          <w:tcPr>
            <w:tcW w:w="1254"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kern w:val="2"/>
                <w:sz w:val="21"/>
                <w:szCs w:val="21"/>
                <w:u w:val="none" w:color="auto"/>
                <w:lang w:val="en-US" w:eastAsia="zh-CN" w:bidi="ar-SA"/>
              </w:rPr>
            </w:pPr>
            <w:r>
              <w:rPr>
                <w:sz w:val="21"/>
                <w:szCs w:val="21"/>
                <w:u w:val="none" w:color="auto"/>
              </w:rPr>
              <w:t>昼间</w:t>
            </w:r>
          </w:p>
        </w:tc>
        <w:tc>
          <w:tcPr>
            <w:tcW w:w="1538"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eastAsia="宋体"/>
                <w:sz w:val="21"/>
                <w:szCs w:val="21"/>
                <w:u w:val="none" w:color="auto"/>
                <w:lang w:val="en-US" w:eastAsia="zh-CN"/>
              </w:rPr>
            </w:pPr>
            <w:r>
              <w:rPr>
                <w:rFonts w:hint="eastAsia"/>
                <w:sz w:val="21"/>
                <w:szCs w:val="21"/>
                <w:u w:val="none" w:color="auto"/>
                <w:lang w:val="en-US" w:eastAsia="zh-CN"/>
              </w:rPr>
              <w:t>55</w:t>
            </w:r>
            <w:r>
              <w:rPr>
                <w:sz w:val="21"/>
                <w:szCs w:val="21"/>
                <w:u w:val="none" w:color="auto"/>
              </w:rPr>
              <w:t>dB(A)</w:t>
            </w:r>
          </w:p>
        </w:tc>
        <w:tc>
          <w:tcPr>
            <w:tcW w:w="1173"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hint="eastAsia"/>
                <w:sz w:val="21"/>
                <w:szCs w:val="21"/>
                <w:u w:val="none" w:color="auto"/>
                <w:lang w:eastAsia="zh-CN"/>
              </w:rPr>
            </w:pPr>
            <w:r>
              <w:rPr>
                <w:rFonts w:hint="eastAsia"/>
                <w:sz w:val="21"/>
                <w:szCs w:val="21"/>
                <w:u w:val="none" w:color="auto"/>
                <w:lang w:eastAsia="zh-CN"/>
              </w:rPr>
              <w:t>其他区域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hint="eastAsia"/>
                <w:sz w:val="21"/>
                <w:szCs w:val="21"/>
                <w:u w:val="none" w:color="auto"/>
                <w:lang w:val="en-US" w:eastAsia="zh-CN"/>
              </w:rPr>
            </w:pPr>
          </w:p>
        </w:tc>
        <w:tc>
          <w:tcPr>
            <w:tcW w:w="95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254"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kern w:val="2"/>
                <w:sz w:val="21"/>
                <w:szCs w:val="21"/>
                <w:u w:val="none" w:color="auto"/>
                <w:lang w:val="en-US" w:eastAsia="zh-CN" w:bidi="ar-SA"/>
              </w:rPr>
            </w:pPr>
            <w:r>
              <w:rPr>
                <w:sz w:val="21"/>
                <w:szCs w:val="21"/>
                <w:u w:val="none" w:color="auto"/>
              </w:rPr>
              <w:t>夜间</w:t>
            </w:r>
          </w:p>
        </w:tc>
        <w:tc>
          <w:tcPr>
            <w:tcW w:w="1538"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eastAsia="宋体"/>
                <w:sz w:val="21"/>
                <w:szCs w:val="21"/>
                <w:u w:val="none" w:color="auto"/>
                <w:lang w:val="en-US" w:eastAsia="zh-CN"/>
              </w:rPr>
            </w:pPr>
            <w:r>
              <w:rPr>
                <w:rFonts w:hint="eastAsia"/>
                <w:sz w:val="21"/>
                <w:szCs w:val="21"/>
                <w:u w:val="none" w:color="auto"/>
                <w:lang w:val="en-US" w:eastAsia="zh-CN"/>
              </w:rPr>
              <w:t>45</w:t>
            </w:r>
            <w:r>
              <w:rPr>
                <w:sz w:val="21"/>
                <w:szCs w:val="21"/>
                <w:u w:val="none" w:color="auto"/>
              </w:rPr>
              <w:t>dB(A)</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hint="eastAsia"/>
                <w:sz w:val="21"/>
                <w:szCs w:val="21"/>
                <w:u w:val="none" w:color="auto"/>
                <w:lang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rFonts w:hint="eastAsia"/>
                <w:sz w:val="21"/>
                <w:szCs w:val="21"/>
                <w:u w:val="none" w:color="auto"/>
                <w:lang w:val="en-US" w:eastAsia="zh-CN"/>
              </w:rPr>
              <w:t>2</w:t>
            </w:r>
            <w:r>
              <w:rPr>
                <w:sz w:val="21"/>
                <w:szCs w:val="21"/>
                <w:u w:val="none" w:color="auto"/>
              </w:rPr>
              <w:t>类</w:t>
            </w:r>
          </w:p>
        </w:tc>
        <w:tc>
          <w:tcPr>
            <w:tcW w:w="95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254"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昼间</w:t>
            </w:r>
          </w:p>
        </w:tc>
        <w:tc>
          <w:tcPr>
            <w:tcW w:w="1538"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60dB(A)</w:t>
            </w:r>
          </w:p>
        </w:tc>
        <w:tc>
          <w:tcPr>
            <w:tcW w:w="1173"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hint="eastAsia" w:eastAsia="宋体"/>
                <w:sz w:val="21"/>
                <w:szCs w:val="21"/>
                <w:u w:val="none" w:color="auto"/>
                <w:lang w:eastAsia="zh-CN"/>
              </w:rPr>
            </w:pPr>
            <w:r>
              <w:rPr>
                <w:rFonts w:hint="eastAsia"/>
                <w:sz w:val="21"/>
                <w:szCs w:val="21"/>
                <w:u w:val="none" w:color="auto"/>
                <w:lang w:eastAsia="zh-CN"/>
              </w:rPr>
              <w:t>风机、</w:t>
            </w:r>
            <w:r>
              <w:rPr>
                <w:rFonts w:hint="eastAsia"/>
                <w:sz w:val="21"/>
                <w:szCs w:val="21"/>
                <w:u w:val="none" w:color="auto"/>
                <w:lang w:val="en-US" w:eastAsia="zh-CN"/>
              </w:rPr>
              <w:t>汇集站</w:t>
            </w:r>
            <w:r>
              <w:rPr>
                <w:rFonts w:hint="eastAsia"/>
                <w:sz w:val="21"/>
                <w:szCs w:val="21"/>
                <w:u w:val="none" w:color="auto"/>
                <w:lang w:eastAsia="zh-CN"/>
              </w:rPr>
              <w:t>附近</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95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254"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ascii="Times New Roman" w:hAnsi="Times New Roman" w:eastAsia="宋体" w:cs="Times New Roman"/>
                <w:sz w:val="21"/>
                <w:szCs w:val="21"/>
                <w:u w:val="none" w:color="auto"/>
              </w:rPr>
            </w:pPr>
            <w:r>
              <w:rPr>
                <w:rFonts w:ascii="Times New Roman" w:hAnsi="Times New Roman" w:eastAsia="宋体" w:cs="Times New Roman"/>
                <w:sz w:val="21"/>
                <w:szCs w:val="21"/>
                <w:u w:val="none" w:color="auto"/>
              </w:rPr>
              <w:t>夜间</w:t>
            </w:r>
          </w:p>
        </w:tc>
        <w:tc>
          <w:tcPr>
            <w:tcW w:w="1538"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ascii="Times New Roman" w:hAnsi="Times New Roman" w:eastAsia="宋体" w:cs="Times New Roman"/>
                <w:sz w:val="21"/>
                <w:szCs w:val="21"/>
                <w:u w:val="none" w:color="auto"/>
              </w:rPr>
            </w:pPr>
            <w:r>
              <w:rPr>
                <w:rFonts w:ascii="Times New Roman" w:hAnsi="Times New Roman" w:eastAsia="宋体" w:cs="Times New Roman"/>
                <w:sz w:val="21"/>
                <w:szCs w:val="21"/>
                <w:u w:val="none" w:color="auto"/>
              </w:rPr>
              <w:t>50dB(A)</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95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254" w:type="dxa"/>
            <w:tcBorders>
              <w:tl2br w:val="nil"/>
              <w:tr2bl w:val="nil"/>
            </w:tcBorders>
            <w:shd w:val="clear" w:color="auto" w:fill="auto"/>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hint="eastAsia" w:ascii="Times New Roman" w:hAnsi="Times New Roman" w:eastAsia="宋体" w:cs="Times New Roman"/>
                <w:sz w:val="21"/>
                <w:szCs w:val="21"/>
                <w:u w:val="none" w:color="auto"/>
                <w:lang w:val="en-US" w:eastAsia="zh-CN"/>
              </w:rPr>
            </w:pPr>
            <w:r>
              <w:rPr>
                <w:rFonts w:ascii="Times New Roman" w:hAnsi="Times New Roman" w:eastAsia="宋体" w:cs="Times New Roman"/>
                <w:sz w:val="21"/>
                <w:szCs w:val="21"/>
                <w:u w:val="none" w:color="auto"/>
              </w:rPr>
              <w:t>夜间</w:t>
            </w:r>
            <w:r>
              <w:rPr>
                <w:rFonts w:hint="eastAsia" w:ascii="Times New Roman" w:hAnsi="Times New Roman" w:eastAsia="宋体" w:cs="Times New Roman"/>
                <w:sz w:val="21"/>
                <w:szCs w:val="21"/>
                <w:u w:val="none" w:color="auto"/>
                <w:lang w:eastAsia="zh-CN"/>
              </w:rPr>
              <w:t>突发噪声</w:t>
            </w:r>
          </w:p>
        </w:tc>
        <w:tc>
          <w:tcPr>
            <w:tcW w:w="1538" w:type="dxa"/>
            <w:tcBorders>
              <w:tl2br w:val="nil"/>
              <w:tr2bl w:val="nil"/>
            </w:tcBorders>
            <w:shd w:val="clear" w:color="auto" w:fill="auto"/>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65</w:t>
            </w:r>
            <w:r>
              <w:rPr>
                <w:rFonts w:ascii="Times New Roman" w:hAnsi="Times New Roman" w:eastAsia="宋体" w:cs="Times New Roman"/>
                <w:sz w:val="21"/>
                <w:szCs w:val="21"/>
                <w:u w:val="none" w:color="auto"/>
              </w:rPr>
              <w:t>dB(A)</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环境空气</w:t>
            </w:r>
          </w:p>
        </w:tc>
        <w:tc>
          <w:tcPr>
            <w:tcW w:w="2090"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《环境空气质量标准》(GB3095-2012)</w:t>
            </w:r>
          </w:p>
        </w:tc>
        <w:tc>
          <w:tcPr>
            <w:tcW w:w="1077"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hint="eastAsia" w:eastAsia="宋体"/>
                <w:sz w:val="21"/>
                <w:szCs w:val="21"/>
                <w:u w:val="none" w:color="auto"/>
                <w:lang w:eastAsia="zh-CN"/>
              </w:rPr>
            </w:pPr>
            <w:r>
              <w:rPr>
                <w:sz w:val="21"/>
                <w:szCs w:val="21"/>
                <w:u w:val="none" w:color="auto"/>
              </w:rPr>
              <w:t>二</w:t>
            </w:r>
            <w:r>
              <w:rPr>
                <w:rFonts w:hint="eastAsia"/>
                <w:sz w:val="21"/>
                <w:szCs w:val="21"/>
                <w:u w:val="none" w:color="auto"/>
                <w:lang w:eastAsia="zh-CN"/>
              </w:rPr>
              <w:t>类</w:t>
            </w:r>
          </w:p>
        </w:tc>
        <w:tc>
          <w:tcPr>
            <w:tcW w:w="958"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SO</w:t>
            </w:r>
            <w:r>
              <w:rPr>
                <w:sz w:val="21"/>
                <w:szCs w:val="21"/>
                <w:u w:val="none" w:color="auto"/>
                <w:vertAlign w:val="subscript"/>
              </w:rPr>
              <w:t>2</w:t>
            </w:r>
          </w:p>
        </w:tc>
        <w:tc>
          <w:tcPr>
            <w:tcW w:w="1254"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rFonts w:ascii="Times New Roman" w:hAnsi="Times New Roman"/>
                <w:sz w:val="21"/>
                <w:szCs w:val="21"/>
                <w:u w:val="none" w:color="auto"/>
              </w:rPr>
              <w:t>年平均</w:t>
            </w:r>
          </w:p>
        </w:tc>
        <w:tc>
          <w:tcPr>
            <w:tcW w:w="1538"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hint="default" w:ascii="Times New Roman" w:hAnsi="Times New Roman"/>
                <w:kern w:val="0"/>
                <w:sz w:val="21"/>
                <w:szCs w:val="21"/>
                <w:u w:val="none" w:color="auto"/>
                <w:lang w:val="en-US" w:eastAsia="zh-CN" w:bidi="ar-SA"/>
              </w:rPr>
            </w:pPr>
            <w:r>
              <w:rPr>
                <w:rFonts w:ascii="Times New Roman" w:hAnsi="Times New Roman"/>
                <w:sz w:val="21"/>
                <w:szCs w:val="21"/>
                <w:u w:val="none" w:color="auto"/>
              </w:rPr>
              <w:t>60</w:t>
            </w:r>
            <w:r>
              <w:rPr>
                <w:rFonts w:hint="default" w:ascii="Times New Roman" w:hAnsi="Times New Roman" w:cs="Times New Roman"/>
                <w:sz w:val="21"/>
                <w:szCs w:val="21"/>
                <w:u w:val="none" w:color="auto"/>
              </w:rPr>
              <w:t>μ</w:t>
            </w:r>
            <w:r>
              <w:rPr>
                <w:rFonts w:ascii="Times New Roman" w:hAnsi="Times New Roman"/>
                <w:sz w:val="21"/>
                <w:szCs w:val="21"/>
                <w:u w:val="none" w:color="auto"/>
              </w:rPr>
              <w:t>g/m</w:t>
            </w:r>
            <w:r>
              <w:rPr>
                <w:rFonts w:ascii="Times New Roman" w:hAnsi="Times New Roman"/>
                <w:sz w:val="21"/>
                <w:szCs w:val="21"/>
                <w:u w:val="none" w:color="auto"/>
                <w:vertAlign w:val="superscript"/>
              </w:rPr>
              <w:t>3</w:t>
            </w:r>
          </w:p>
        </w:tc>
        <w:tc>
          <w:tcPr>
            <w:tcW w:w="1173"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评价区域内环境空气质量。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95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254"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kern w:val="2"/>
                <w:sz w:val="21"/>
                <w:szCs w:val="21"/>
                <w:u w:val="none" w:color="auto"/>
                <w:lang w:val="en-US" w:eastAsia="zh-CN" w:bidi="ar-SA"/>
              </w:rPr>
            </w:pPr>
            <w:r>
              <w:rPr>
                <w:sz w:val="21"/>
                <w:szCs w:val="21"/>
                <w:u w:val="none" w:color="auto"/>
              </w:rPr>
              <w:t>日平均</w:t>
            </w:r>
          </w:p>
        </w:tc>
        <w:tc>
          <w:tcPr>
            <w:tcW w:w="1538"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ascii="Times New Roman" w:hAnsi="Times New Roman"/>
                <w:kern w:val="0"/>
                <w:sz w:val="21"/>
                <w:szCs w:val="21"/>
                <w:u w:val="none" w:color="auto"/>
                <w:lang w:val="en-US" w:eastAsia="zh-CN" w:bidi="ar-SA"/>
              </w:rPr>
            </w:pPr>
            <w:r>
              <w:rPr>
                <w:rFonts w:ascii="Times New Roman" w:hAnsi="Times New Roman"/>
                <w:sz w:val="21"/>
                <w:szCs w:val="21"/>
                <w:u w:val="none" w:color="auto"/>
              </w:rPr>
              <w:t>150</w:t>
            </w:r>
            <w:r>
              <w:rPr>
                <w:rFonts w:hint="default" w:ascii="Times New Roman" w:hAnsi="Times New Roman" w:cs="Times New Roman"/>
                <w:sz w:val="21"/>
                <w:szCs w:val="21"/>
                <w:u w:val="none" w:color="auto"/>
              </w:rPr>
              <w:t>μ</w:t>
            </w:r>
            <w:r>
              <w:rPr>
                <w:rFonts w:ascii="Times New Roman" w:hAnsi="Times New Roman"/>
                <w:sz w:val="21"/>
                <w:szCs w:val="21"/>
                <w:u w:val="none" w:color="auto"/>
              </w:rPr>
              <w:t>g/m</w:t>
            </w:r>
            <w:r>
              <w:rPr>
                <w:rFonts w:ascii="Times New Roman" w:hAnsi="Times New Roman"/>
                <w:sz w:val="21"/>
                <w:szCs w:val="21"/>
                <w:u w:val="none" w:color="auto"/>
                <w:vertAlign w:val="superscript"/>
              </w:rPr>
              <w:t>3</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95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254"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kern w:val="2"/>
                <w:sz w:val="21"/>
                <w:szCs w:val="21"/>
                <w:u w:val="none" w:color="auto"/>
                <w:lang w:val="en-US" w:eastAsia="zh-CN" w:bidi="ar-SA"/>
              </w:rPr>
            </w:pPr>
            <w:r>
              <w:rPr>
                <w:sz w:val="21"/>
                <w:szCs w:val="21"/>
                <w:u w:val="none" w:color="auto"/>
              </w:rPr>
              <w:t>小时平均</w:t>
            </w:r>
          </w:p>
        </w:tc>
        <w:tc>
          <w:tcPr>
            <w:tcW w:w="1538"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ascii="Times New Roman" w:hAnsi="Times New Roman"/>
                <w:kern w:val="0"/>
                <w:sz w:val="21"/>
                <w:szCs w:val="21"/>
                <w:u w:val="none" w:color="auto"/>
                <w:lang w:val="en-US" w:eastAsia="zh-CN" w:bidi="ar-SA"/>
              </w:rPr>
            </w:pPr>
            <w:r>
              <w:rPr>
                <w:rFonts w:ascii="Times New Roman" w:hAnsi="Times New Roman"/>
                <w:sz w:val="21"/>
                <w:szCs w:val="21"/>
                <w:u w:val="none" w:color="auto"/>
              </w:rPr>
              <w:t>500</w:t>
            </w:r>
            <w:r>
              <w:rPr>
                <w:rFonts w:hint="default" w:ascii="Times New Roman" w:hAnsi="Times New Roman" w:cs="Times New Roman"/>
                <w:sz w:val="21"/>
                <w:szCs w:val="21"/>
                <w:u w:val="none" w:color="auto"/>
              </w:rPr>
              <w:t>μ</w:t>
            </w:r>
            <w:r>
              <w:rPr>
                <w:rFonts w:ascii="Times New Roman" w:hAnsi="Times New Roman"/>
                <w:sz w:val="21"/>
                <w:szCs w:val="21"/>
                <w:u w:val="none" w:color="auto"/>
              </w:rPr>
              <w:t>g/m</w:t>
            </w:r>
            <w:r>
              <w:rPr>
                <w:rFonts w:ascii="Times New Roman" w:hAnsi="Times New Roman"/>
                <w:sz w:val="21"/>
                <w:szCs w:val="21"/>
                <w:u w:val="none" w:color="auto"/>
                <w:vertAlign w:val="superscript"/>
              </w:rPr>
              <w:t>3</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958"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NO</w:t>
            </w:r>
            <w:r>
              <w:rPr>
                <w:sz w:val="21"/>
                <w:szCs w:val="21"/>
                <w:u w:val="none" w:color="auto"/>
                <w:vertAlign w:val="subscript"/>
              </w:rPr>
              <w:t>2</w:t>
            </w:r>
          </w:p>
        </w:tc>
        <w:tc>
          <w:tcPr>
            <w:tcW w:w="1254"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rFonts w:ascii="Times New Roman" w:hAnsi="Times New Roman"/>
                <w:sz w:val="21"/>
                <w:szCs w:val="21"/>
                <w:u w:val="none" w:color="auto"/>
              </w:rPr>
              <w:t>年平均</w:t>
            </w:r>
          </w:p>
        </w:tc>
        <w:tc>
          <w:tcPr>
            <w:tcW w:w="1538"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hint="default" w:ascii="Times New Roman" w:hAnsi="Times New Roman"/>
                <w:kern w:val="0"/>
                <w:sz w:val="21"/>
                <w:szCs w:val="21"/>
                <w:u w:val="none" w:color="auto"/>
                <w:lang w:val="en-US" w:eastAsia="zh-CN" w:bidi="ar-SA"/>
              </w:rPr>
            </w:pPr>
            <w:r>
              <w:rPr>
                <w:rFonts w:ascii="Times New Roman" w:hAnsi="Times New Roman"/>
                <w:sz w:val="21"/>
                <w:szCs w:val="21"/>
                <w:u w:val="none" w:color="auto"/>
              </w:rPr>
              <w:t>40</w:t>
            </w:r>
            <w:r>
              <w:rPr>
                <w:rFonts w:hint="default" w:ascii="Times New Roman" w:hAnsi="Times New Roman" w:cs="Times New Roman"/>
                <w:sz w:val="21"/>
                <w:szCs w:val="21"/>
                <w:u w:val="none" w:color="auto"/>
              </w:rPr>
              <w:t>μ</w:t>
            </w:r>
            <w:r>
              <w:rPr>
                <w:rFonts w:ascii="Times New Roman" w:hAnsi="Times New Roman"/>
                <w:sz w:val="21"/>
                <w:szCs w:val="21"/>
                <w:u w:val="none" w:color="auto"/>
              </w:rPr>
              <w:t>g/m</w:t>
            </w:r>
            <w:r>
              <w:rPr>
                <w:rFonts w:ascii="Times New Roman" w:hAnsi="Times New Roman"/>
                <w:sz w:val="21"/>
                <w:szCs w:val="21"/>
                <w:u w:val="none" w:color="auto"/>
                <w:vertAlign w:val="superscript"/>
              </w:rPr>
              <w:t>3</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95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254"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kern w:val="2"/>
                <w:sz w:val="21"/>
                <w:szCs w:val="21"/>
                <w:u w:val="none" w:color="auto"/>
                <w:lang w:val="en-US" w:eastAsia="zh-CN" w:bidi="ar-SA"/>
              </w:rPr>
            </w:pPr>
            <w:r>
              <w:rPr>
                <w:sz w:val="21"/>
                <w:szCs w:val="21"/>
                <w:u w:val="none" w:color="auto"/>
              </w:rPr>
              <w:t>日平均</w:t>
            </w:r>
          </w:p>
        </w:tc>
        <w:tc>
          <w:tcPr>
            <w:tcW w:w="1538"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ascii="Times New Roman" w:hAnsi="Times New Roman"/>
                <w:kern w:val="0"/>
                <w:sz w:val="21"/>
                <w:szCs w:val="21"/>
                <w:u w:val="none" w:color="auto"/>
                <w:lang w:val="en-US" w:eastAsia="zh-CN" w:bidi="ar-SA"/>
              </w:rPr>
            </w:pPr>
            <w:r>
              <w:rPr>
                <w:rFonts w:ascii="Times New Roman" w:hAnsi="Times New Roman"/>
                <w:sz w:val="21"/>
                <w:szCs w:val="21"/>
                <w:u w:val="none" w:color="auto"/>
              </w:rPr>
              <w:t>80</w:t>
            </w:r>
            <w:r>
              <w:rPr>
                <w:rFonts w:hint="default" w:ascii="Times New Roman" w:hAnsi="Times New Roman" w:cs="Times New Roman"/>
                <w:sz w:val="21"/>
                <w:szCs w:val="21"/>
                <w:u w:val="none" w:color="auto"/>
              </w:rPr>
              <w:t>μ</w:t>
            </w:r>
            <w:r>
              <w:rPr>
                <w:rFonts w:ascii="Times New Roman" w:hAnsi="Times New Roman"/>
                <w:sz w:val="21"/>
                <w:szCs w:val="21"/>
                <w:u w:val="none" w:color="auto"/>
              </w:rPr>
              <w:t>g/m</w:t>
            </w:r>
            <w:r>
              <w:rPr>
                <w:rFonts w:ascii="Times New Roman" w:hAnsi="Times New Roman"/>
                <w:sz w:val="21"/>
                <w:szCs w:val="21"/>
                <w:u w:val="none" w:color="auto"/>
                <w:vertAlign w:val="superscript"/>
              </w:rPr>
              <w:t>3</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95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254"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kern w:val="2"/>
                <w:sz w:val="21"/>
                <w:szCs w:val="21"/>
                <w:u w:val="none" w:color="auto"/>
                <w:lang w:val="en-US" w:eastAsia="zh-CN" w:bidi="ar-SA"/>
              </w:rPr>
            </w:pPr>
            <w:r>
              <w:rPr>
                <w:sz w:val="21"/>
                <w:szCs w:val="21"/>
                <w:u w:val="none" w:color="auto"/>
              </w:rPr>
              <w:t>小时平均</w:t>
            </w:r>
          </w:p>
        </w:tc>
        <w:tc>
          <w:tcPr>
            <w:tcW w:w="1538"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ascii="Times New Roman" w:hAnsi="Times New Roman"/>
                <w:kern w:val="0"/>
                <w:sz w:val="21"/>
                <w:szCs w:val="21"/>
                <w:u w:val="none" w:color="auto"/>
                <w:lang w:val="en-US" w:eastAsia="zh-CN" w:bidi="ar-SA"/>
              </w:rPr>
            </w:pPr>
            <w:r>
              <w:rPr>
                <w:rFonts w:ascii="Times New Roman" w:hAnsi="Times New Roman"/>
                <w:sz w:val="21"/>
                <w:szCs w:val="21"/>
                <w:u w:val="none" w:color="auto"/>
              </w:rPr>
              <w:t>200</w:t>
            </w:r>
            <w:r>
              <w:rPr>
                <w:rFonts w:hint="default" w:ascii="Times New Roman" w:hAnsi="Times New Roman" w:cs="Times New Roman"/>
                <w:sz w:val="21"/>
                <w:szCs w:val="21"/>
                <w:u w:val="none" w:color="auto"/>
              </w:rPr>
              <w:t>μ</w:t>
            </w:r>
            <w:r>
              <w:rPr>
                <w:rFonts w:ascii="Times New Roman" w:hAnsi="Times New Roman"/>
                <w:sz w:val="21"/>
                <w:szCs w:val="21"/>
                <w:u w:val="none" w:color="auto"/>
              </w:rPr>
              <w:t>g/m</w:t>
            </w:r>
            <w:r>
              <w:rPr>
                <w:rFonts w:ascii="Times New Roman" w:hAnsi="Times New Roman"/>
                <w:sz w:val="21"/>
                <w:szCs w:val="21"/>
                <w:u w:val="none" w:color="auto"/>
                <w:vertAlign w:val="superscript"/>
              </w:rPr>
              <w:t>3</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958"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PM</w:t>
            </w:r>
            <w:r>
              <w:rPr>
                <w:sz w:val="21"/>
                <w:szCs w:val="21"/>
                <w:u w:val="none" w:color="auto"/>
                <w:vertAlign w:val="subscript"/>
              </w:rPr>
              <w:t>10</w:t>
            </w:r>
          </w:p>
        </w:tc>
        <w:tc>
          <w:tcPr>
            <w:tcW w:w="1254"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rFonts w:ascii="Times New Roman" w:hAnsi="Times New Roman"/>
                <w:sz w:val="21"/>
                <w:szCs w:val="21"/>
                <w:u w:val="none" w:color="auto"/>
              </w:rPr>
              <w:t>年平均</w:t>
            </w:r>
          </w:p>
        </w:tc>
        <w:tc>
          <w:tcPr>
            <w:tcW w:w="1538"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hint="default" w:ascii="Times New Roman" w:hAnsi="Times New Roman"/>
                <w:kern w:val="0"/>
                <w:sz w:val="21"/>
                <w:szCs w:val="21"/>
                <w:u w:val="none" w:color="auto"/>
                <w:lang w:val="en-US" w:eastAsia="zh-CN" w:bidi="ar-SA"/>
              </w:rPr>
            </w:pPr>
            <w:r>
              <w:rPr>
                <w:rFonts w:ascii="Times New Roman" w:hAnsi="Times New Roman"/>
                <w:color w:val="000000"/>
                <w:sz w:val="21"/>
                <w:szCs w:val="21"/>
                <w:u w:val="none" w:color="auto"/>
              </w:rPr>
              <w:t>70</w:t>
            </w:r>
            <w:r>
              <w:rPr>
                <w:rFonts w:hint="default" w:ascii="Times New Roman" w:hAnsi="Times New Roman" w:cs="Times New Roman"/>
                <w:sz w:val="21"/>
                <w:szCs w:val="21"/>
                <w:u w:val="none" w:color="auto"/>
              </w:rPr>
              <w:t>μ</w:t>
            </w:r>
            <w:r>
              <w:rPr>
                <w:rFonts w:ascii="Times New Roman" w:hAnsi="Times New Roman"/>
                <w:sz w:val="21"/>
                <w:szCs w:val="21"/>
                <w:u w:val="none" w:color="auto"/>
              </w:rPr>
              <w:t>g/m</w:t>
            </w:r>
            <w:r>
              <w:rPr>
                <w:rFonts w:ascii="Times New Roman" w:hAnsi="Times New Roman"/>
                <w:sz w:val="21"/>
                <w:szCs w:val="21"/>
                <w:u w:val="none" w:color="auto"/>
                <w:vertAlign w:val="superscript"/>
              </w:rPr>
              <w:t>3</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95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254"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kern w:val="2"/>
                <w:sz w:val="21"/>
                <w:szCs w:val="21"/>
                <w:u w:val="none" w:color="auto"/>
                <w:lang w:val="en-US" w:eastAsia="zh-CN" w:bidi="ar-SA"/>
              </w:rPr>
            </w:pPr>
            <w:r>
              <w:rPr>
                <w:sz w:val="21"/>
                <w:szCs w:val="21"/>
                <w:u w:val="none" w:color="auto"/>
              </w:rPr>
              <w:t>日平均</w:t>
            </w:r>
          </w:p>
        </w:tc>
        <w:tc>
          <w:tcPr>
            <w:tcW w:w="1538"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ascii="Times New Roman" w:hAnsi="Times New Roman"/>
                <w:kern w:val="0"/>
                <w:sz w:val="21"/>
                <w:szCs w:val="21"/>
                <w:u w:val="none" w:color="auto"/>
                <w:lang w:val="en-US" w:eastAsia="zh-CN" w:bidi="ar-SA"/>
              </w:rPr>
            </w:pPr>
            <w:r>
              <w:rPr>
                <w:rFonts w:hint="eastAsia" w:ascii="Times New Roman" w:hAnsi="Times New Roman"/>
                <w:sz w:val="21"/>
                <w:szCs w:val="21"/>
                <w:u w:val="none" w:color="auto"/>
              </w:rPr>
              <w:t>150</w:t>
            </w:r>
            <w:r>
              <w:rPr>
                <w:rFonts w:hint="default" w:ascii="Times New Roman" w:hAnsi="Times New Roman" w:cs="Times New Roman"/>
                <w:sz w:val="21"/>
                <w:szCs w:val="21"/>
                <w:u w:val="none" w:color="auto"/>
              </w:rPr>
              <w:t>μ</w:t>
            </w:r>
            <w:r>
              <w:rPr>
                <w:rFonts w:ascii="Times New Roman" w:hAnsi="Times New Roman"/>
                <w:sz w:val="21"/>
                <w:szCs w:val="21"/>
                <w:u w:val="none" w:color="auto"/>
              </w:rPr>
              <w:t>g/m</w:t>
            </w:r>
            <w:r>
              <w:rPr>
                <w:rFonts w:ascii="Times New Roman" w:hAnsi="Times New Roman"/>
                <w:sz w:val="21"/>
                <w:szCs w:val="21"/>
                <w:u w:val="none" w:color="auto"/>
                <w:vertAlign w:val="superscript"/>
              </w:rPr>
              <w:t>3</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958"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rFonts w:ascii="Times New Roman" w:hAnsi="Times New Roman"/>
                <w:color w:val="000000"/>
                <w:sz w:val="21"/>
                <w:szCs w:val="21"/>
                <w:u w:val="none" w:color="auto"/>
              </w:rPr>
              <w:t>PM</w:t>
            </w:r>
            <w:r>
              <w:rPr>
                <w:rFonts w:hint="eastAsia" w:ascii="Times New Roman" w:hAnsi="Times New Roman"/>
                <w:color w:val="000000"/>
                <w:sz w:val="21"/>
                <w:szCs w:val="21"/>
                <w:u w:val="none" w:color="auto"/>
                <w:vertAlign w:val="subscript"/>
              </w:rPr>
              <w:t>2.5</w:t>
            </w:r>
          </w:p>
        </w:tc>
        <w:tc>
          <w:tcPr>
            <w:tcW w:w="1254"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kern w:val="2"/>
                <w:sz w:val="21"/>
                <w:szCs w:val="21"/>
                <w:u w:val="none" w:color="auto"/>
                <w:lang w:val="en-US" w:eastAsia="zh-CN" w:bidi="ar-SA"/>
              </w:rPr>
            </w:pPr>
            <w:r>
              <w:rPr>
                <w:rFonts w:ascii="Times New Roman" w:hAnsi="Times New Roman"/>
                <w:sz w:val="21"/>
                <w:szCs w:val="21"/>
                <w:u w:val="none" w:color="auto"/>
              </w:rPr>
              <w:t>年平均</w:t>
            </w:r>
          </w:p>
        </w:tc>
        <w:tc>
          <w:tcPr>
            <w:tcW w:w="1538"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hint="default" w:ascii="Times New Roman" w:hAnsi="Times New Roman"/>
                <w:kern w:val="0"/>
                <w:sz w:val="21"/>
                <w:szCs w:val="21"/>
                <w:u w:val="none" w:color="auto"/>
                <w:lang w:val="en-US" w:eastAsia="zh-CN" w:bidi="ar-SA"/>
              </w:rPr>
            </w:pPr>
            <w:r>
              <w:rPr>
                <w:rFonts w:ascii="Times New Roman" w:hAnsi="Times New Roman"/>
                <w:color w:val="000000"/>
                <w:sz w:val="21"/>
                <w:szCs w:val="21"/>
                <w:u w:val="none" w:color="auto"/>
              </w:rPr>
              <w:t>35</w:t>
            </w:r>
            <w:r>
              <w:rPr>
                <w:rFonts w:hint="default" w:ascii="Times New Roman" w:hAnsi="Times New Roman" w:cs="Times New Roman"/>
                <w:sz w:val="21"/>
                <w:szCs w:val="21"/>
                <w:u w:val="none" w:color="auto"/>
              </w:rPr>
              <w:t>μ</w:t>
            </w:r>
            <w:r>
              <w:rPr>
                <w:rFonts w:ascii="Times New Roman" w:hAnsi="Times New Roman"/>
                <w:sz w:val="21"/>
                <w:szCs w:val="21"/>
                <w:u w:val="none" w:color="auto"/>
              </w:rPr>
              <w:t>g/m</w:t>
            </w:r>
            <w:r>
              <w:rPr>
                <w:rFonts w:ascii="Times New Roman" w:hAnsi="Times New Roman"/>
                <w:sz w:val="21"/>
                <w:szCs w:val="21"/>
                <w:u w:val="none" w:color="auto"/>
                <w:vertAlign w:val="superscript"/>
              </w:rPr>
              <w:t>3</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95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254"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kern w:val="2"/>
                <w:sz w:val="21"/>
                <w:szCs w:val="21"/>
                <w:u w:val="none" w:color="auto"/>
                <w:lang w:val="en-US" w:eastAsia="zh-CN" w:bidi="ar-SA"/>
              </w:rPr>
            </w:pPr>
            <w:r>
              <w:rPr>
                <w:sz w:val="21"/>
                <w:szCs w:val="21"/>
                <w:u w:val="none" w:color="auto"/>
              </w:rPr>
              <w:t>日平均</w:t>
            </w:r>
          </w:p>
        </w:tc>
        <w:tc>
          <w:tcPr>
            <w:tcW w:w="1538"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hint="default" w:ascii="Times New Roman" w:hAnsi="Times New Roman"/>
                <w:kern w:val="0"/>
                <w:sz w:val="21"/>
                <w:szCs w:val="21"/>
                <w:u w:val="none" w:color="auto"/>
                <w:lang w:val="en-US" w:eastAsia="zh-CN" w:bidi="ar-SA"/>
              </w:rPr>
            </w:pPr>
            <w:r>
              <w:rPr>
                <w:rFonts w:ascii="Times New Roman" w:hAnsi="Times New Roman"/>
                <w:color w:val="000000"/>
                <w:sz w:val="21"/>
                <w:szCs w:val="21"/>
                <w:u w:val="none" w:color="auto"/>
              </w:rPr>
              <w:t>75</w:t>
            </w:r>
            <w:r>
              <w:rPr>
                <w:rFonts w:hint="default" w:ascii="Times New Roman" w:hAnsi="Times New Roman" w:cs="Times New Roman"/>
                <w:sz w:val="21"/>
                <w:szCs w:val="21"/>
                <w:u w:val="none" w:color="auto"/>
              </w:rPr>
              <w:t>μ</w:t>
            </w:r>
            <w:r>
              <w:rPr>
                <w:rFonts w:ascii="Times New Roman" w:hAnsi="Times New Roman"/>
                <w:sz w:val="21"/>
                <w:szCs w:val="21"/>
                <w:u w:val="none" w:color="auto"/>
              </w:rPr>
              <w:t>g/m</w:t>
            </w:r>
            <w:r>
              <w:rPr>
                <w:rFonts w:ascii="Times New Roman" w:hAnsi="Times New Roman"/>
                <w:sz w:val="21"/>
                <w:szCs w:val="21"/>
                <w:u w:val="none" w:color="auto"/>
                <w:vertAlign w:val="superscript"/>
              </w:rPr>
              <w:t>3</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958"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kern w:val="2"/>
                <w:sz w:val="21"/>
                <w:szCs w:val="21"/>
                <w:u w:val="none" w:color="auto"/>
                <w:lang w:val="en-US" w:eastAsia="zh-CN" w:bidi="ar-SA"/>
              </w:rPr>
            </w:pPr>
            <w:r>
              <w:rPr>
                <w:color w:val="000000"/>
                <w:kern w:val="0"/>
                <w:sz w:val="21"/>
                <w:szCs w:val="21"/>
                <w:u w:val="none" w:color="auto"/>
              </w:rPr>
              <w:t>CO</w:t>
            </w:r>
          </w:p>
        </w:tc>
        <w:tc>
          <w:tcPr>
            <w:tcW w:w="1254"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ascii="Times New Roman" w:hAnsi="Times New Roman"/>
                <w:kern w:val="0"/>
                <w:sz w:val="21"/>
                <w:szCs w:val="21"/>
                <w:u w:val="none" w:color="auto"/>
                <w:lang w:val="en-US" w:eastAsia="zh-CN" w:bidi="ar-SA"/>
              </w:rPr>
            </w:pPr>
            <w:r>
              <w:rPr>
                <w:rFonts w:ascii="Times New Roman" w:hAnsi="Times New Roman"/>
                <w:sz w:val="21"/>
                <w:szCs w:val="21"/>
                <w:u w:val="none" w:color="auto"/>
              </w:rPr>
              <w:t>日平均</w:t>
            </w:r>
          </w:p>
        </w:tc>
        <w:tc>
          <w:tcPr>
            <w:tcW w:w="1538"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ascii="Times New Roman" w:hAnsi="Times New Roman"/>
                <w:color w:val="000000"/>
                <w:kern w:val="0"/>
                <w:sz w:val="21"/>
                <w:szCs w:val="21"/>
                <w:u w:val="none" w:color="auto"/>
                <w:lang w:val="en-US" w:eastAsia="zh-CN" w:bidi="ar-SA"/>
              </w:rPr>
            </w:pPr>
            <w:r>
              <w:rPr>
                <w:rFonts w:hint="eastAsia" w:ascii="Times New Roman" w:hAnsi="Times New Roman"/>
                <w:color w:val="000000"/>
                <w:sz w:val="21"/>
                <w:szCs w:val="21"/>
                <w:u w:val="none" w:color="auto"/>
              </w:rPr>
              <w:t>4000</w:t>
            </w:r>
            <w:r>
              <w:rPr>
                <w:rFonts w:hint="default" w:ascii="Times New Roman" w:hAnsi="Times New Roman" w:cs="Times New Roman"/>
                <w:sz w:val="21"/>
                <w:szCs w:val="21"/>
                <w:u w:val="none" w:color="auto"/>
              </w:rPr>
              <w:t>μ</w:t>
            </w:r>
            <w:r>
              <w:rPr>
                <w:rFonts w:ascii="Times New Roman" w:hAnsi="Times New Roman"/>
                <w:sz w:val="21"/>
                <w:szCs w:val="21"/>
                <w:u w:val="none" w:color="auto"/>
              </w:rPr>
              <w:t>g/m</w:t>
            </w:r>
            <w:r>
              <w:rPr>
                <w:rFonts w:ascii="Times New Roman" w:hAnsi="Times New Roman"/>
                <w:sz w:val="21"/>
                <w:szCs w:val="21"/>
                <w:u w:val="none" w:color="auto"/>
                <w:vertAlign w:val="superscript"/>
              </w:rPr>
              <w:t>3</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95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254"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ascii="Times New Roman" w:hAnsi="Times New Roman"/>
                <w:kern w:val="0"/>
                <w:sz w:val="21"/>
                <w:szCs w:val="21"/>
                <w:u w:val="none" w:color="auto"/>
                <w:lang w:val="en-US" w:eastAsia="zh-CN" w:bidi="ar-SA"/>
              </w:rPr>
            </w:pPr>
            <w:r>
              <w:rPr>
                <w:rFonts w:ascii="Times New Roman" w:hAnsi="Times New Roman"/>
                <w:sz w:val="21"/>
                <w:szCs w:val="21"/>
                <w:u w:val="none" w:color="auto"/>
              </w:rPr>
              <w:t>1小时平均</w:t>
            </w:r>
          </w:p>
        </w:tc>
        <w:tc>
          <w:tcPr>
            <w:tcW w:w="1538"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ascii="Times New Roman" w:hAnsi="Times New Roman"/>
                <w:color w:val="000000"/>
                <w:kern w:val="0"/>
                <w:sz w:val="21"/>
                <w:szCs w:val="21"/>
                <w:u w:val="none" w:color="auto"/>
                <w:lang w:val="en-US" w:eastAsia="zh-CN" w:bidi="ar-SA"/>
              </w:rPr>
            </w:pPr>
            <w:r>
              <w:rPr>
                <w:rFonts w:hint="eastAsia" w:ascii="Times New Roman" w:hAnsi="Times New Roman"/>
                <w:color w:val="000000"/>
                <w:sz w:val="21"/>
                <w:szCs w:val="21"/>
                <w:u w:val="none" w:color="auto"/>
              </w:rPr>
              <w:t>10000</w:t>
            </w:r>
            <w:r>
              <w:rPr>
                <w:rFonts w:hint="default" w:ascii="Times New Roman" w:hAnsi="Times New Roman" w:cs="Times New Roman"/>
                <w:sz w:val="21"/>
                <w:szCs w:val="21"/>
                <w:u w:val="none" w:color="auto"/>
              </w:rPr>
              <w:t>μ</w:t>
            </w:r>
            <w:r>
              <w:rPr>
                <w:rFonts w:ascii="Times New Roman" w:hAnsi="Times New Roman"/>
                <w:sz w:val="21"/>
                <w:szCs w:val="21"/>
                <w:u w:val="none" w:color="auto"/>
              </w:rPr>
              <w:t>g/m</w:t>
            </w:r>
            <w:r>
              <w:rPr>
                <w:rFonts w:ascii="Times New Roman" w:hAnsi="Times New Roman"/>
                <w:sz w:val="21"/>
                <w:szCs w:val="21"/>
                <w:u w:val="none" w:color="auto"/>
                <w:vertAlign w:val="superscript"/>
              </w:rPr>
              <w:t>3</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958"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color w:val="000000"/>
                <w:kern w:val="2"/>
                <w:sz w:val="21"/>
                <w:szCs w:val="21"/>
                <w:u w:val="none" w:color="auto"/>
                <w:lang w:val="en-US" w:eastAsia="zh-CN" w:bidi="ar-SA"/>
              </w:rPr>
            </w:pPr>
            <w:r>
              <w:rPr>
                <w:color w:val="000000"/>
                <w:kern w:val="0"/>
                <w:sz w:val="21"/>
                <w:szCs w:val="21"/>
                <w:u w:val="none" w:color="auto"/>
              </w:rPr>
              <w:t>O</w:t>
            </w:r>
            <w:r>
              <w:rPr>
                <w:color w:val="000000"/>
                <w:kern w:val="0"/>
                <w:sz w:val="21"/>
                <w:szCs w:val="21"/>
                <w:u w:val="none" w:color="auto"/>
                <w:vertAlign w:val="subscript"/>
              </w:rPr>
              <w:t>3</w:t>
            </w:r>
          </w:p>
        </w:tc>
        <w:tc>
          <w:tcPr>
            <w:tcW w:w="1254"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ascii="Times New Roman" w:hAnsi="Times New Roman"/>
                <w:kern w:val="0"/>
                <w:sz w:val="21"/>
                <w:szCs w:val="21"/>
                <w:u w:val="none" w:color="auto"/>
                <w:lang w:val="en-US" w:eastAsia="zh-CN" w:bidi="ar-SA"/>
              </w:rPr>
            </w:pPr>
            <w:r>
              <w:rPr>
                <w:rFonts w:hint="eastAsia" w:ascii="Times New Roman" w:hAnsi="Times New Roman"/>
                <w:sz w:val="21"/>
                <w:szCs w:val="21"/>
                <w:u w:val="none" w:color="auto"/>
              </w:rPr>
              <w:t>日最大8小时平均</w:t>
            </w:r>
          </w:p>
        </w:tc>
        <w:tc>
          <w:tcPr>
            <w:tcW w:w="1538"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ascii="Times New Roman" w:hAnsi="Times New Roman"/>
                <w:color w:val="000000"/>
                <w:kern w:val="0"/>
                <w:sz w:val="21"/>
                <w:szCs w:val="21"/>
                <w:u w:val="none" w:color="auto"/>
                <w:lang w:val="en-US" w:eastAsia="zh-CN" w:bidi="ar-SA"/>
              </w:rPr>
            </w:pPr>
            <w:r>
              <w:rPr>
                <w:rFonts w:hint="eastAsia" w:ascii="Times New Roman" w:hAnsi="Times New Roman"/>
                <w:color w:val="000000"/>
                <w:sz w:val="21"/>
                <w:szCs w:val="21"/>
                <w:u w:val="none" w:color="auto"/>
              </w:rPr>
              <w:t>160</w:t>
            </w:r>
            <w:r>
              <w:rPr>
                <w:rFonts w:hint="default" w:ascii="Times New Roman" w:hAnsi="Times New Roman" w:cs="Times New Roman"/>
                <w:sz w:val="21"/>
                <w:szCs w:val="21"/>
                <w:u w:val="none" w:color="auto"/>
              </w:rPr>
              <w:t>μ</w:t>
            </w:r>
            <w:r>
              <w:rPr>
                <w:rFonts w:ascii="Times New Roman" w:hAnsi="Times New Roman"/>
                <w:sz w:val="21"/>
                <w:szCs w:val="21"/>
                <w:u w:val="none" w:color="auto"/>
              </w:rPr>
              <w:t>g/m</w:t>
            </w:r>
            <w:r>
              <w:rPr>
                <w:rFonts w:ascii="Times New Roman" w:hAnsi="Times New Roman"/>
                <w:sz w:val="21"/>
                <w:szCs w:val="21"/>
                <w:u w:val="none" w:color="auto"/>
                <w:vertAlign w:val="superscript"/>
              </w:rPr>
              <w:t>3</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95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254"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ascii="Times New Roman" w:hAnsi="Times New Roman"/>
                <w:kern w:val="0"/>
                <w:sz w:val="21"/>
                <w:szCs w:val="21"/>
                <w:u w:val="none" w:color="auto"/>
                <w:lang w:val="en-US" w:eastAsia="zh-CN" w:bidi="ar-SA"/>
              </w:rPr>
            </w:pPr>
            <w:r>
              <w:rPr>
                <w:rFonts w:ascii="Times New Roman" w:hAnsi="Times New Roman"/>
                <w:sz w:val="21"/>
                <w:szCs w:val="21"/>
                <w:u w:val="none" w:color="auto"/>
              </w:rPr>
              <w:t>1小时平均</w:t>
            </w:r>
          </w:p>
        </w:tc>
        <w:tc>
          <w:tcPr>
            <w:tcW w:w="1538"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ascii="Times New Roman" w:hAnsi="Times New Roman"/>
                <w:color w:val="000000"/>
                <w:kern w:val="0"/>
                <w:sz w:val="21"/>
                <w:szCs w:val="21"/>
                <w:u w:val="none" w:color="auto"/>
                <w:lang w:val="en-US" w:eastAsia="zh-CN" w:bidi="ar-SA"/>
              </w:rPr>
            </w:pPr>
            <w:r>
              <w:rPr>
                <w:rFonts w:hint="eastAsia" w:ascii="Times New Roman" w:hAnsi="Times New Roman"/>
                <w:color w:val="000000"/>
                <w:sz w:val="21"/>
                <w:szCs w:val="21"/>
                <w:u w:val="none" w:color="auto"/>
              </w:rPr>
              <w:t>200</w:t>
            </w:r>
            <w:r>
              <w:rPr>
                <w:rFonts w:hint="default" w:ascii="Times New Roman" w:hAnsi="Times New Roman" w:cs="Times New Roman"/>
                <w:sz w:val="21"/>
                <w:szCs w:val="21"/>
                <w:u w:val="none" w:color="auto"/>
              </w:rPr>
              <w:t>μ</w:t>
            </w:r>
            <w:r>
              <w:rPr>
                <w:rFonts w:ascii="Times New Roman" w:hAnsi="Times New Roman"/>
                <w:sz w:val="21"/>
                <w:szCs w:val="21"/>
                <w:u w:val="none" w:color="auto"/>
              </w:rPr>
              <w:t>g/m</w:t>
            </w:r>
            <w:r>
              <w:rPr>
                <w:rFonts w:ascii="Times New Roman" w:hAnsi="Times New Roman"/>
                <w:sz w:val="21"/>
                <w:szCs w:val="21"/>
                <w:u w:val="none" w:color="auto"/>
                <w:vertAlign w:val="superscript"/>
              </w:rPr>
              <w:t>3</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958"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eastAsia="宋体"/>
                <w:sz w:val="21"/>
                <w:szCs w:val="21"/>
                <w:u w:val="none" w:color="auto"/>
                <w:lang w:val="en-US" w:eastAsia="zh-CN"/>
              </w:rPr>
            </w:pPr>
            <w:r>
              <w:rPr>
                <w:rFonts w:hint="eastAsia"/>
                <w:sz w:val="21"/>
                <w:szCs w:val="21"/>
                <w:u w:val="none" w:color="auto"/>
                <w:lang w:val="en-US" w:eastAsia="zh-CN"/>
              </w:rPr>
              <w:t>TSP</w:t>
            </w:r>
          </w:p>
        </w:tc>
        <w:tc>
          <w:tcPr>
            <w:tcW w:w="1254"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ascii="Times New Roman" w:hAnsi="Times New Roman"/>
                <w:sz w:val="21"/>
                <w:szCs w:val="21"/>
                <w:u w:val="none" w:color="auto"/>
              </w:rPr>
            </w:pPr>
            <w:r>
              <w:rPr>
                <w:rFonts w:ascii="Times New Roman" w:hAnsi="Times New Roman"/>
                <w:sz w:val="21"/>
                <w:szCs w:val="21"/>
                <w:u w:val="none" w:color="auto"/>
              </w:rPr>
              <w:t>年平均</w:t>
            </w:r>
          </w:p>
        </w:tc>
        <w:tc>
          <w:tcPr>
            <w:tcW w:w="1538"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hint="default" w:ascii="Times New Roman" w:hAnsi="Times New Roman" w:eastAsia="宋体"/>
                <w:color w:val="000000"/>
                <w:sz w:val="21"/>
                <w:szCs w:val="21"/>
                <w:u w:val="none" w:color="auto"/>
                <w:lang w:val="en-US" w:eastAsia="zh-CN"/>
              </w:rPr>
            </w:pPr>
            <w:r>
              <w:rPr>
                <w:rFonts w:hint="eastAsia"/>
                <w:color w:val="000000"/>
                <w:sz w:val="21"/>
                <w:szCs w:val="21"/>
                <w:u w:val="none" w:color="auto"/>
                <w:lang w:val="en-US" w:eastAsia="zh-CN"/>
              </w:rPr>
              <w:t>200</w:t>
            </w:r>
            <w:r>
              <w:rPr>
                <w:rFonts w:hint="default" w:ascii="Times New Roman" w:hAnsi="Times New Roman" w:cs="Times New Roman"/>
                <w:sz w:val="21"/>
                <w:szCs w:val="21"/>
                <w:u w:val="none" w:color="auto"/>
              </w:rPr>
              <w:t>μ</w:t>
            </w:r>
            <w:r>
              <w:rPr>
                <w:rFonts w:ascii="Times New Roman" w:hAnsi="Times New Roman"/>
                <w:sz w:val="21"/>
                <w:szCs w:val="21"/>
                <w:u w:val="none" w:color="auto"/>
              </w:rPr>
              <w:t>g/m</w:t>
            </w:r>
            <w:r>
              <w:rPr>
                <w:rFonts w:ascii="Times New Roman" w:hAnsi="Times New Roman"/>
                <w:sz w:val="21"/>
                <w:szCs w:val="21"/>
                <w:u w:val="none" w:color="auto"/>
                <w:vertAlign w:val="superscript"/>
              </w:rPr>
              <w:t>3</w:t>
            </w:r>
          </w:p>
        </w:tc>
        <w:tc>
          <w:tcPr>
            <w:tcW w:w="1173"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95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254"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ascii="Times New Roman" w:hAnsi="Times New Roman"/>
                <w:sz w:val="21"/>
                <w:szCs w:val="21"/>
                <w:u w:val="none" w:color="auto"/>
              </w:rPr>
            </w:pPr>
            <w:r>
              <w:rPr>
                <w:rFonts w:ascii="Times New Roman" w:hAnsi="Times New Roman"/>
                <w:sz w:val="21"/>
                <w:szCs w:val="21"/>
                <w:u w:val="none" w:color="auto"/>
              </w:rPr>
              <w:t>日平均</w:t>
            </w:r>
          </w:p>
        </w:tc>
        <w:tc>
          <w:tcPr>
            <w:tcW w:w="1538" w:type="dxa"/>
            <w:tcBorders>
              <w:tl2br w:val="nil"/>
              <w:tr2bl w:val="nil"/>
            </w:tcBorders>
            <w:noWrap w:val="0"/>
            <w:vAlign w:val="center"/>
          </w:tcPr>
          <w:p>
            <w:pPr>
              <w:pStyle w:val="191"/>
              <w:keepNext w:val="0"/>
              <w:keepLines w:val="0"/>
              <w:pageBreakBefore w:val="0"/>
              <w:widowControl w:val="0"/>
              <w:kinsoku/>
              <w:wordWrap/>
              <w:topLinePunct w:val="0"/>
              <w:bidi w:val="0"/>
              <w:adjustRightInd w:val="0"/>
              <w:snapToGrid w:val="0"/>
              <w:spacing w:line="240" w:lineRule="auto"/>
              <w:ind w:firstLine="0" w:firstLineChars="0"/>
              <w:rPr>
                <w:rFonts w:hint="default" w:ascii="Times New Roman" w:hAnsi="Times New Roman" w:eastAsia="宋体"/>
                <w:color w:val="000000"/>
                <w:sz w:val="21"/>
                <w:szCs w:val="21"/>
                <w:u w:val="none" w:color="auto"/>
                <w:lang w:val="en-US" w:eastAsia="zh-CN"/>
              </w:rPr>
            </w:pPr>
            <w:r>
              <w:rPr>
                <w:rFonts w:hint="eastAsia"/>
                <w:color w:val="000000"/>
                <w:sz w:val="21"/>
                <w:szCs w:val="21"/>
                <w:u w:val="none" w:color="auto"/>
                <w:lang w:val="en-US" w:eastAsia="zh-CN"/>
              </w:rPr>
              <w:t>300</w:t>
            </w:r>
            <w:r>
              <w:rPr>
                <w:rFonts w:hint="default" w:ascii="Times New Roman" w:hAnsi="Times New Roman" w:cs="Times New Roman"/>
                <w:sz w:val="21"/>
                <w:szCs w:val="21"/>
                <w:u w:val="none" w:color="auto"/>
              </w:rPr>
              <w:t>μ</w:t>
            </w:r>
            <w:r>
              <w:rPr>
                <w:rFonts w:ascii="Times New Roman" w:hAnsi="Times New Roman"/>
                <w:sz w:val="21"/>
                <w:szCs w:val="21"/>
                <w:u w:val="none" w:color="auto"/>
              </w:rPr>
              <w:t>g/m</w:t>
            </w:r>
            <w:r>
              <w:rPr>
                <w:rFonts w:ascii="Times New Roman" w:hAnsi="Times New Roman"/>
                <w:sz w:val="21"/>
                <w:szCs w:val="21"/>
                <w:u w:val="none" w:color="auto"/>
                <w:vertAlign w:val="superscript"/>
              </w:rPr>
              <w:t>3</w:t>
            </w:r>
          </w:p>
        </w:tc>
        <w:tc>
          <w:tcPr>
            <w:tcW w:w="1173"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地表水环境</w:t>
            </w:r>
          </w:p>
        </w:tc>
        <w:tc>
          <w:tcPr>
            <w:tcW w:w="2090"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《地表水环境质量标准》(GB3838-2002)</w:t>
            </w:r>
          </w:p>
        </w:tc>
        <w:tc>
          <w:tcPr>
            <w:tcW w:w="1077"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III类</w:t>
            </w:r>
          </w:p>
        </w:tc>
        <w:tc>
          <w:tcPr>
            <w:tcW w:w="2212" w:type="dxa"/>
            <w:gridSpan w:val="2"/>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pH</w:t>
            </w:r>
          </w:p>
        </w:tc>
        <w:tc>
          <w:tcPr>
            <w:tcW w:w="1538"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6～9</w:t>
            </w:r>
          </w:p>
        </w:tc>
        <w:tc>
          <w:tcPr>
            <w:tcW w:w="1173"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both"/>
              <w:rPr>
                <w:rFonts w:hint="default" w:eastAsia="宋体"/>
                <w:sz w:val="21"/>
                <w:szCs w:val="21"/>
                <w:u w:val="none" w:color="auto"/>
                <w:lang w:val="en-US" w:eastAsia="zh-CN"/>
              </w:rPr>
            </w:pPr>
            <w:r>
              <w:rPr>
                <w:rFonts w:hint="eastAsia"/>
                <w:sz w:val="21"/>
                <w:szCs w:val="21"/>
                <w:u w:val="none" w:color="auto"/>
                <w:lang w:eastAsia="zh-CN"/>
              </w:rPr>
              <w:t>评价范围内</w:t>
            </w:r>
            <w:r>
              <w:rPr>
                <w:rFonts w:hint="eastAsia"/>
                <w:sz w:val="21"/>
                <w:szCs w:val="21"/>
                <w:u w:val="none" w:color="auto"/>
                <w:lang w:val="en-US" w:eastAsia="zh-CN"/>
              </w:rPr>
              <w:t>无名小溪</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212" w:type="dxa"/>
            <w:gridSpan w:val="2"/>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color w:val="auto"/>
                <w:sz w:val="21"/>
                <w:szCs w:val="21"/>
                <w:u w:val="none" w:color="auto"/>
              </w:rPr>
              <w:t>COD</w:t>
            </w:r>
            <w:r>
              <w:rPr>
                <w:rFonts w:hint="eastAsia"/>
                <w:color w:val="auto"/>
                <w:sz w:val="21"/>
                <w:szCs w:val="21"/>
                <w:u w:val="none" w:color="auto"/>
                <w:vertAlign w:val="subscript"/>
                <w:lang w:val="en-US" w:eastAsia="zh-CN"/>
              </w:rPr>
              <w:t>Cr</w:t>
            </w:r>
          </w:p>
        </w:tc>
        <w:tc>
          <w:tcPr>
            <w:tcW w:w="1538"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color w:val="auto"/>
                <w:sz w:val="21"/>
                <w:szCs w:val="21"/>
                <w:u w:val="none" w:color="auto"/>
              </w:rPr>
              <w:t>20</w:t>
            </w:r>
            <w:r>
              <w:rPr>
                <w:bCs/>
                <w:color w:val="auto"/>
                <w:sz w:val="21"/>
                <w:szCs w:val="21"/>
                <w:u w:val="none" w:color="auto"/>
              </w:rPr>
              <w:t>mg/</w:t>
            </w:r>
            <w:r>
              <w:rPr>
                <w:rFonts w:hint="eastAsia"/>
                <w:bCs/>
                <w:color w:val="auto"/>
                <w:sz w:val="21"/>
                <w:szCs w:val="21"/>
                <w:u w:val="none" w:color="auto"/>
                <w:lang w:val="en-US" w:eastAsia="zh-CN"/>
              </w:rPr>
              <w:t>L</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8"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212" w:type="dxa"/>
            <w:gridSpan w:val="2"/>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BOD</w:t>
            </w:r>
            <w:r>
              <w:rPr>
                <w:sz w:val="21"/>
                <w:szCs w:val="21"/>
                <w:u w:val="none" w:color="auto"/>
                <w:vertAlign w:val="subscript"/>
              </w:rPr>
              <w:t>5</w:t>
            </w:r>
          </w:p>
        </w:tc>
        <w:tc>
          <w:tcPr>
            <w:tcW w:w="1538"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4mg/L</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212" w:type="dxa"/>
            <w:gridSpan w:val="2"/>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NH</w:t>
            </w:r>
            <w:r>
              <w:rPr>
                <w:sz w:val="21"/>
                <w:szCs w:val="21"/>
                <w:u w:val="none" w:color="auto"/>
                <w:vertAlign w:val="subscript"/>
              </w:rPr>
              <w:t>3</w:t>
            </w:r>
            <w:r>
              <w:rPr>
                <w:sz w:val="21"/>
                <w:szCs w:val="21"/>
                <w:u w:val="none" w:color="auto"/>
              </w:rPr>
              <w:t>-N</w:t>
            </w:r>
          </w:p>
        </w:tc>
        <w:tc>
          <w:tcPr>
            <w:tcW w:w="1538"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1.0mg/L</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212" w:type="dxa"/>
            <w:gridSpan w:val="2"/>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石油类</w:t>
            </w:r>
          </w:p>
        </w:tc>
        <w:tc>
          <w:tcPr>
            <w:tcW w:w="1538"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0.05mg/L</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212" w:type="dxa"/>
            <w:gridSpan w:val="2"/>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sz w:val="21"/>
                <w:szCs w:val="21"/>
                <w:u w:val="none" w:color="auto"/>
              </w:rPr>
              <w:t>总磷</w:t>
            </w:r>
          </w:p>
        </w:tc>
        <w:tc>
          <w:tcPr>
            <w:tcW w:w="1538"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hint="eastAsia" w:eastAsia="宋体"/>
                <w:sz w:val="21"/>
                <w:szCs w:val="21"/>
                <w:u w:val="none" w:color="auto"/>
                <w:lang w:eastAsia="zh-CN"/>
              </w:rPr>
            </w:pPr>
            <w:r>
              <w:rPr>
                <w:sz w:val="21"/>
                <w:szCs w:val="21"/>
                <w:u w:val="none" w:color="auto"/>
              </w:rPr>
              <w:t>0.2mg/L</w:t>
            </w:r>
            <w:r>
              <w:rPr>
                <w:rFonts w:hint="eastAsia"/>
                <w:sz w:val="21"/>
                <w:szCs w:val="21"/>
                <w:u w:val="none" w:color="auto"/>
                <w:lang w:eastAsia="zh-CN"/>
              </w:rPr>
              <w:t>（湖、库</w:t>
            </w:r>
            <w:r>
              <w:rPr>
                <w:rFonts w:hint="eastAsia"/>
                <w:sz w:val="21"/>
                <w:szCs w:val="21"/>
                <w:u w:val="none" w:color="auto"/>
                <w:lang w:val="en-US" w:eastAsia="zh-CN"/>
              </w:rPr>
              <w:t>0.05</w:t>
            </w:r>
            <w:r>
              <w:rPr>
                <w:sz w:val="21"/>
                <w:szCs w:val="21"/>
                <w:u w:val="none" w:color="auto"/>
              </w:rPr>
              <w:t>mg/L</w:t>
            </w:r>
            <w:r>
              <w:rPr>
                <w:rFonts w:hint="eastAsia"/>
                <w:sz w:val="21"/>
                <w:szCs w:val="21"/>
                <w:u w:val="none" w:color="auto"/>
                <w:lang w:eastAsia="zh-CN"/>
              </w:rPr>
              <w:t>）</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212" w:type="dxa"/>
            <w:gridSpan w:val="2"/>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rFonts w:hAnsi="宋体"/>
                <w:color w:val="auto"/>
                <w:sz w:val="21"/>
                <w:szCs w:val="21"/>
                <w:u w:val="none" w:color="auto"/>
              </w:rPr>
              <w:t>粪大肠菌群</w:t>
            </w:r>
          </w:p>
        </w:tc>
        <w:tc>
          <w:tcPr>
            <w:tcW w:w="1538"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r>
              <w:rPr>
                <w:color w:val="auto"/>
                <w:sz w:val="21"/>
                <w:szCs w:val="21"/>
                <w:u w:val="none" w:color="auto"/>
              </w:rPr>
              <w:t>≤10000</w:t>
            </w:r>
            <w:r>
              <w:rPr>
                <w:rFonts w:hint="eastAsia" w:hAnsi="宋体"/>
                <w:color w:val="auto"/>
                <w:sz w:val="21"/>
                <w:szCs w:val="21"/>
                <w:u w:val="none" w:color="auto"/>
                <w:lang w:eastAsia="zh-CN"/>
              </w:rPr>
              <w:t>个</w:t>
            </w:r>
            <w:r>
              <w:rPr>
                <w:rFonts w:hint="eastAsia" w:hAnsi="宋体"/>
                <w:color w:val="auto"/>
                <w:sz w:val="21"/>
                <w:szCs w:val="21"/>
                <w:u w:val="none" w:color="auto"/>
                <w:lang w:val="en-US" w:eastAsia="zh-CN"/>
              </w:rPr>
              <w:t>/L</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eastAsia="宋体"/>
                <w:sz w:val="21"/>
                <w:szCs w:val="21"/>
                <w:u w:val="none" w:color="auto"/>
                <w:lang w:val="en-US" w:eastAsia="zh-CN"/>
              </w:rPr>
            </w:pPr>
            <w:r>
              <w:rPr>
                <w:rFonts w:hint="eastAsia"/>
                <w:sz w:val="21"/>
                <w:szCs w:val="21"/>
                <w:u w:val="none" w:color="auto"/>
                <w:lang w:val="en-US" w:eastAsia="zh-CN"/>
              </w:rPr>
              <w:t>II类</w:t>
            </w:r>
          </w:p>
        </w:tc>
        <w:tc>
          <w:tcPr>
            <w:tcW w:w="2212" w:type="dxa"/>
            <w:gridSpan w:val="2"/>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ascii="Times New Roman" w:hAnsi="Times New Roman" w:eastAsia="宋体" w:cs="Times New Roman"/>
                <w:kern w:val="2"/>
                <w:sz w:val="21"/>
                <w:szCs w:val="21"/>
                <w:u w:val="none" w:color="auto"/>
                <w:lang w:val="en-US" w:eastAsia="zh-CN" w:bidi="ar-SA"/>
              </w:rPr>
            </w:pPr>
            <w:r>
              <w:rPr>
                <w:sz w:val="21"/>
                <w:szCs w:val="21"/>
                <w:u w:val="none" w:color="auto"/>
              </w:rPr>
              <w:t>pH</w:t>
            </w:r>
          </w:p>
        </w:tc>
        <w:tc>
          <w:tcPr>
            <w:tcW w:w="1538"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ascii="Times New Roman" w:hAnsi="Times New Roman" w:eastAsia="宋体" w:cs="Times New Roman"/>
                <w:kern w:val="2"/>
                <w:sz w:val="21"/>
                <w:szCs w:val="21"/>
                <w:u w:val="none" w:color="auto"/>
                <w:lang w:val="en-US" w:eastAsia="zh-CN" w:bidi="ar-SA"/>
              </w:rPr>
            </w:pPr>
            <w:r>
              <w:rPr>
                <w:sz w:val="21"/>
                <w:szCs w:val="21"/>
                <w:u w:val="none" w:color="auto"/>
              </w:rPr>
              <w:t>6～9</w:t>
            </w:r>
          </w:p>
        </w:tc>
        <w:tc>
          <w:tcPr>
            <w:tcW w:w="1173" w:type="dxa"/>
            <w:vMerge w:val="restart"/>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hint="eastAsia" w:eastAsia="宋体"/>
                <w:sz w:val="21"/>
                <w:szCs w:val="21"/>
                <w:u w:val="none" w:color="auto"/>
                <w:lang w:eastAsia="zh-CN"/>
              </w:rPr>
            </w:pPr>
            <w:r>
              <w:rPr>
                <w:rFonts w:hint="eastAsia"/>
                <w:sz w:val="21"/>
                <w:szCs w:val="21"/>
                <w:u w:val="none" w:color="auto"/>
                <w:lang w:val="en-US" w:eastAsia="zh-CN"/>
              </w:rPr>
              <w:t>两江口</w:t>
            </w:r>
            <w:r>
              <w:rPr>
                <w:rFonts w:hint="eastAsia"/>
                <w:sz w:val="21"/>
                <w:szCs w:val="21"/>
                <w:u w:val="none" w:color="auto"/>
                <w:lang w:eastAsia="zh-CN"/>
              </w:rPr>
              <w:t>水库</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212" w:type="dxa"/>
            <w:gridSpan w:val="2"/>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ascii="Times New Roman" w:hAnsi="Times New Roman" w:eastAsia="宋体" w:cs="Times New Roman"/>
                <w:kern w:val="2"/>
                <w:sz w:val="21"/>
                <w:szCs w:val="21"/>
                <w:u w:val="none" w:color="auto"/>
                <w:lang w:val="en-US" w:eastAsia="zh-CN" w:bidi="ar-SA"/>
              </w:rPr>
            </w:pPr>
            <w:r>
              <w:rPr>
                <w:color w:val="auto"/>
                <w:sz w:val="21"/>
                <w:szCs w:val="21"/>
                <w:u w:val="none" w:color="auto"/>
              </w:rPr>
              <w:t>COD</w:t>
            </w:r>
            <w:r>
              <w:rPr>
                <w:rFonts w:hint="eastAsia"/>
                <w:color w:val="auto"/>
                <w:sz w:val="21"/>
                <w:szCs w:val="21"/>
                <w:u w:val="none" w:color="auto"/>
                <w:vertAlign w:val="subscript"/>
                <w:lang w:val="en-US" w:eastAsia="zh-CN"/>
              </w:rPr>
              <w:t>Cr</w:t>
            </w:r>
          </w:p>
        </w:tc>
        <w:tc>
          <w:tcPr>
            <w:tcW w:w="1538"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ascii="Times New Roman" w:hAnsi="Times New Roman" w:eastAsia="宋体" w:cs="Times New Roman"/>
                <w:kern w:val="2"/>
                <w:sz w:val="21"/>
                <w:szCs w:val="21"/>
                <w:u w:val="none" w:color="auto"/>
                <w:lang w:val="en-US" w:eastAsia="zh-CN" w:bidi="ar-SA"/>
              </w:rPr>
            </w:pPr>
            <w:r>
              <w:rPr>
                <w:rFonts w:hint="eastAsia"/>
                <w:color w:val="auto"/>
                <w:sz w:val="21"/>
                <w:szCs w:val="21"/>
                <w:u w:val="none" w:color="auto"/>
                <w:lang w:val="en-US" w:eastAsia="zh-CN"/>
              </w:rPr>
              <w:t>15</w:t>
            </w:r>
            <w:r>
              <w:rPr>
                <w:bCs/>
                <w:color w:val="auto"/>
                <w:sz w:val="21"/>
                <w:szCs w:val="21"/>
                <w:u w:val="none" w:color="auto"/>
              </w:rPr>
              <w:t>mg/</w:t>
            </w:r>
            <w:r>
              <w:rPr>
                <w:rFonts w:hint="eastAsia"/>
                <w:bCs/>
                <w:color w:val="auto"/>
                <w:sz w:val="21"/>
                <w:szCs w:val="21"/>
                <w:u w:val="none" w:color="auto"/>
                <w:lang w:val="en-US" w:eastAsia="zh-CN"/>
              </w:rPr>
              <w:t>L</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212" w:type="dxa"/>
            <w:gridSpan w:val="2"/>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ascii="Times New Roman" w:hAnsi="Times New Roman" w:eastAsia="宋体" w:cs="Times New Roman"/>
                <w:kern w:val="2"/>
                <w:sz w:val="21"/>
                <w:szCs w:val="21"/>
                <w:u w:val="none" w:color="auto"/>
                <w:lang w:val="en-US" w:eastAsia="zh-CN" w:bidi="ar-SA"/>
              </w:rPr>
            </w:pPr>
            <w:r>
              <w:rPr>
                <w:sz w:val="21"/>
                <w:szCs w:val="21"/>
                <w:u w:val="none" w:color="auto"/>
              </w:rPr>
              <w:t>BOD</w:t>
            </w:r>
            <w:r>
              <w:rPr>
                <w:sz w:val="21"/>
                <w:szCs w:val="21"/>
                <w:u w:val="none" w:color="auto"/>
                <w:vertAlign w:val="subscript"/>
              </w:rPr>
              <w:t>5</w:t>
            </w:r>
          </w:p>
        </w:tc>
        <w:tc>
          <w:tcPr>
            <w:tcW w:w="1538"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ascii="Times New Roman" w:hAnsi="Times New Roman" w:eastAsia="宋体" w:cs="Times New Roman"/>
                <w:kern w:val="2"/>
                <w:sz w:val="21"/>
                <w:szCs w:val="21"/>
                <w:u w:val="none" w:color="auto"/>
                <w:lang w:val="en-US" w:eastAsia="zh-CN" w:bidi="ar-SA"/>
              </w:rPr>
            </w:pPr>
            <w:r>
              <w:rPr>
                <w:rFonts w:hint="eastAsia"/>
                <w:sz w:val="21"/>
                <w:szCs w:val="21"/>
                <w:u w:val="none" w:color="auto"/>
                <w:lang w:val="en-US" w:eastAsia="zh-CN"/>
              </w:rPr>
              <w:t>3</w:t>
            </w:r>
            <w:r>
              <w:rPr>
                <w:sz w:val="21"/>
                <w:szCs w:val="21"/>
                <w:u w:val="none" w:color="auto"/>
              </w:rPr>
              <w:t>mg/L</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212" w:type="dxa"/>
            <w:gridSpan w:val="2"/>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ascii="Times New Roman" w:hAnsi="Times New Roman" w:eastAsia="宋体" w:cs="Times New Roman"/>
                <w:kern w:val="2"/>
                <w:sz w:val="21"/>
                <w:szCs w:val="21"/>
                <w:u w:val="none" w:color="auto"/>
                <w:lang w:val="en-US" w:eastAsia="zh-CN" w:bidi="ar-SA"/>
              </w:rPr>
            </w:pPr>
            <w:r>
              <w:rPr>
                <w:sz w:val="21"/>
                <w:szCs w:val="21"/>
                <w:u w:val="none" w:color="auto"/>
              </w:rPr>
              <w:t>NH</w:t>
            </w:r>
            <w:r>
              <w:rPr>
                <w:sz w:val="21"/>
                <w:szCs w:val="21"/>
                <w:u w:val="none" w:color="auto"/>
                <w:vertAlign w:val="subscript"/>
              </w:rPr>
              <w:t>3</w:t>
            </w:r>
            <w:r>
              <w:rPr>
                <w:sz w:val="21"/>
                <w:szCs w:val="21"/>
                <w:u w:val="none" w:color="auto"/>
              </w:rPr>
              <w:t>-N</w:t>
            </w:r>
          </w:p>
        </w:tc>
        <w:tc>
          <w:tcPr>
            <w:tcW w:w="1538"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ascii="Times New Roman" w:hAnsi="Times New Roman" w:eastAsia="宋体" w:cs="Times New Roman"/>
                <w:kern w:val="2"/>
                <w:sz w:val="21"/>
                <w:szCs w:val="21"/>
                <w:u w:val="none" w:color="auto"/>
                <w:lang w:val="en-US" w:eastAsia="zh-CN" w:bidi="ar-SA"/>
              </w:rPr>
            </w:pPr>
            <w:r>
              <w:rPr>
                <w:rFonts w:hint="eastAsia"/>
                <w:sz w:val="21"/>
                <w:szCs w:val="21"/>
                <w:u w:val="none" w:color="auto"/>
                <w:lang w:val="en-US" w:eastAsia="zh-CN"/>
              </w:rPr>
              <w:t>0.5</w:t>
            </w:r>
            <w:r>
              <w:rPr>
                <w:sz w:val="21"/>
                <w:szCs w:val="21"/>
                <w:u w:val="none" w:color="auto"/>
              </w:rPr>
              <w:t>mg/L</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212" w:type="dxa"/>
            <w:gridSpan w:val="2"/>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ascii="Times New Roman" w:hAnsi="Times New Roman" w:eastAsia="宋体" w:cs="Times New Roman"/>
                <w:kern w:val="2"/>
                <w:sz w:val="21"/>
                <w:szCs w:val="21"/>
                <w:u w:val="none" w:color="auto"/>
                <w:lang w:val="en-US" w:eastAsia="zh-CN" w:bidi="ar-SA"/>
              </w:rPr>
            </w:pPr>
            <w:r>
              <w:rPr>
                <w:sz w:val="21"/>
                <w:szCs w:val="21"/>
                <w:u w:val="none" w:color="auto"/>
              </w:rPr>
              <w:t>石油类</w:t>
            </w:r>
          </w:p>
        </w:tc>
        <w:tc>
          <w:tcPr>
            <w:tcW w:w="1538"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ascii="Times New Roman" w:hAnsi="Times New Roman" w:eastAsia="宋体" w:cs="Times New Roman"/>
                <w:kern w:val="2"/>
                <w:sz w:val="21"/>
                <w:szCs w:val="21"/>
                <w:u w:val="none" w:color="auto"/>
                <w:lang w:val="en-US" w:eastAsia="zh-CN" w:bidi="ar-SA"/>
              </w:rPr>
            </w:pPr>
            <w:r>
              <w:rPr>
                <w:sz w:val="21"/>
                <w:szCs w:val="21"/>
                <w:u w:val="none" w:color="auto"/>
              </w:rPr>
              <w:t>0.05mg/L</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08"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090"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1077"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c>
          <w:tcPr>
            <w:tcW w:w="2212" w:type="dxa"/>
            <w:gridSpan w:val="2"/>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ascii="Times New Roman" w:hAnsi="Times New Roman" w:eastAsia="宋体" w:cs="Times New Roman"/>
                <w:kern w:val="2"/>
                <w:sz w:val="21"/>
                <w:szCs w:val="21"/>
                <w:u w:val="none" w:color="auto"/>
                <w:lang w:val="en-US" w:eastAsia="zh-CN" w:bidi="ar-SA"/>
              </w:rPr>
            </w:pPr>
            <w:r>
              <w:rPr>
                <w:sz w:val="21"/>
                <w:szCs w:val="21"/>
                <w:u w:val="none" w:color="auto"/>
              </w:rPr>
              <w:t>总磷</w:t>
            </w:r>
          </w:p>
        </w:tc>
        <w:tc>
          <w:tcPr>
            <w:tcW w:w="1538" w:type="dxa"/>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rFonts w:hint="eastAsia" w:ascii="Times New Roman" w:hAnsi="Times New Roman" w:eastAsia="宋体" w:cs="Times New Roman"/>
                <w:kern w:val="2"/>
                <w:sz w:val="21"/>
                <w:szCs w:val="21"/>
                <w:u w:val="none" w:color="auto"/>
                <w:lang w:val="en-US" w:eastAsia="zh-CN" w:bidi="ar-SA"/>
              </w:rPr>
            </w:pPr>
            <w:r>
              <w:rPr>
                <w:sz w:val="21"/>
                <w:szCs w:val="21"/>
                <w:u w:val="none" w:color="auto"/>
              </w:rPr>
              <w:t>0.</w:t>
            </w:r>
            <w:r>
              <w:rPr>
                <w:rFonts w:hint="eastAsia"/>
                <w:sz w:val="21"/>
                <w:szCs w:val="21"/>
                <w:u w:val="none" w:color="auto"/>
                <w:lang w:val="en-US" w:eastAsia="zh-CN"/>
              </w:rPr>
              <w:t>1</w:t>
            </w:r>
            <w:r>
              <w:rPr>
                <w:sz w:val="21"/>
                <w:szCs w:val="21"/>
                <w:u w:val="none" w:color="auto"/>
              </w:rPr>
              <w:t>mg/L</w:t>
            </w:r>
            <w:r>
              <w:rPr>
                <w:rFonts w:hint="eastAsia"/>
                <w:sz w:val="21"/>
                <w:szCs w:val="21"/>
                <w:u w:val="none" w:color="auto"/>
                <w:lang w:eastAsia="zh-CN"/>
              </w:rPr>
              <w:t>（湖、库</w:t>
            </w:r>
            <w:r>
              <w:rPr>
                <w:rFonts w:hint="eastAsia"/>
                <w:sz w:val="21"/>
                <w:szCs w:val="21"/>
                <w:u w:val="none" w:color="auto"/>
                <w:lang w:val="en-US" w:eastAsia="zh-CN"/>
              </w:rPr>
              <w:t>0.025</w:t>
            </w:r>
            <w:r>
              <w:rPr>
                <w:sz w:val="21"/>
                <w:szCs w:val="21"/>
                <w:u w:val="none" w:color="auto"/>
              </w:rPr>
              <w:t>mg/L</w:t>
            </w:r>
            <w:r>
              <w:rPr>
                <w:rFonts w:hint="eastAsia"/>
                <w:sz w:val="21"/>
                <w:szCs w:val="21"/>
                <w:u w:val="none" w:color="auto"/>
                <w:lang w:eastAsia="zh-CN"/>
              </w:rPr>
              <w:t>）</w:t>
            </w:r>
          </w:p>
        </w:tc>
        <w:tc>
          <w:tcPr>
            <w:tcW w:w="1173" w:type="dxa"/>
            <w:vMerge w:val="continue"/>
            <w:tcBorders>
              <w:tl2br w:val="nil"/>
              <w:tr2bl w:val="nil"/>
            </w:tcBorders>
            <w:noWrap w:val="0"/>
            <w:vAlign w:val="center"/>
          </w:tcPr>
          <w:p>
            <w:pPr>
              <w:keepNext w:val="0"/>
              <w:keepLines w:val="0"/>
              <w:pageBreakBefore w:val="0"/>
              <w:widowControl w:val="0"/>
              <w:kinsoku/>
              <w:wordWrap/>
              <w:topLinePunct w:val="0"/>
              <w:bidi w:val="0"/>
              <w:adjustRightInd w:val="0"/>
              <w:snapToGrid w:val="0"/>
              <w:spacing w:line="240" w:lineRule="auto"/>
              <w:ind w:firstLine="0" w:firstLineChars="0"/>
              <w:jc w:val="center"/>
              <w:rPr>
                <w:sz w:val="21"/>
                <w:szCs w:val="21"/>
                <w:u w:val="none" w:color="auto"/>
              </w:rPr>
            </w:pPr>
          </w:p>
        </w:tc>
      </w:tr>
    </w:tbl>
    <w:p>
      <w:pPr>
        <w:pStyle w:val="458"/>
        <w:ind w:firstLine="602"/>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污染物排放标准</w:t>
      </w:r>
    </w:p>
    <w:bookmarkEnd w:id="23"/>
    <w:bookmarkEnd w:id="24"/>
    <w:p>
      <w:pPr>
        <w:pStyle w:val="3658"/>
        <w:keepNext w:val="0"/>
        <w:keepLines w:val="0"/>
        <w:pageBreakBefore w:val="0"/>
        <w:widowControl w:val="0"/>
        <w:numPr>
          <w:ilvl w:val="0"/>
          <w:numId w:val="56"/>
        </w:numPr>
        <w:kinsoku/>
        <w:wordWrap/>
        <w:overflowPunct/>
        <w:topLinePunct w:val="0"/>
        <w:autoSpaceDE/>
        <w:autoSpaceDN/>
        <w:bidi w:val="0"/>
        <w:adjustRightInd/>
        <w:snapToGrid/>
        <w:ind w:left="0" w:leftChars="0" w:firstLine="480" w:firstLineChars="200"/>
        <w:textAlignment w:val="auto"/>
        <w:rPr>
          <w:rFonts w:cs="Times New Roman"/>
          <w:u w:val="none" w:color="auto"/>
        </w:rPr>
      </w:pPr>
      <w:r>
        <w:rPr>
          <w:rFonts w:cs="Times New Roman"/>
          <w:u w:val="none" w:color="auto"/>
        </w:rPr>
        <w:t>废水：</w:t>
      </w:r>
      <w:r>
        <w:rPr>
          <w:rFonts w:hint="default" w:ascii="Times New Roman" w:hAnsi="Times New Roman" w:cs="Times New Roman"/>
          <w:sz w:val="24"/>
          <w:u w:val="none" w:color="auto"/>
        </w:rPr>
        <w:t>废水</w:t>
      </w:r>
      <w:r>
        <w:rPr>
          <w:rFonts w:hint="eastAsia" w:cs="Times New Roman"/>
          <w:sz w:val="24"/>
          <w:u w:val="none" w:color="auto"/>
          <w:lang w:val="en-US" w:eastAsia="zh-CN"/>
        </w:rPr>
        <w:t>经处理后用于汇集站场区和周边绿化，不外排</w:t>
      </w:r>
      <w:r>
        <w:rPr>
          <w:rFonts w:cs="Times New Roman"/>
          <w:u w:val="none" w:color="auto"/>
        </w:rPr>
        <w:t>。</w:t>
      </w:r>
    </w:p>
    <w:p>
      <w:pPr>
        <w:pStyle w:val="3658"/>
        <w:keepNext w:val="0"/>
        <w:keepLines w:val="0"/>
        <w:pageBreakBefore w:val="0"/>
        <w:widowControl w:val="0"/>
        <w:numPr>
          <w:ilvl w:val="0"/>
          <w:numId w:val="56"/>
        </w:numPr>
        <w:kinsoku/>
        <w:wordWrap/>
        <w:overflowPunct/>
        <w:topLinePunct w:val="0"/>
        <w:autoSpaceDE/>
        <w:autoSpaceDN/>
        <w:bidi w:val="0"/>
        <w:adjustRightInd/>
        <w:snapToGrid/>
        <w:ind w:left="0" w:leftChars="0" w:firstLine="480" w:firstLineChars="200"/>
        <w:textAlignment w:val="auto"/>
        <w:rPr>
          <w:rFonts w:cs="Times New Roman"/>
          <w:u w:val="none" w:color="auto"/>
        </w:rPr>
      </w:pPr>
      <w:r>
        <w:rPr>
          <w:rFonts w:cs="Times New Roman"/>
          <w:u w:val="none" w:color="auto"/>
        </w:rPr>
        <w:t>废气：</w:t>
      </w:r>
      <w:r>
        <w:rPr>
          <w:rFonts w:hint="default" w:ascii="Times New Roman" w:hAnsi="Times New Roman" w:cs="Times New Roman"/>
          <w:sz w:val="24"/>
          <w:u w:val="none" w:color="auto"/>
        </w:rPr>
        <w:t>施工期废气执行《大气污染物综合排放标准》（GB16297-1996）表2中无组织排放限值；</w:t>
      </w:r>
      <w:r>
        <w:t>营运期</w:t>
      </w:r>
      <w:r>
        <w:rPr>
          <w:rFonts w:hint="eastAsia"/>
        </w:rPr>
        <w:t>食堂油烟</w:t>
      </w:r>
      <w:r>
        <w:t>执行《</w:t>
      </w:r>
      <w:r>
        <w:rPr>
          <w:rFonts w:hint="eastAsia"/>
        </w:rPr>
        <w:t>饮食业油烟排放标准</w:t>
      </w:r>
      <w:r>
        <w:t>》（GB18483-2001）中标准</w:t>
      </w:r>
      <w:r>
        <w:rPr>
          <w:rFonts w:hint="eastAsia"/>
        </w:rPr>
        <w:t>要求。</w:t>
      </w:r>
    </w:p>
    <w:p>
      <w:pPr>
        <w:pStyle w:val="3658"/>
        <w:keepNext w:val="0"/>
        <w:keepLines w:val="0"/>
        <w:pageBreakBefore w:val="0"/>
        <w:widowControl w:val="0"/>
        <w:numPr>
          <w:ilvl w:val="0"/>
          <w:numId w:val="56"/>
        </w:numPr>
        <w:kinsoku/>
        <w:wordWrap/>
        <w:overflowPunct/>
        <w:topLinePunct w:val="0"/>
        <w:autoSpaceDE/>
        <w:autoSpaceDN/>
        <w:bidi w:val="0"/>
        <w:adjustRightInd/>
        <w:snapToGrid/>
        <w:ind w:left="0" w:leftChars="0" w:firstLine="480" w:firstLineChars="200"/>
        <w:textAlignment w:val="auto"/>
        <w:rPr>
          <w:rFonts w:hint="eastAsia" w:eastAsia="宋体" w:cs="Times New Roman"/>
          <w:bCs/>
          <w:u w:val="none" w:color="auto"/>
          <w:lang w:eastAsia="zh-CN"/>
        </w:rPr>
      </w:pPr>
      <w:r>
        <w:rPr>
          <w:rFonts w:cs="Times New Roman"/>
          <w:bCs/>
          <w:u w:val="none" w:color="auto"/>
        </w:rPr>
        <w:t>噪声：</w:t>
      </w:r>
      <w:r>
        <w:rPr>
          <w:rFonts w:hint="default" w:ascii="Times New Roman" w:hAnsi="Times New Roman" w:cs="Times New Roman"/>
          <w:sz w:val="24"/>
          <w:u w:val="none" w:color="auto"/>
        </w:rPr>
        <w:t>施工期噪声执行《建筑施工场界环境噪声排放标准》（GB12523-2011）；营运期噪声执行《</w:t>
      </w:r>
      <w:r>
        <w:rPr>
          <w:rFonts w:hint="default" w:ascii="Times New Roman" w:hAnsi="Times New Roman" w:eastAsia="宋体" w:cs="Times New Roman"/>
          <w:u w:val="none" w:color="auto"/>
        </w:rPr>
        <w:t>工业</w:t>
      </w:r>
      <w:r>
        <w:rPr>
          <w:rFonts w:hint="default" w:ascii="Times New Roman" w:hAnsi="Times New Roman" w:cs="Times New Roman"/>
          <w:sz w:val="24"/>
          <w:u w:val="none" w:color="auto"/>
        </w:rPr>
        <w:t>企业厂界环境噪声排放标准》（GB12348-2008）中2类标准</w:t>
      </w:r>
      <w:r>
        <w:rPr>
          <w:rFonts w:hint="eastAsia" w:ascii="Times New Roman" w:hAnsi="Times New Roman" w:cs="Times New Roman"/>
          <w:sz w:val="24"/>
          <w:u w:val="none" w:color="auto"/>
          <w:lang w:eastAsia="zh-CN"/>
        </w:rPr>
        <w:t>。</w:t>
      </w:r>
    </w:p>
    <w:p>
      <w:pPr>
        <w:pStyle w:val="3658"/>
        <w:keepNext w:val="0"/>
        <w:keepLines w:val="0"/>
        <w:pageBreakBefore w:val="0"/>
        <w:widowControl w:val="0"/>
        <w:numPr>
          <w:ilvl w:val="0"/>
          <w:numId w:val="56"/>
        </w:numPr>
        <w:kinsoku/>
        <w:wordWrap/>
        <w:overflowPunct/>
        <w:topLinePunct w:val="0"/>
        <w:autoSpaceDE/>
        <w:autoSpaceDN/>
        <w:bidi w:val="0"/>
        <w:adjustRightInd/>
        <w:snapToGrid/>
        <w:ind w:left="0" w:leftChars="0" w:firstLine="480" w:firstLineChars="200"/>
        <w:textAlignment w:val="auto"/>
        <w:rPr>
          <w:rFonts w:hint="eastAsia" w:hAnsi="宋体"/>
          <w:bCs/>
          <w:color w:val="auto"/>
          <w:sz w:val="24"/>
          <w:u w:val="none" w:color="auto"/>
          <w:lang w:eastAsia="zh-CN"/>
        </w:rPr>
      </w:pPr>
      <w:r>
        <w:rPr>
          <w:bCs/>
          <w:sz w:val="24"/>
          <w:u w:val="none" w:color="auto"/>
        </w:rPr>
        <w:t>固废：</w:t>
      </w:r>
      <w:r>
        <w:rPr>
          <w:bCs/>
          <w:sz w:val="24"/>
          <w:u w:val="none" w:color="auto"/>
          <w:lang w:bidi="en-US"/>
        </w:rPr>
        <w:t>一般固体废物执行《一般工业固体废物贮存</w:t>
      </w:r>
      <w:r>
        <w:rPr>
          <w:rFonts w:hint="eastAsia"/>
          <w:bCs/>
          <w:sz w:val="24"/>
          <w:u w:val="none" w:color="auto"/>
          <w:lang w:eastAsia="zh-CN" w:bidi="en-US"/>
        </w:rPr>
        <w:t>和填埋</w:t>
      </w:r>
      <w:r>
        <w:rPr>
          <w:bCs/>
          <w:sz w:val="24"/>
          <w:u w:val="none" w:color="auto"/>
          <w:lang w:bidi="en-US"/>
        </w:rPr>
        <w:t>污染控制标准》（GB18599-20</w:t>
      </w:r>
      <w:r>
        <w:rPr>
          <w:rFonts w:hint="eastAsia"/>
          <w:bCs/>
          <w:sz w:val="24"/>
          <w:u w:val="none" w:color="auto"/>
          <w:lang w:val="en-US" w:eastAsia="zh-CN" w:bidi="en-US"/>
        </w:rPr>
        <w:t>20</w:t>
      </w:r>
      <w:r>
        <w:rPr>
          <w:bCs/>
          <w:sz w:val="24"/>
          <w:u w:val="none" w:color="auto"/>
          <w:lang w:bidi="en-US"/>
        </w:rPr>
        <w:t>）中相关要求；</w:t>
      </w:r>
      <w:r>
        <w:rPr>
          <w:rFonts w:hAnsi="宋体"/>
          <w:bCs/>
          <w:color w:val="auto"/>
          <w:sz w:val="24"/>
          <w:u w:val="none" w:color="auto"/>
        </w:rPr>
        <w:t>危险废物执行《危险废物贮存污染控制标准》（</w:t>
      </w:r>
      <w:r>
        <w:rPr>
          <w:rFonts w:hint="eastAsia"/>
          <w:szCs w:val="32"/>
        </w:rPr>
        <w:t>GB18597-2023</w:t>
      </w:r>
      <w:r>
        <w:rPr>
          <w:rFonts w:hAnsi="宋体"/>
          <w:bCs/>
          <w:color w:val="auto"/>
          <w:sz w:val="24"/>
          <w:u w:val="none" w:color="auto"/>
        </w:rPr>
        <w:t>）</w:t>
      </w:r>
      <w:r>
        <w:rPr>
          <w:rFonts w:hint="default" w:ascii="Times New Roman" w:hAnsi="Times New Roman" w:cs="Times New Roman"/>
          <w:sz w:val="24"/>
          <w:u w:val="none" w:color="auto"/>
        </w:rPr>
        <w:t>。</w:t>
      </w:r>
    </w:p>
    <w:p>
      <w:pPr>
        <w:pStyle w:val="623"/>
        <w:ind w:firstLine="422"/>
        <w:rPr>
          <w:rFonts w:hint="eastAsia" w:ascii="Times New Roman" w:hAnsi="Times New Roman" w:eastAsia="宋体" w:cs="Times New Roman"/>
          <w:color w:val="000000" w:themeColor="text1"/>
          <w:u w:val="none" w:color="auto"/>
          <w:lang w:eastAsia="zh-CN"/>
          <w14:textFill>
            <w14:solidFill>
              <w14:schemeClr w14:val="tx1"/>
            </w14:solidFill>
          </w14:textFill>
        </w:rPr>
      </w:pPr>
      <w:r>
        <w:rPr>
          <w:rFonts w:hint="eastAsia" w:ascii="Times New Roman" w:hAnsi="Times New Roman" w:eastAsia="宋体" w:cs="Times New Roman"/>
          <w:color w:val="000000" w:themeColor="text1"/>
          <w:u w:val="none" w:color="auto"/>
          <w:lang w:eastAsia="zh-CN"/>
          <w14:textFill>
            <w14:solidFill>
              <w14:schemeClr w14:val="tx1"/>
            </w14:solidFill>
          </w14:textFill>
        </w:rPr>
        <w:t>污染物排放及控制标准</w:t>
      </w:r>
    </w:p>
    <w:tbl>
      <w:tblPr>
        <w:tblStyle w:val="88"/>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816"/>
        <w:gridCol w:w="807"/>
        <w:gridCol w:w="2868"/>
        <w:gridCol w:w="1642"/>
        <w:gridCol w:w="912"/>
        <w:gridCol w:w="953"/>
        <w:gridCol w:w="128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43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要素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分类</w:t>
            </w:r>
          </w:p>
        </w:tc>
        <w:tc>
          <w:tcPr>
            <w:tcW w:w="43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评价</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时段</w:t>
            </w:r>
          </w:p>
        </w:tc>
        <w:tc>
          <w:tcPr>
            <w:tcW w:w="154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标准名称</w:t>
            </w:r>
          </w:p>
        </w:tc>
        <w:tc>
          <w:tcPr>
            <w:tcW w:w="88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类别</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（级）别</w:t>
            </w:r>
          </w:p>
        </w:tc>
        <w:tc>
          <w:tcPr>
            <w:tcW w:w="1697"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标准限值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43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43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154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88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100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参数名称</w:t>
            </w:r>
          </w:p>
        </w:tc>
        <w:tc>
          <w:tcPr>
            <w:tcW w:w="6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限值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9" w:hRule="atLeast"/>
        </w:trPr>
        <w:tc>
          <w:tcPr>
            <w:tcW w:w="43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废气</w:t>
            </w:r>
          </w:p>
        </w:tc>
        <w:tc>
          <w:tcPr>
            <w:tcW w:w="43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施</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工</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期</w:t>
            </w:r>
          </w:p>
        </w:tc>
        <w:tc>
          <w:tcPr>
            <w:tcW w:w="154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《大气污染物综合排放标准》（GB12697-1996）</w:t>
            </w:r>
          </w:p>
        </w:tc>
        <w:tc>
          <w:tcPr>
            <w:tcW w:w="88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无组织排放监控浓度限值</w:t>
            </w:r>
          </w:p>
        </w:tc>
        <w:tc>
          <w:tcPr>
            <w:tcW w:w="49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浓度最高点</w:t>
            </w:r>
          </w:p>
        </w:tc>
        <w:tc>
          <w:tcPr>
            <w:tcW w:w="51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颗粒物</w:t>
            </w:r>
          </w:p>
        </w:tc>
        <w:tc>
          <w:tcPr>
            <w:tcW w:w="6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1.0mg/m</w:t>
            </w:r>
            <w:r>
              <w:rPr>
                <w:bCs/>
                <w:sz w:val="21"/>
                <w:szCs w:val="21"/>
                <w:u w:val="none" w:color="auto"/>
                <w:vertAlign w:val="superscript"/>
              </w:rPr>
              <w:t>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9" w:hRule="atLeast"/>
        </w:trPr>
        <w:tc>
          <w:tcPr>
            <w:tcW w:w="43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43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154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88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49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51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NO</w:t>
            </w:r>
            <w:r>
              <w:rPr>
                <w:bCs/>
                <w:sz w:val="21"/>
                <w:szCs w:val="21"/>
                <w:u w:val="none" w:color="auto"/>
                <w:vertAlign w:val="subscript"/>
              </w:rPr>
              <w:t>X</w:t>
            </w:r>
          </w:p>
        </w:tc>
        <w:tc>
          <w:tcPr>
            <w:tcW w:w="6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0.12mg/m</w:t>
            </w:r>
            <w:r>
              <w:rPr>
                <w:bCs/>
                <w:sz w:val="21"/>
                <w:szCs w:val="21"/>
                <w:u w:val="none" w:color="auto"/>
                <w:vertAlign w:val="superscript"/>
              </w:rPr>
              <w:t>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9" w:hRule="atLeast"/>
        </w:trPr>
        <w:tc>
          <w:tcPr>
            <w:tcW w:w="43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噪声</w:t>
            </w:r>
          </w:p>
        </w:tc>
        <w:tc>
          <w:tcPr>
            <w:tcW w:w="43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施</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工</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期</w:t>
            </w:r>
          </w:p>
        </w:tc>
        <w:tc>
          <w:tcPr>
            <w:tcW w:w="154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《建筑施工场界环境噪声排放标准》（GB12523-2011）</w:t>
            </w:r>
          </w:p>
        </w:tc>
        <w:tc>
          <w:tcPr>
            <w:tcW w:w="88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rFonts w:hint="eastAsia"/>
                <w:bCs/>
                <w:sz w:val="21"/>
                <w:szCs w:val="21"/>
                <w:u w:val="none" w:color="auto"/>
                <w:lang w:val="en-US" w:eastAsia="zh-CN"/>
              </w:rPr>
              <w:t>/</w:t>
            </w:r>
            <w:r>
              <w:rPr>
                <w:bCs/>
                <w:sz w:val="21"/>
                <w:szCs w:val="21"/>
                <w:u w:val="none" w:color="auto"/>
              </w:rPr>
              <w:cr/>
            </w:r>
          </w:p>
        </w:tc>
        <w:tc>
          <w:tcPr>
            <w:tcW w:w="49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等效声级Leq(A)</w:t>
            </w:r>
          </w:p>
        </w:tc>
        <w:tc>
          <w:tcPr>
            <w:tcW w:w="51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昼间</w:t>
            </w:r>
          </w:p>
        </w:tc>
        <w:tc>
          <w:tcPr>
            <w:tcW w:w="6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70dB(A)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43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43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154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88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49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51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夜间</w:t>
            </w:r>
          </w:p>
        </w:tc>
        <w:tc>
          <w:tcPr>
            <w:tcW w:w="6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55dB(A)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43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43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运</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行</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期</w:t>
            </w:r>
          </w:p>
        </w:tc>
        <w:tc>
          <w:tcPr>
            <w:tcW w:w="154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《工业企业厂界环境噪声排放标准》（GB12348-2008）</w:t>
            </w:r>
          </w:p>
        </w:tc>
        <w:tc>
          <w:tcPr>
            <w:tcW w:w="88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2类声环境功能区排放限值</w:t>
            </w:r>
          </w:p>
        </w:tc>
        <w:tc>
          <w:tcPr>
            <w:tcW w:w="49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51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昼间</w:t>
            </w:r>
          </w:p>
        </w:tc>
        <w:tc>
          <w:tcPr>
            <w:tcW w:w="6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60dB(A)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43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43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154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88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49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p>
        </w:tc>
        <w:tc>
          <w:tcPr>
            <w:tcW w:w="51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夜间</w:t>
            </w:r>
          </w:p>
        </w:tc>
        <w:tc>
          <w:tcPr>
            <w:tcW w:w="6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sz w:val="21"/>
                <w:szCs w:val="21"/>
                <w:u w:val="none" w:color="auto"/>
              </w:rPr>
            </w:pPr>
            <w:r>
              <w:rPr>
                <w:bCs/>
                <w:sz w:val="21"/>
                <w:szCs w:val="21"/>
                <w:u w:val="none" w:color="auto"/>
              </w:rPr>
              <w:t>50dB(A)</w:t>
            </w:r>
          </w:p>
        </w:tc>
      </w:tr>
    </w:tbl>
    <w:p>
      <w:pPr>
        <w:pStyle w:val="457"/>
        <w:ind w:firstLine="643"/>
        <w:rPr>
          <w:rFonts w:ascii="Times New Roman" w:cs="Times New Roman"/>
          <w:color w:val="000000" w:themeColor="text1"/>
          <w:highlight w:val="none"/>
          <w:u w:val="none" w:color="auto"/>
          <w14:textFill>
            <w14:solidFill>
              <w14:schemeClr w14:val="tx1"/>
            </w14:solidFill>
          </w14:textFill>
        </w:rPr>
      </w:pPr>
      <w:bookmarkStart w:id="25" w:name="_Toc18088"/>
      <w:r>
        <w:rPr>
          <w:rFonts w:ascii="Times New Roman" w:cs="Times New Roman"/>
          <w:color w:val="000000" w:themeColor="text1"/>
          <w:highlight w:val="none"/>
          <w:u w:val="none" w:color="auto"/>
          <w14:textFill>
            <w14:solidFill>
              <w14:schemeClr w14:val="tx1"/>
            </w14:solidFill>
          </w14:textFill>
        </w:rPr>
        <w:t>主要环境保护目标</w:t>
      </w:r>
      <w:bookmarkEnd w:id="25"/>
    </w:p>
    <w:p>
      <w:pPr>
        <w:bidi w:val="0"/>
        <w:rPr>
          <w:rFonts w:hint="default"/>
        </w:rPr>
      </w:pPr>
      <w:r>
        <w:rPr>
          <w:rFonts w:hint="default"/>
        </w:rPr>
        <w:t>（1）生态环境</w:t>
      </w:r>
    </w:p>
    <w:p>
      <w:pPr>
        <w:bidi w:val="0"/>
        <w:rPr>
          <w:rFonts w:hint="default"/>
        </w:rPr>
      </w:pPr>
      <w:r>
        <w:rPr>
          <w:rFonts w:hint="eastAsia"/>
          <w:lang w:val="en-US" w:eastAsia="zh-CN"/>
        </w:rPr>
        <w:t>根据生态导则，生态保护目标指</w:t>
      </w:r>
      <w:r>
        <w:rPr>
          <w:rFonts w:hint="default"/>
        </w:rPr>
        <w:t>受影响的重要物种、生态敏感区以及其他需要保护的物种、种群、生物群落及生态空间等。根据现场调查，本项目场址区域不涉自然保护区、风景名胜区、世界文化或自然遗产地、森林公园、地质公园、湿地公园、文物保护单位等生态敏感区。</w:t>
      </w:r>
    </w:p>
    <w:p>
      <w:pPr>
        <w:bidi w:val="0"/>
        <w:rPr>
          <w:rFonts w:hint="default"/>
          <w:lang w:val="sq-AL"/>
        </w:rPr>
      </w:pPr>
      <w:r>
        <w:rPr>
          <w:rFonts w:hint="default"/>
          <w:lang w:val="sq-AL"/>
        </w:rPr>
        <w:t>（</w:t>
      </w:r>
      <w:r>
        <w:rPr>
          <w:rFonts w:hint="eastAsia"/>
          <w:lang w:val="en-US" w:eastAsia="zh-CN"/>
        </w:rPr>
        <w:t>2</w:t>
      </w:r>
      <w:r>
        <w:rPr>
          <w:rFonts w:hint="default"/>
          <w:lang w:val="sq-AL"/>
        </w:rPr>
        <w:t>）居民点调查</w:t>
      </w:r>
    </w:p>
    <w:p>
      <w:pPr>
        <w:bidi w:val="0"/>
        <w:rPr>
          <w:rFonts w:hint="eastAsia"/>
          <w:lang w:eastAsia="zh-CN"/>
        </w:rPr>
      </w:pPr>
      <w:r>
        <w:rPr>
          <w:rFonts w:hint="eastAsia"/>
          <w:lang w:eastAsia="zh-CN"/>
        </w:rPr>
        <w:t>各</w:t>
      </w:r>
      <w:r>
        <w:rPr>
          <w:rFonts w:hint="default"/>
        </w:rPr>
        <w:t>风机</w:t>
      </w:r>
      <w:r>
        <w:rPr>
          <w:rFonts w:hint="eastAsia"/>
          <w:lang w:eastAsia="zh-CN"/>
        </w:rPr>
        <w:t>平台</w:t>
      </w:r>
      <w:r>
        <w:rPr>
          <w:rFonts w:hint="default"/>
        </w:rPr>
        <w:t>周边</w:t>
      </w:r>
      <w:r>
        <w:rPr>
          <w:rFonts w:hint="eastAsia"/>
          <w:lang w:val="en-US" w:eastAsia="zh-CN"/>
        </w:rPr>
        <w:t>5</w:t>
      </w:r>
      <w:r>
        <w:rPr>
          <w:rFonts w:hint="default"/>
        </w:rPr>
        <w:t>00m</w:t>
      </w:r>
      <w:r>
        <w:rPr>
          <w:rFonts w:hint="eastAsia"/>
          <w:lang w:eastAsia="zh-CN"/>
        </w:rPr>
        <w:t>范围内</w:t>
      </w:r>
      <w:r>
        <w:rPr>
          <w:rFonts w:hint="default"/>
        </w:rPr>
        <w:t>无居民点分布</w:t>
      </w:r>
      <w:r>
        <w:rPr>
          <w:rFonts w:hint="eastAsia"/>
          <w:lang w:eastAsia="zh-CN"/>
        </w:rPr>
        <w:t>，</w:t>
      </w:r>
      <w:r>
        <w:rPr>
          <w:rFonts w:hint="eastAsia"/>
          <w:lang w:val="en-US" w:eastAsia="zh-CN"/>
        </w:rPr>
        <w:t>500~600m</w:t>
      </w:r>
      <w:r>
        <w:rPr>
          <w:rFonts w:hint="eastAsia"/>
          <w:lang w:eastAsia="zh-CN"/>
        </w:rPr>
        <w:t>范围内</w:t>
      </w:r>
      <w:r>
        <w:rPr>
          <w:rFonts w:hint="eastAsia"/>
          <w:lang w:val="en-US" w:eastAsia="zh-CN"/>
        </w:rPr>
        <w:t>有3户</w:t>
      </w:r>
      <w:r>
        <w:rPr>
          <w:rFonts w:hint="default"/>
        </w:rPr>
        <w:t>居民点</w:t>
      </w:r>
      <w:r>
        <w:rPr>
          <w:rFonts w:hint="eastAsia"/>
          <w:lang w:eastAsia="zh-CN"/>
        </w:rPr>
        <w:t>。</w:t>
      </w:r>
    </w:p>
    <w:p>
      <w:pPr>
        <w:bidi w:val="0"/>
        <w:rPr>
          <w:rFonts w:hint="default"/>
        </w:rPr>
      </w:pPr>
      <w:r>
        <w:rPr>
          <w:rFonts w:hint="default"/>
        </w:rPr>
        <w:t>（3）地表水调查</w:t>
      </w:r>
    </w:p>
    <w:p>
      <w:pPr>
        <w:bidi w:val="0"/>
        <w:rPr>
          <w:rFonts w:hint="default"/>
          <w:lang w:eastAsia="zh-CN"/>
        </w:rPr>
      </w:pPr>
      <w:r>
        <w:rPr>
          <w:rFonts w:hint="eastAsia"/>
        </w:rPr>
        <w:t>本项目周边分布有蓝山县千人以上饮用水水源保护区</w:t>
      </w:r>
      <w:r>
        <w:rPr>
          <w:rFonts w:hint="default"/>
          <w:lang w:eastAsia="zh-CN"/>
        </w:rPr>
        <w:t>。</w:t>
      </w:r>
    </w:p>
    <w:p>
      <w:pPr>
        <w:bidi w:val="0"/>
        <w:rPr>
          <w:rFonts w:hint="default"/>
          <w:lang w:val="en-US" w:eastAsia="zh-CN"/>
        </w:rPr>
      </w:pPr>
      <w:r>
        <w:rPr>
          <w:rFonts w:hint="eastAsia"/>
          <w:lang w:eastAsia="zh-CN"/>
        </w:rPr>
        <w:t>（</w:t>
      </w:r>
      <w:r>
        <w:rPr>
          <w:rFonts w:hint="eastAsia"/>
          <w:lang w:val="en-US" w:eastAsia="zh-CN"/>
        </w:rPr>
        <w:t>4</w:t>
      </w:r>
      <w:r>
        <w:rPr>
          <w:rFonts w:hint="eastAsia"/>
          <w:lang w:eastAsia="zh-CN"/>
        </w:rPr>
        <w:t>）</w:t>
      </w:r>
      <w:r>
        <w:rPr>
          <w:rFonts w:hint="eastAsia"/>
          <w:lang w:val="en-US" w:eastAsia="zh-CN"/>
        </w:rPr>
        <w:t>电磁环境保护目标</w:t>
      </w:r>
    </w:p>
    <w:p>
      <w:pPr>
        <w:bidi w:val="0"/>
        <w:rPr>
          <w:rFonts w:hint="eastAsia" w:eastAsia="宋体"/>
          <w:lang w:val="en-US" w:eastAsia="zh-CN"/>
        </w:rPr>
      </w:pPr>
      <w:r>
        <w:rPr>
          <w:rFonts w:hint="eastAsia"/>
        </w:rPr>
        <w:t>本项目</w:t>
      </w:r>
      <w:r>
        <w:rPr>
          <w:rFonts w:hint="eastAsia"/>
          <w:lang w:val="en-US" w:eastAsia="zh-CN"/>
        </w:rPr>
        <w:t>22</w:t>
      </w:r>
      <w:r>
        <w:rPr>
          <w:rFonts w:hint="eastAsia"/>
        </w:rPr>
        <w:t>0</w:t>
      </w:r>
      <w:r>
        <w:rPr>
          <w:rFonts w:hint="eastAsia"/>
          <w:lang w:eastAsia="zh-CN"/>
        </w:rPr>
        <w:t>kV汇集</w:t>
      </w:r>
      <w:r>
        <w:rPr>
          <w:rFonts w:hint="eastAsia"/>
        </w:rPr>
        <w:t>站</w:t>
      </w:r>
      <w:r>
        <w:rPr>
          <w:rFonts w:hint="eastAsia"/>
          <w:lang w:val="en-US" w:eastAsia="zh-CN"/>
        </w:rPr>
        <w:t>电磁</w:t>
      </w:r>
      <w:r>
        <w:rPr>
          <w:rFonts w:hint="eastAsia"/>
        </w:rPr>
        <w:t>评价范围内无居民点</w:t>
      </w:r>
      <w:r>
        <w:rPr>
          <w:rFonts w:hint="eastAsia"/>
          <w:lang w:eastAsia="zh-CN"/>
        </w:rPr>
        <w:t>。</w:t>
      </w:r>
    </w:p>
    <w:p>
      <w:pPr>
        <w:bidi w:val="0"/>
        <w:rPr>
          <w:rFonts w:hint="default"/>
        </w:rPr>
        <w:sectPr>
          <w:pgSz w:w="11905"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3" w:charSpace="0"/>
        </w:sectPr>
      </w:pPr>
      <w:r>
        <w:rPr>
          <w:rFonts w:hint="default"/>
        </w:rPr>
        <w:t>本项目环境保护目标</w:t>
      </w:r>
      <w:r>
        <w:rPr>
          <w:rFonts w:hint="eastAsia"/>
          <w:lang w:eastAsia="zh-CN"/>
        </w:rPr>
        <w:t>及变化情况</w:t>
      </w:r>
      <w:r>
        <w:rPr>
          <w:rFonts w:hint="default"/>
        </w:rPr>
        <w:t>见表</w:t>
      </w:r>
      <w:r>
        <w:rPr>
          <w:rFonts w:hint="eastAsia"/>
          <w:lang w:val="en-US" w:eastAsia="zh-CN"/>
        </w:rPr>
        <w:t>1-10</w:t>
      </w:r>
      <w:r>
        <w:rPr>
          <w:rFonts w:hint="default"/>
        </w:rPr>
        <w:t>所示。</w:t>
      </w:r>
    </w:p>
    <w:p>
      <w:pPr>
        <w:pStyle w:val="623"/>
        <w:ind w:firstLine="422"/>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项目环境保护目标分布一览表</w:t>
      </w:r>
    </w:p>
    <w:tbl>
      <w:tblPr>
        <w:tblStyle w:val="88"/>
        <w:tblW w:w="560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83"/>
        <w:gridCol w:w="2118"/>
        <w:gridCol w:w="2547"/>
        <w:gridCol w:w="3029"/>
        <w:gridCol w:w="2650"/>
        <w:gridCol w:w="3231"/>
        <w:gridCol w:w="11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05" w:hRule="atLeast"/>
          <w:jc w:val="center"/>
        </w:trPr>
        <w:tc>
          <w:tcPr>
            <w:tcW w:w="341"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环境</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要素</w:t>
            </w:r>
          </w:p>
        </w:tc>
        <w:tc>
          <w:tcPr>
            <w:tcW w:w="668"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敏感保护目标</w:t>
            </w:r>
          </w:p>
        </w:tc>
        <w:tc>
          <w:tcPr>
            <w:tcW w:w="804"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z w:val="21"/>
                <w:szCs w:val="21"/>
                <w:u w:val="none" w:color="auto"/>
                <w:lang w:eastAsia="zh-CN"/>
              </w:rPr>
            </w:pPr>
            <w:r>
              <w:rPr>
                <w:rFonts w:hint="eastAsia" w:cs="Times New Roman"/>
                <w:sz w:val="21"/>
                <w:szCs w:val="21"/>
                <w:u w:val="none" w:color="auto"/>
                <w:lang w:eastAsia="zh-CN"/>
              </w:rPr>
              <w:t>规模特征</w:t>
            </w:r>
          </w:p>
        </w:tc>
        <w:tc>
          <w:tcPr>
            <w:tcW w:w="956"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与工程关系</w:t>
            </w:r>
          </w:p>
        </w:tc>
        <w:tc>
          <w:tcPr>
            <w:tcW w:w="836"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影响源和时段</w:t>
            </w:r>
          </w:p>
        </w:tc>
        <w:tc>
          <w:tcPr>
            <w:tcW w:w="1020"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保护要求</w:t>
            </w:r>
          </w:p>
        </w:tc>
        <w:tc>
          <w:tcPr>
            <w:tcW w:w="371"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变更后变化情况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43" w:hRule="atLeast"/>
          <w:jc w:val="center"/>
        </w:trPr>
        <w:tc>
          <w:tcPr>
            <w:tcW w:w="341" w:type="pct"/>
            <w:vMerge w:val="restar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生态</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环境</w:t>
            </w:r>
          </w:p>
        </w:tc>
        <w:tc>
          <w:tcPr>
            <w:tcW w:w="668" w:type="pct"/>
            <w:tcBorders>
              <w:tl2br w:val="nil"/>
              <w:tr2bl w:val="nil"/>
            </w:tcBorders>
            <w:shd w:val="clear" w:color="auto" w:fill="auto"/>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ascii="Times New Roman" w:hAnsi="Times New Roman" w:cs="Times New Roman"/>
                <w:sz w:val="21"/>
                <w:szCs w:val="21"/>
                <w:highlight w:val="none"/>
                <w:u w:val="none" w:color="auto"/>
                <w:lang w:eastAsia="zh-CN"/>
              </w:rPr>
              <w:t>生态公益林</w:t>
            </w:r>
          </w:p>
        </w:tc>
        <w:tc>
          <w:tcPr>
            <w:tcW w:w="804" w:type="pct"/>
            <w:tcBorders>
              <w:tl2br w:val="nil"/>
              <w:tr2bl w:val="nil"/>
            </w:tcBorders>
            <w:shd w:val="clear" w:color="auto" w:fill="auto"/>
            <w:noWrap w:val="0"/>
            <w:tcMar>
              <w:left w:w="11" w:type="dxa"/>
              <w:right w:w="11" w:type="dxa"/>
            </w:tcMar>
            <w:vAlign w:val="center"/>
          </w:tcPr>
          <w:p>
            <w:pPr>
              <w:keepNext w:val="0"/>
              <w:keepLines w:val="0"/>
              <w:pageBreakBefore w:val="0"/>
              <w:tabs>
                <w:tab w:val="left" w:pos="0"/>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sz w:val="21"/>
                <w:szCs w:val="21"/>
                <w:highlight w:val="none"/>
                <w:u w:val="none" w:color="auto"/>
                <w:lang w:eastAsia="zh-CN"/>
              </w:rPr>
              <w:t>国家二级生态公益林</w:t>
            </w:r>
          </w:p>
        </w:tc>
        <w:tc>
          <w:tcPr>
            <w:tcW w:w="956"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不占用，分布在评价范围内</w:t>
            </w:r>
          </w:p>
        </w:tc>
        <w:tc>
          <w:tcPr>
            <w:tcW w:w="836" w:type="pct"/>
            <w:tcBorders>
              <w:tl2br w:val="nil"/>
              <w:tr2bl w:val="nil"/>
            </w:tcBorders>
            <w:shd w:val="clear" w:color="auto" w:fill="auto"/>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z w:val="21"/>
                <w:szCs w:val="21"/>
                <w:u w:val="none" w:color="auto"/>
                <w:lang w:val="zh-CN" w:eastAsia="zh-CN"/>
              </w:rPr>
            </w:pPr>
            <w:r>
              <w:rPr>
                <w:rFonts w:hint="default" w:ascii="Times New Roman" w:hAnsi="Times New Roman" w:eastAsia="宋体" w:cs="Times New Roman"/>
                <w:sz w:val="21"/>
                <w:szCs w:val="21"/>
                <w:u w:val="none" w:color="auto"/>
              </w:rPr>
              <w:t>施工期，施工活动、人为干扰等</w:t>
            </w:r>
          </w:p>
        </w:tc>
        <w:tc>
          <w:tcPr>
            <w:tcW w:w="1020" w:type="pct"/>
            <w:tcBorders>
              <w:tl2br w:val="nil"/>
              <w:tr2bl w:val="nil"/>
            </w:tcBorders>
            <w:shd w:val="clear" w:color="auto" w:fill="auto"/>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rPr>
              <w:t>临时用地</w:t>
            </w:r>
            <w:r>
              <w:rPr>
                <w:rFonts w:hint="default" w:ascii="Times New Roman" w:hAnsi="Times New Roman" w:eastAsia="宋体" w:cs="Times New Roman"/>
                <w:sz w:val="21"/>
                <w:szCs w:val="21"/>
                <w:u w:val="none" w:color="auto"/>
              </w:rPr>
              <w:t>施工结束后恢复植被</w:t>
            </w:r>
            <w:r>
              <w:rPr>
                <w:rFonts w:hint="eastAsia" w:ascii="Times New Roman" w:hAnsi="Times New Roman" w:eastAsia="宋体" w:cs="Times New Roman"/>
                <w:sz w:val="21"/>
                <w:szCs w:val="21"/>
                <w:u w:val="none" w:color="auto"/>
              </w:rPr>
              <w:t>；完善相关林业手续</w:t>
            </w:r>
            <w:r>
              <w:rPr>
                <w:rFonts w:hint="default" w:ascii="Times New Roman" w:hAnsi="Times New Roman" w:eastAsia="宋体" w:cs="Times New Roman"/>
                <w:sz w:val="21"/>
                <w:szCs w:val="21"/>
                <w:u w:val="none" w:color="auto"/>
              </w:rPr>
              <w:t xml:space="preserve"> </w:t>
            </w:r>
          </w:p>
        </w:tc>
        <w:tc>
          <w:tcPr>
            <w:tcW w:w="371"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不变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83" w:hRule="atLeast"/>
          <w:jc w:val="center"/>
        </w:trPr>
        <w:tc>
          <w:tcPr>
            <w:tcW w:w="341" w:type="pct"/>
            <w:vMerge w:val="continue"/>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highlight w:val="none"/>
                <w:u w:val="none" w:color="auto"/>
              </w:rPr>
            </w:pPr>
          </w:p>
        </w:tc>
        <w:tc>
          <w:tcPr>
            <w:tcW w:w="668"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highlight w:val="none"/>
                <w:u w:val="none" w:color="auto"/>
                <w:lang w:val="en-US" w:eastAsia="zh-CN"/>
              </w:rPr>
            </w:pPr>
            <w:r>
              <w:rPr>
                <w:rFonts w:hint="default" w:ascii="Times New Roman" w:hAnsi="Times New Roman" w:cs="Times New Roman"/>
                <w:sz w:val="21"/>
                <w:szCs w:val="21"/>
                <w:highlight w:val="none"/>
                <w:u w:val="none" w:color="auto"/>
              </w:rPr>
              <w:t>重点保护</w:t>
            </w:r>
            <w:r>
              <w:rPr>
                <w:rFonts w:hint="default" w:ascii="Times New Roman" w:hAnsi="Times New Roman" w:cs="Times New Roman"/>
                <w:sz w:val="21"/>
                <w:szCs w:val="21"/>
                <w:highlight w:val="none"/>
                <w:u w:val="none" w:color="auto"/>
                <w:lang w:eastAsia="zh-CN"/>
              </w:rPr>
              <w:t>野生</w:t>
            </w:r>
            <w:r>
              <w:rPr>
                <w:rFonts w:hint="default" w:ascii="Times New Roman" w:hAnsi="Times New Roman" w:cs="Times New Roman"/>
                <w:sz w:val="21"/>
                <w:szCs w:val="21"/>
                <w:highlight w:val="none"/>
                <w:u w:val="none" w:color="auto"/>
              </w:rPr>
              <w:t>动物</w:t>
            </w:r>
          </w:p>
        </w:tc>
        <w:tc>
          <w:tcPr>
            <w:tcW w:w="804" w:type="pct"/>
            <w:tcBorders>
              <w:tl2br w:val="nil"/>
              <w:tr2bl w:val="nil"/>
            </w:tcBorders>
            <w:noWrap w:val="0"/>
            <w:tcMar>
              <w:left w:w="11" w:type="dxa"/>
              <w:right w:w="11" w:type="dxa"/>
            </w:tcMar>
            <w:vAlign w:val="center"/>
          </w:tcPr>
          <w:p>
            <w:pPr>
              <w:keepNext w:val="0"/>
              <w:keepLines w:val="0"/>
              <w:pageBreakBefore w:val="0"/>
              <w:tabs>
                <w:tab w:val="left" w:pos="0"/>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highlight w:val="none"/>
                <w:u w:val="none" w:color="auto"/>
                <w:lang w:val="en-US" w:eastAsia="zh-CN"/>
              </w:rPr>
            </w:pPr>
            <w:r>
              <w:rPr>
                <w:rFonts w:hint="default" w:ascii="Times New Roman" w:hAnsi="Times New Roman" w:cs="Times New Roman"/>
                <w:sz w:val="21"/>
                <w:szCs w:val="21"/>
                <w:highlight w:val="none"/>
                <w:u w:val="none" w:color="auto"/>
                <w:lang w:bidi="ar"/>
              </w:rPr>
              <w:t>国家Ⅱ级重点保护野生动物</w:t>
            </w:r>
            <w:r>
              <w:rPr>
                <w:rFonts w:hint="eastAsia" w:cs="Times New Roman"/>
                <w:sz w:val="21"/>
                <w:szCs w:val="21"/>
                <w:highlight w:val="none"/>
                <w:u w:val="none" w:color="auto"/>
                <w:lang w:val="en-US" w:eastAsia="zh-CN" w:bidi="ar"/>
              </w:rPr>
              <w:t>7</w:t>
            </w:r>
            <w:r>
              <w:rPr>
                <w:rFonts w:hint="default" w:ascii="Times New Roman" w:hAnsi="Times New Roman" w:cs="Times New Roman"/>
                <w:sz w:val="21"/>
                <w:szCs w:val="21"/>
                <w:highlight w:val="none"/>
                <w:u w:val="none" w:color="auto"/>
                <w:lang w:bidi="ar"/>
              </w:rPr>
              <w:t>种，湖南省重点保护动物</w:t>
            </w:r>
            <w:r>
              <w:rPr>
                <w:rFonts w:hint="eastAsia" w:cs="Times New Roman"/>
                <w:sz w:val="21"/>
                <w:szCs w:val="21"/>
                <w:highlight w:val="none"/>
                <w:u w:val="none" w:color="auto"/>
                <w:lang w:val="en-US" w:eastAsia="zh-CN" w:bidi="ar"/>
              </w:rPr>
              <w:t>56</w:t>
            </w:r>
            <w:r>
              <w:rPr>
                <w:rFonts w:hint="default" w:ascii="Times New Roman" w:hAnsi="Times New Roman" w:cs="Times New Roman"/>
                <w:sz w:val="21"/>
                <w:szCs w:val="21"/>
                <w:highlight w:val="none"/>
                <w:u w:val="none" w:color="auto"/>
                <w:lang w:bidi="ar"/>
              </w:rPr>
              <w:t>种</w:t>
            </w:r>
            <w:r>
              <w:rPr>
                <w:rFonts w:hint="default" w:ascii="Times New Roman" w:hAnsi="Times New Roman" w:cs="Times New Roman"/>
                <w:sz w:val="21"/>
                <w:szCs w:val="21"/>
                <w:highlight w:val="none"/>
                <w:u w:val="none" w:color="auto"/>
              </w:rPr>
              <w:t>。</w:t>
            </w:r>
          </w:p>
        </w:tc>
        <w:tc>
          <w:tcPr>
            <w:tcW w:w="956"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lang w:val="zh-CN" w:eastAsia="zh-CN"/>
              </w:rPr>
            </w:pPr>
            <w:r>
              <w:rPr>
                <w:rFonts w:hint="default" w:ascii="Times New Roman" w:hAnsi="Times New Roman" w:cs="Times New Roman"/>
                <w:sz w:val="21"/>
                <w:szCs w:val="21"/>
                <w:u w:val="none" w:color="auto"/>
              </w:rPr>
              <w:t>分散分布，部分动物在工程区域内活动；工程区域不在候鸟迁徙通道上。</w:t>
            </w:r>
          </w:p>
        </w:tc>
        <w:tc>
          <w:tcPr>
            <w:tcW w:w="836"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lang w:val="en-US" w:eastAsia="zh-CN"/>
              </w:rPr>
            </w:pPr>
            <w:r>
              <w:rPr>
                <w:rFonts w:hint="default" w:ascii="Times New Roman" w:hAnsi="Times New Roman" w:cs="Times New Roman"/>
                <w:sz w:val="21"/>
                <w:szCs w:val="21"/>
                <w:u w:val="none" w:color="auto"/>
              </w:rPr>
              <w:t>施工期施工活动干扰，运营期风机运行、场内道路阻隔、车辆行驶</w:t>
            </w:r>
          </w:p>
        </w:tc>
        <w:tc>
          <w:tcPr>
            <w:tcW w:w="1020"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lang w:val="en-US" w:eastAsia="zh-CN"/>
              </w:rPr>
            </w:pPr>
            <w:r>
              <w:rPr>
                <w:rFonts w:hint="default" w:ascii="Times New Roman" w:hAnsi="Times New Roman" w:cs="Times New Roman"/>
                <w:sz w:val="21"/>
                <w:szCs w:val="21"/>
                <w:u w:val="none" w:color="auto"/>
              </w:rPr>
              <w:t>禁止施工人员捕猎，控制施工活动范围；风机叶片艳化处理，即时观测，对野生鸟类采取进入风场临时措施。</w:t>
            </w:r>
          </w:p>
        </w:tc>
        <w:tc>
          <w:tcPr>
            <w:tcW w:w="371"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不变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7" w:hRule="atLeast"/>
          <w:jc w:val="center"/>
        </w:trPr>
        <w:tc>
          <w:tcPr>
            <w:tcW w:w="341" w:type="pct"/>
            <w:vMerge w:val="restar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地表水环境</w:t>
            </w:r>
          </w:p>
        </w:tc>
        <w:tc>
          <w:tcPr>
            <w:tcW w:w="668" w:type="pct"/>
            <w:tcBorders>
              <w:tl2br w:val="nil"/>
              <w:tr2bl w:val="nil"/>
            </w:tcBorders>
            <w:shd w:val="clear" w:color="auto" w:fill="auto"/>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sz w:val="21"/>
                <w:szCs w:val="21"/>
                <w:u w:val="none" w:color="auto"/>
                <w:lang w:val="en-US" w:eastAsia="zh-CN"/>
              </w:rPr>
              <w:t>蓝山县塔峰镇两江口水库饮用水水源保护区</w:t>
            </w:r>
          </w:p>
        </w:tc>
        <w:tc>
          <w:tcPr>
            <w:tcW w:w="804" w:type="pct"/>
            <w:tcBorders>
              <w:tl2br w:val="nil"/>
              <w:tr2bl w:val="nil"/>
            </w:tcBorders>
            <w:shd w:val="clear" w:color="auto" w:fill="auto"/>
            <w:noWrap w:val="0"/>
            <w:tcMar>
              <w:left w:w="11" w:type="dxa"/>
              <w:right w:w="11" w:type="dxa"/>
            </w:tcMar>
            <w:vAlign w:val="center"/>
          </w:tcPr>
          <w:p>
            <w:pPr>
              <w:widowControl w:val="0"/>
              <w:adjustRightInd/>
              <w:snapToGrid/>
              <w:spacing w:line="240" w:lineRule="auto"/>
              <w:ind w:firstLine="0" w:firstLineChars="0"/>
              <w:jc w:val="center"/>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sz w:val="21"/>
                <w:szCs w:val="21"/>
                <w:u w:val="none" w:color="auto"/>
                <w:lang w:val="en-US" w:eastAsia="zh-CN"/>
              </w:rPr>
              <w:t>设计供水规模5</w:t>
            </w:r>
            <w:r>
              <w:rPr>
                <w:rFonts w:hint="eastAsia" w:ascii="Times New Roman" w:hAnsi="Times New Roman" w:cs="Times New Roman"/>
                <w:sz w:val="21"/>
                <w:szCs w:val="21"/>
                <w:u w:val="none" w:color="auto"/>
                <w:lang w:val="en-US" w:eastAsia="zh-CN"/>
              </w:rPr>
              <w:t>000m</w:t>
            </w:r>
            <w:r>
              <w:rPr>
                <w:rFonts w:hint="eastAsia" w:ascii="Times New Roman" w:hAnsi="Times New Roman" w:cs="Times New Roman"/>
                <w:sz w:val="21"/>
                <w:szCs w:val="21"/>
                <w:u w:val="none" w:color="auto"/>
                <w:vertAlign w:val="superscript"/>
                <w:lang w:val="en-US" w:eastAsia="zh-CN"/>
              </w:rPr>
              <w:t>3</w:t>
            </w:r>
            <w:r>
              <w:rPr>
                <w:rFonts w:hint="eastAsia" w:ascii="Times New Roman" w:hAnsi="Times New Roman" w:cs="Times New Roman"/>
                <w:sz w:val="21"/>
                <w:szCs w:val="21"/>
                <w:u w:val="none" w:color="auto"/>
                <w:lang w:val="en-US" w:eastAsia="zh-CN"/>
              </w:rPr>
              <w:t>/d，服务人口44509人</w:t>
            </w:r>
          </w:p>
        </w:tc>
        <w:tc>
          <w:tcPr>
            <w:tcW w:w="956" w:type="pct"/>
            <w:tcBorders>
              <w:tl2br w:val="nil"/>
              <w:tr2bl w:val="nil"/>
            </w:tcBorders>
            <w:shd w:val="clear" w:color="auto" w:fill="auto"/>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sz w:val="21"/>
                <w:szCs w:val="21"/>
                <w:u w:val="none" w:color="auto"/>
                <w:lang w:val="en-US" w:eastAsia="zh-CN"/>
              </w:rPr>
            </w:pPr>
            <w:r>
              <w:rPr>
                <w:rFonts w:hint="eastAsia" w:cs="Times New Roman"/>
                <w:sz w:val="21"/>
                <w:szCs w:val="21"/>
                <w:u w:val="none" w:color="auto"/>
                <w:lang w:val="en-US" w:eastAsia="zh-CN"/>
              </w:rPr>
              <w:t>依托的</w:t>
            </w:r>
            <w:r>
              <w:rPr>
                <w:rFonts w:hint="eastAsia" w:ascii="Times New Roman" w:hAnsi="Times New Roman" w:eastAsia="宋体" w:cs="Times New Roman"/>
                <w:sz w:val="21"/>
                <w:szCs w:val="21"/>
                <w:u w:val="none" w:color="auto"/>
              </w:rPr>
              <w:t>进场道路</w:t>
            </w:r>
            <w:r>
              <w:rPr>
                <w:rFonts w:hint="eastAsia" w:cs="Times New Roman"/>
                <w:sz w:val="21"/>
                <w:szCs w:val="21"/>
                <w:u w:val="none" w:color="auto"/>
                <w:lang w:val="en-US" w:eastAsia="zh-CN"/>
              </w:rPr>
              <w:t>7.9km长度位于二级陆域保护区，</w:t>
            </w:r>
            <w:r>
              <w:rPr>
                <w:rFonts w:hint="eastAsia" w:cs="Times New Roman"/>
                <w:bCs/>
                <w:color w:val="000000"/>
                <w:sz w:val="21"/>
                <w:szCs w:val="21"/>
                <w:highlight w:val="none"/>
                <w:u w:val="none" w:color="auto"/>
                <w:lang w:val="en-US" w:eastAsia="zh-CN"/>
              </w:rPr>
              <w:t>距离取水口最近90m。</w:t>
            </w:r>
          </w:p>
        </w:tc>
        <w:tc>
          <w:tcPr>
            <w:tcW w:w="836"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spacing w:val="6"/>
                <w:sz w:val="21"/>
                <w:szCs w:val="21"/>
                <w:u w:val="none" w:color="auto"/>
                <w:lang w:val="en-US" w:eastAsia="zh-CN"/>
              </w:rPr>
            </w:pPr>
            <w:r>
              <w:rPr>
                <w:rFonts w:hint="eastAsia" w:cs="Times New Roman"/>
                <w:b w:val="0"/>
                <w:bCs/>
                <w:spacing w:val="6"/>
                <w:sz w:val="21"/>
                <w:szCs w:val="21"/>
                <w:u w:val="none" w:color="auto"/>
                <w:lang w:val="en-US" w:eastAsia="zh-CN"/>
              </w:rPr>
              <w:t>/</w:t>
            </w:r>
          </w:p>
        </w:tc>
        <w:tc>
          <w:tcPr>
            <w:tcW w:w="1020"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spacing w:val="6"/>
                <w:sz w:val="21"/>
                <w:szCs w:val="21"/>
                <w:u w:val="none" w:color="auto"/>
                <w:lang w:val="en-US" w:eastAsia="zh-CN"/>
              </w:rPr>
            </w:pPr>
            <w:r>
              <w:rPr>
                <w:rFonts w:hint="eastAsia" w:cs="Times New Roman"/>
                <w:b w:val="0"/>
                <w:bCs/>
                <w:spacing w:val="6"/>
                <w:sz w:val="21"/>
                <w:szCs w:val="21"/>
                <w:u w:val="none" w:color="auto"/>
                <w:lang w:val="en-US" w:eastAsia="zh-CN"/>
              </w:rPr>
              <w:t>/</w:t>
            </w:r>
          </w:p>
        </w:tc>
        <w:tc>
          <w:tcPr>
            <w:tcW w:w="371"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不变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56" w:hRule="atLeast"/>
          <w:jc w:val="center"/>
        </w:trPr>
        <w:tc>
          <w:tcPr>
            <w:tcW w:w="341" w:type="pct"/>
            <w:vMerge w:val="continue"/>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668" w:type="pct"/>
            <w:tcBorders>
              <w:tl2br w:val="nil"/>
              <w:tr2bl w:val="nil"/>
            </w:tcBorders>
            <w:shd w:val="clear" w:color="auto" w:fill="auto"/>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sz w:val="21"/>
                <w:szCs w:val="21"/>
                <w:u w:val="none" w:color="auto"/>
                <w:lang w:val="en-US" w:eastAsia="zh-CN"/>
              </w:rPr>
              <w:t>蓝山县新田湾河饮用水水源保护区</w:t>
            </w:r>
          </w:p>
        </w:tc>
        <w:tc>
          <w:tcPr>
            <w:tcW w:w="804" w:type="pct"/>
            <w:tcBorders>
              <w:tl2br w:val="nil"/>
              <w:tr2bl w:val="nil"/>
            </w:tcBorders>
            <w:shd w:val="clear" w:color="auto" w:fill="auto"/>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sz w:val="21"/>
                <w:szCs w:val="21"/>
                <w:u w:val="none" w:color="auto"/>
                <w:lang w:val="en-US" w:eastAsia="zh-CN"/>
              </w:rPr>
              <w:t>设计供水规模</w:t>
            </w:r>
            <w:r>
              <w:rPr>
                <w:rFonts w:hint="eastAsia" w:ascii="Times New Roman" w:hAnsi="Times New Roman" w:cs="Times New Roman"/>
                <w:sz w:val="21"/>
                <w:szCs w:val="21"/>
                <w:u w:val="none" w:color="auto"/>
                <w:lang w:val="en-US" w:eastAsia="zh-CN"/>
              </w:rPr>
              <w:t>2.</w:t>
            </w:r>
            <w:r>
              <w:rPr>
                <w:rFonts w:hint="eastAsia" w:cs="Times New Roman"/>
                <w:sz w:val="21"/>
                <w:szCs w:val="21"/>
                <w:u w:val="none" w:color="auto"/>
                <w:lang w:val="en-US" w:eastAsia="zh-CN"/>
              </w:rPr>
              <w:t>8</w:t>
            </w:r>
            <w:r>
              <w:rPr>
                <w:rFonts w:hint="eastAsia" w:ascii="Times New Roman" w:hAnsi="Times New Roman" w:cs="Times New Roman"/>
                <w:sz w:val="21"/>
                <w:szCs w:val="21"/>
                <w:u w:val="none" w:color="auto"/>
                <w:lang w:val="en-US" w:eastAsia="zh-CN"/>
              </w:rPr>
              <w:t>万m</w:t>
            </w:r>
            <w:r>
              <w:rPr>
                <w:rFonts w:hint="eastAsia" w:ascii="Times New Roman" w:hAnsi="Times New Roman" w:cs="Times New Roman"/>
                <w:sz w:val="21"/>
                <w:szCs w:val="21"/>
                <w:u w:val="none" w:color="auto"/>
                <w:vertAlign w:val="superscript"/>
                <w:lang w:val="en-US" w:eastAsia="zh-CN"/>
              </w:rPr>
              <w:t>3</w:t>
            </w:r>
            <w:r>
              <w:rPr>
                <w:rFonts w:hint="eastAsia" w:ascii="Times New Roman" w:hAnsi="Times New Roman" w:cs="Times New Roman"/>
                <w:sz w:val="21"/>
                <w:szCs w:val="21"/>
                <w:u w:val="none" w:color="auto"/>
                <w:lang w:val="en-US" w:eastAsia="zh-CN"/>
              </w:rPr>
              <w:t>/d，服务范围为蓝山县县城</w:t>
            </w:r>
          </w:p>
        </w:tc>
        <w:tc>
          <w:tcPr>
            <w:tcW w:w="956" w:type="pct"/>
            <w:tcBorders>
              <w:tl2br w:val="nil"/>
              <w:tr2bl w:val="nil"/>
            </w:tcBorders>
            <w:shd w:val="clear" w:color="auto" w:fill="auto"/>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sz w:val="21"/>
                <w:szCs w:val="21"/>
                <w:u w:val="none" w:color="auto"/>
                <w:lang w:val="en-US" w:eastAsia="zh-CN"/>
              </w:rPr>
              <w:t>15号风机平台东侧距离二级陆域保护区10m，</w:t>
            </w:r>
            <w:r>
              <w:rPr>
                <w:rFonts w:hint="eastAsia" w:cs="Times New Roman"/>
                <w:bCs/>
                <w:color w:val="000000"/>
                <w:sz w:val="21"/>
                <w:szCs w:val="21"/>
                <w:highlight w:val="none"/>
                <w:u w:val="none" w:color="auto"/>
                <w:lang w:val="en-US" w:eastAsia="zh-CN"/>
              </w:rPr>
              <w:t>距离取水口最近2.8km。</w:t>
            </w:r>
          </w:p>
        </w:tc>
        <w:tc>
          <w:tcPr>
            <w:tcW w:w="836" w:type="pct"/>
            <w:vMerge w:val="restar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spacing w:val="6"/>
                <w:sz w:val="21"/>
                <w:szCs w:val="21"/>
                <w:u w:val="none" w:color="auto"/>
                <w:lang w:val="en-US" w:eastAsia="zh-CN"/>
              </w:rPr>
            </w:pPr>
            <w:r>
              <w:rPr>
                <w:rFonts w:hint="eastAsia" w:ascii="Times New Roman" w:hAnsi="Times New Roman" w:eastAsia="宋体" w:cs="Times New Roman"/>
                <w:b w:val="0"/>
                <w:bCs/>
                <w:spacing w:val="6"/>
                <w:sz w:val="21"/>
                <w:szCs w:val="21"/>
                <w:u w:val="none" w:color="auto"/>
                <w:lang w:val="en-US" w:eastAsia="zh-CN"/>
              </w:rPr>
              <w:t>施工期水土流失、施工弃渣处理不当可能对水质的影响</w:t>
            </w:r>
          </w:p>
        </w:tc>
        <w:tc>
          <w:tcPr>
            <w:tcW w:w="1020" w:type="pct"/>
            <w:vMerge w:val="restar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spacing w:val="6"/>
                <w:sz w:val="21"/>
                <w:szCs w:val="21"/>
                <w:u w:val="none" w:color="auto"/>
                <w:lang w:val="en-US" w:eastAsia="zh-CN"/>
              </w:rPr>
            </w:pPr>
            <w:r>
              <w:rPr>
                <w:rFonts w:hint="eastAsia" w:ascii="Times New Roman" w:hAnsi="Times New Roman" w:eastAsia="宋体" w:cs="Times New Roman"/>
                <w:b w:val="0"/>
                <w:bCs/>
                <w:spacing w:val="6"/>
                <w:sz w:val="21"/>
                <w:szCs w:val="21"/>
                <w:u w:val="none" w:color="auto"/>
                <w:lang w:val="en-US" w:eastAsia="zh-CN"/>
              </w:rPr>
              <w:t>施工过程中道路临水源侧设置拦挡措施；及时进行生态恢复。一级保护区执行《地表水环境质量标准》（GB3838-2002）</w:t>
            </w:r>
            <w:r>
              <w:rPr>
                <w:rFonts w:hint="eastAsia" w:ascii="Times New Roman" w:hAnsi="Times New Roman" w:eastAsia="宋体" w:cs="Times New Roman"/>
                <w:b w:val="0"/>
                <w:bCs/>
                <w:spacing w:val="6"/>
                <w:sz w:val="21"/>
                <w:szCs w:val="21"/>
                <w:u w:val="none" w:color="auto"/>
                <w:lang w:val="en-US" w:eastAsia="zh-CN"/>
              </w:rPr>
              <w:fldChar w:fldCharType="begin"/>
            </w:r>
            <w:r>
              <w:rPr>
                <w:rFonts w:hint="eastAsia" w:ascii="Times New Roman" w:hAnsi="Times New Roman" w:eastAsia="宋体" w:cs="Times New Roman"/>
                <w:b w:val="0"/>
                <w:bCs/>
                <w:spacing w:val="6"/>
                <w:sz w:val="21"/>
                <w:szCs w:val="21"/>
                <w:u w:val="none" w:color="auto"/>
                <w:lang w:val="en-US" w:eastAsia="zh-CN"/>
              </w:rPr>
              <w:instrText xml:space="preserve"> = 2 \* ROMAN \* MERGEFORMAT </w:instrText>
            </w:r>
            <w:r>
              <w:rPr>
                <w:rFonts w:hint="eastAsia" w:ascii="Times New Roman" w:hAnsi="Times New Roman" w:eastAsia="宋体" w:cs="Times New Roman"/>
                <w:b w:val="0"/>
                <w:bCs/>
                <w:spacing w:val="6"/>
                <w:sz w:val="21"/>
                <w:szCs w:val="21"/>
                <w:u w:val="none" w:color="auto"/>
                <w:lang w:val="en-US" w:eastAsia="zh-CN"/>
              </w:rPr>
              <w:fldChar w:fldCharType="separate"/>
            </w:r>
            <w:r>
              <w:rPr>
                <w:rFonts w:hint="eastAsia" w:ascii="Times New Roman" w:hAnsi="Times New Roman" w:eastAsia="宋体" w:cs="Times New Roman"/>
                <w:b w:val="0"/>
                <w:bCs/>
                <w:spacing w:val="6"/>
                <w:sz w:val="21"/>
                <w:szCs w:val="21"/>
                <w:u w:val="none" w:color="auto"/>
                <w:lang w:val="en-US" w:eastAsia="zh-CN"/>
              </w:rPr>
              <w:t>II</w:t>
            </w:r>
            <w:r>
              <w:rPr>
                <w:rFonts w:hint="eastAsia" w:ascii="Times New Roman" w:hAnsi="Times New Roman" w:eastAsia="宋体" w:cs="Times New Roman"/>
                <w:b w:val="0"/>
                <w:bCs/>
                <w:spacing w:val="6"/>
                <w:sz w:val="21"/>
                <w:szCs w:val="21"/>
                <w:u w:val="none" w:color="auto"/>
                <w:lang w:val="en-US" w:eastAsia="zh-CN"/>
              </w:rPr>
              <w:fldChar w:fldCharType="end"/>
            </w:r>
            <w:r>
              <w:rPr>
                <w:rFonts w:hint="eastAsia" w:ascii="Times New Roman" w:hAnsi="Times New Roman" w:eastAsia="宋体" w:cs="Times New Roman"/>
                <w:b w:val="0"/>
                <w:bCs/>
                <w:spacing w:val="6"/>
                <w:sz w:val="21"/>
                <w:szCs w:val="21"/>
                <w:u w:val="none" w:color="auto"/>
                <w:lang w:val="en-US" w:eastAsia="zh-CN"/>
              </w:rPr>
              <w:t>类标准；二级保护区执行（GB3838-2002）Ⅲ类标准</w:t>
            </w:r>
          </w:p>
        </w:tc>
        <w:tc>
          <w:tcPr>
            <w:tcW w:w="371"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cs="Times New Roman"/>
                <w:sz w:val="21"/>
                <w:szCs w:val="21"/>
                <w:u w:val="none" w:color="auto"/>
                <w:lang w:val="en-US" w:eastAsia="zh-CN"/>
              </w:rPr>
              <w:t>原环评已有，本次重新核定位置关系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341" w:type="pct"/>
            <w:vMerge w:val="continue"/>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668"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蓝山县</w:t>
            </w:r>
            <w:r>
              <w:rPr>
                <w:rFonts w:hint="default" w:ascii="Times New Roman" w:hAnsi="Times New Roman" w:eastAsia="宋体" w:cs="Times New Roman"/>
                <w:sz w:val="21"/>
                <w:szCs w:val="21"/>
                <w:u w:val="none" w:color="auto"/>
              </w:rPr>
              <w:t>塔峰镇岭脚村山溪水饮用水水源保护区</w:t>
            </w:r>
          </w:p>
        </w:tc>
        <w:tc>
          <w:tcPr>
            <w:tcW w:w="804"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z w:val="21"/>
                <w:szCs w:val="21"/>
                <w:u w:val="none" w:color="auto"/>
                <w:lang w:val="en-US" w:eastAsia="zh-CN"/>
              </w:rPr>
            </w:pPr>
            <w:r>
              <w:rPr>
                <w:rFonts w:hint="eastAsia" w:cs="Times New Roman"/>
                <w:sz w:val="21"/>
                <w:szCs w:val="21"/>
                <w:u w:val="none" w:color="auto"/>
                <w:lang w:val="en-US" w:eastAsia="zh-CN"/>
              </w:rPr>
              <w:t>设计供水规模130</w:t>
            </w:r>
            <w:r>
              <w:rPr>
                <w:rFonts w:hint="eastAsia" w:ascii="Times New Roman" w:hAnsi="Times New Roman" w:cs="Times New Roman"/>
                <w:sz w:val="21"/>
                <w:szCs w:val="21"/>
                <w:u w:val="none" w:color="auto"/>
                <w:lang w:val="en-US" w:eastAsia="zh-CN"/>
              </w:rPr>
              <w:t>m</w:t>
            </w:r>
            <w:r>
              <w:rPr>
                <w:rFonts w:hint="eastAsia" w:ascii="Times New Roman" w:hAnsi="Times New Roman" w:cs="Times New Roman"/>
                <w:sz w:val="21"/>
                <w:szCs w:val="21"/>
                <w:u w:val="none" w:color="auto"/>
                <w:vertAlign w:val="superscript"/>
                <w:lang w:val="en-US" w:eastAsia="zh-CN"/>
              </w:rPr>
              <w:t>3</w:t>
            </w:r>
            <w:r>
              <w:rPr>
                <w:rFonts w:hint="eastAsia" w:ascii="Times New Roman" w:hAnsi="Times New Roman" w:cs="Times New Roman"/>
                <w:sz w:val="21"/>
                <w:szCs w:val="21"/>
                <w:u w:val="none" w:color="auto"/>
                <w:lang w:val="en-US" w:eastAsia="zh-CN"/>
              </w:rPr>
              <w:t>/d，服务人口</w:t>
            </w:r>
            <w:r>
              <w:rPr>
                <w:rFonts w:hint="eastAsia" w:cs="Times New Roman"/>
                <w:sz w:val="21"/>
                <w:szCs w:val="21"/>
                <w:u w:val="none" w:color="auto"/>
                <w:lang w:val="en-US" w:eastAsia="zh-CN"/>
              </w:rPr>
              <w:t>2540</w:t>
            </w:r>
            <w:r>
              <w:rPr>
                <w:rFonts w:hint="eastAsia" w:ascii="Times New Roman" w:hAnsi="Times New Roman" w:cs="Times New Roman"/>
                <w:sz w:val="21"/>
                <w:szCs w:val="21"/>
                <w:u w:val="none" w:color="auto"/>
                <w:lang w:val="en-US" w:eastAsia="zh-CN"/>
              </w:rPr>
              <w:t>人</w:t>
            </w:r>
          </w:p>
        </w:tc>
        <w:tc>
          <w:tcPr>
            <w:tcW w:w="956"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cs="Times New Roman"/>
                <w:sz w:val="21"/>
                <w:szCs w:val="21"/>
                <w:u w:val="none" w:color="auto"/>
                <w:lang w:val="en-US" w:eastAsia="zh-CN"/>
              </w:rPr>
              <w:t>12、13号风机之间场内道路中有40m长度紧邻二级陆域保护区，</w:t>
            </w:r>
            <w:r>
              <w:rPr>
                <w:rFonts w:hint="eastAsia" w:cs="Times New Roman"/>
                <w:bCs/>
                <w:color w:val="000000"/>
                <w:sz w:val="21"/>
                <w:szCs w:val="21"/>
                <w:highlight w:val="none"/>
                <w:u w:val="none" w:color="auto"/>
                <w:lang w:val="en-US" w:eastAsia="zh-CN"/>
              </w:rPr>
              <w:t>距离取水口最近1.7km。</w:t>
            </w:r>
          </w:p>
        </w:tc>
        <w:tc>
          <w:tcPr>
            <w:tcW w:w="836" w:type="pct"/>
            <w:vMerge w:val="continue"/>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b w:val="0"/>
                <w:bCs/>
                <w:spacing w:val="6"/>
                <w:sz w:val="21"/>
                <w:szCs w:val="21"/>
                <w:u w:val="none" w:color="auto"/>
                <w:lang w:val="en-US" w:eastAsia="zh-CN"/>
              </w:rPr>
            </w:pPr>
          </w:p>
        </w:tc>
        <w:tc>
          <w:tcPr>
            <w:tcW w:w="1020" w:type="pct"/>
            <w:vMerge w:val="continue"/>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b w:val="0"/>
                <w:bCs/>
                <w:spacing w:val="6"/>
                <w:sz w:val="21"/>
                <w:szCs w:val="21"/>
                <w:u w:val="none" w:color="auto"/>
                <w:lang w:val="en-US" w:eastAsia="zh-CN"/>
              </w:rPr>
            </w:pPr>
          </w:p>
        </w:tc>
        <w:tc>
          <w:tcPr>
            <w:tcW w:w="371"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cs="Times New Roman"/>
                <w:sz w:val="21"/>
                <w:szCs w:val="21"/>
                <w:u w:val="none" w:color="auto"/>
                <w:lang w:val="en-US" w:eastAsia="zh-CN"/>
              </w:rPr>
              <w:t>新增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83" w:hRule="atLeast"/>
          <w:jc w:val="center"/>
        </w:trPr>
        <w:tc>
          <w:tcPr>
            <w:tcW w:w="341" w:type="pct"/>
            <w:vMerge w:val="continue"/>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668"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kern w:val="2"/>
                <w:sz w:val="21"/>
                <w:szCs w:val="21"/>
                <w:u w:val="none" w:color="auto"/>
                <w:lang w:val="en-US" w:eastAsia="zh-CN" w:bidi="ar-SA"/>
              </w:rPr>
            </w:pPr>
            <w:r>
              <w:rPr>
                <w:rFonts w:hint="eastAsia" w:ascii="Times New Roman" w:hAnsi="Times New Roman" w:cs="Times New Roman"/>
                <w:sz w:val="21"/>
                <w:szCs w:val="21"/>
                <w:u w:val="none" w:color="auto"/>
                <w:lang w:val="en-US" w:eastAsia="zh-CN"/>
              </w:rPr>
              <w:t>无名</w:t>
            </w:r>
            <w:r>
              <w:rPr>
                <w:rFonts w:hint="default" w:ascii="Times New Roman" w:hAnsi="Times New Roman" w:cs="Times New Roman"/>
                <w:sz w:val="21"/>
                <w:szCs w:val="21"/>
                <w:u w:val="none" w:color="auto"/>
              </w:rPr>
              <w:t>小溪</w:t>
            </w:r>
          </w:p>
        </w:tc>
        <w:tc>
          <w:tcPr>
            <w:tcW w:w="804"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季节性山溪，主要功能为泄洪、灌溉</w:t>
            </w:r>
          </w:p>
        </w:tc>
        <w:tc>
          <w:tcPr>
            <w:tcW w:w="956"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项目周边山坳，部分施工场地位于山溪的汇水范围内</w:t>
            </w:r>
          </w:p>
        </w:tc>
        <w:tc>
          <w:tcPr>
            <w:tcW w:w="836"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spacing w:val="6"/>
                <w:sz w:val="21"/>
                <w:szCs w:val="21"/>
                <w:u w:val="none" w:color="auto"/>
                <w:lang w:val="en-US" w:eastAsia="zh-CN"/>
              </w:rPr>
            </w:pPr>
            <w:r>
              <w:rPr>
                <w:rFonts w:hint="eastAsia" w:ascii="Times New Roman" w:hAnsi="Times New Roman" w:eastAsia="宋体" w:cs="Times New Roman"/>
                <w:b w:val="0"/>
                <w:bCs/>
                <w:spacing w:val="6"/>
                <w:sz w:val="21"/>
                <w:szCs w:val="21"/>
                <w:u w:val="none" w:color="auto"/>
                <w:lang w:val="en-US" w:eastAsia="zh-CN"/>
              </w:rPr>
              <w:t>施工期水土流失、施工弃渣处理不当可能对水质的影响</w:t>
            </w:r>
          </w:p>
        </w:tc>
        <w:tc>
          <w:tcPr>
            <w:tcW w:w="1020"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b w:val="0"/>
                <w:bCs/>
                <w:spacing w:val="6"/>
                <w:sz w:val="21"/>
                <w:szCs w:val="21"/>
                <w:u w:val="none" w:color="auto"/>
                <w:lang w:val="en-US" w:eastAsia="zh-CN"/>
              </w:rPr>
            </w:pPr>
            <w:r>
              <w:rPr>
                <w:rFonts w:hint="eastAsia" w:ascii="Times New Roman" w:hAnsi="Times New Roman" w:eastAsia="宋体" w:cs="Times New Roman"/>
                <w:b w:val="0"/>
                <w:bCs/>
                <w:spacing w:val="6"/>
                <w:sz w:val="21"/>
                <w:szCs w:val="21"/>
                <w:u w:val="none" w:color="auto"/>
                <w:lang w:val="en-US" w:eastAsia="zh-CN"/>
              </w:rPr>
              <w:t>落实水土保持措施，施工弃渣妥善堆存，地表水执行《地表水环境质量标准》（GB3838-2002）Ⅲ类标准</w:t>
            </w:r>
          </w:p>
        </w:tc>
        <w:tc>
          <w:tcPr>
            <w:tcW w:w="371"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u w:val="none" w:color="auto"/>
                <w:lang w:eastAsia="zh-CN"/>
              </w:rPr>
            </w:pPr>
            <w:r>
              <w:rPr>
                <w:rFonts w:hint="default" w:ascii="Times New Roman" w:hAnsi="Times New Roman" w:cs="Times New Roman"/>
                <w:sz w:val="21"/>
                <w:szCs w:val="21"/>
                <w:u w:val="none" w:color="auto"/>
              </w:rPr>
              <w:t>不变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57" w:hRule="atLeast"/>
          <w:jc w:val="center"/>
        </w:trPr>
        <w:tc>
          <w:tcPr>
            <w:tcW w:w="341" w:type="pct"/>
            <w:vMerge w:val="restar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大气及声环境</w:t>
            </w:r>
          </w:p>
        </w:tc>
        <w:tc>
          <w:tcPr>
            <w:tcW w:w="668" w:type="pct"/>
            <w:tcBorders>
              <w:tl2br w:val="nil"/>
              <w:tr2bl w:val="nil"/>
            </w:tcBorders>
            <w:shd w:val="clear" w:color="auto" w:fill="auto"/>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kern w:val="2"/>
                <w:sz w:val="21"/>
                <w:szCs w:val="21"/>
                <w:u w:val="none" w:color="auto"/>
                <w:lang w:val="en-US" w:eastAsia="zh-CN" w:bidi="ar-SA"/>
              </w:rPr>
              <w:t>五龙爪</w:t>
            </w:r>
            <w:r>
              <w:rPr>
                <w:rFonts w:hint="default" w:ascii="Times New Roman" w:hAnsi="Times New Roman" w:cs="Times New Roman"/>
                <w:sz w:val="21"/>
                <w:szCs w:val="21"/>
                <w:u w:val="none" w:color="auto"/>
              </w:rPr>
              <w:t>居民点</w:t>
            </w:r>
          </w:p>
        </w:tc>
        <w:tc>
          <w:tcPr>
            <w:tcW w:w="804" w:type="pct"/>
            <w:tcBorders>
              <w:tl2br w:val="nil"/>
              <w:tr2bl w:val="nil"/>
            </w:tcBorders>
            <w:shd w:val="clear" w:color="auto" w:fill="auto"/>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居住，</w:t>
            </w:r>
            <w:r>
              <w:rPr>
                <w:rFonts w:hint="eastAsia" w:cs="Times New Roman"/>
                <w:sz w:val="21"/>
                <w:szCs w:val="21"/>
                <w:u w:val="none" w:color="auto"/>
                <w:lang w:val="en-US" w:eastAsia="zh-CN"/>
              </w:rPr>
              <w:t>3</w:t>
            </w:r>
            <w:r>
              <w:rPr>
                <w:rFonts w:hint="default" w:ascii="Times New Roman" w:hAnsi="Times New Roman" w:cs="Times New Roman"/>
                <w:sz w:val="21"/>
                <w:szCs w:val="21"/>
                <w:u w:val="none" w:color="auto"/>
              </w:rPr>
              <w:t>户，1-2层砖瓦结构</w:t>
            </w:r>
            <w:r>
              <w:rPr>
                <w:rFonts w:hint="eastAsia" w:ascii="Times New Roman" w:hAnsi="Times New Roman" w:cs="Times New Roman"/>
                <w:sz w:val="21"/>
                <w:szCs w:val="21"/>
                <w:u w:val="none" w:color="auto"/>
                <w:lang w:eastAsia="zh-CN"/>
              </w:rPr>
              <w:t>，</w:t>
            </w:r>
            <w:r>
              <w:rPr>
                <w:rFonts w:hint="default" w:ascii="Times New Roman" w:hAnsi="Times New Roman" w:cs="Times New Roman"/>
                <w:sz w:val="21"/>
                <w:szCs w:val="21"/>
                <w:u w:val="none" w:color="auto"/>
              </w:rPr>
              <w:t>E112°07'56.8434"，</w:t>
            </w:r>
          </w:p>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sz w:val="21"/>
                <w:szCs w:val="21"/>
                <w:u w:val="none" w:color="auto"/>
              </w:rPr>
              <w:t>N25°21'03.5139"</w:t>
            </w:r>
          </w:p>
        </w:tc>
        <w:tc>
          <w:tcPr>
            <w:tcW w:w="956" w:type="pct"/>
            <w:tcBorders>
              <w:tl2br w:val="nil"/>
              <w:tr2bl w:val="nil"/>
            </w:tcBorders>
            <w:shd w:val="clear" w:color="auto" w:fill="auto"/>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sz w:val="21"/>
                <w:szCs w:val="21"/>
                <w:u w:val="none" w:color="auto"/>
              </w:rPr>
              <w:t>1</w:t>
            </w:r>
            <w:r>
              <w:rPr>
                <w:rFonts w:hint="eastAsia" w:cs="Times New Roman"/>
                <w:sz w:val="21"/>
                <w:szCs w:val="21"/>
                <w:u w:val="none" w:color="auto"/>
                <w:lang w:val="en-US" w:eastAsia="zh-CN"/>
              </w:rPr>
              <w:t>4号</w:t>
            </w:r>
            <w:r>
              <w:rPr>
                <w:rFonts w:hint="default" w:ascii="Times New Roman" w:hAnsi="Times New Roman" w:cs="Times New Roman"/>
                <w:sz w:val="21"/>
                <w:szCs w:val="21"/>
                <w:u w:val="none" w:color="auto"/>
              </w:rPr>
              <w:t>风机</w:t>
            </w:r>
            <w:r>
              <w:rPr>
                <w:rFonts w:hint="eastAsia" w:cs="Times New Roman"/>
                <w:sz w:val="21"/>
                <w:szCs w:val="21"/>
                <w:u w:val="none" w:color="auto"/>
                <w:lang w:val="en-US" w:eastAsia="zh-CN"/>
              </w:rPr>
              <w:t>西北</w:t>
            </w:r>
            <w:r>
              <w:rPr>
                <w:rFonts w:hint="default" w:ascii="Times New Roman" w:hAnsi="Times New Roman" w:cs="Times New Roman"/>
                <w:sz w:val="21"/>
                <w:szCs w:val="21"/>
                <w:u w:val="none" w:color="auto"/>
              </w:rPr>
              <w:t>侧距离</w:t>
            </w:r>
            <w:r>
              <w:rPr>
                <w:rFonts w:hint="eastAsia" w:cs="Times New Roman"/>
                <w:sz w:val="21"/>
                <w:szCs w:val="21"/>
                <w:u w:val="none" w:color="auto"/>
                <w:lang w:val="en-US" w:eastAsia="zh-CN"/>
              </w:rPr>
              <w:t>525</w:t>
            </w:r>
            <w:r>
              <w:rPr>
                <w:rFonts w:hint="default" w:ascii="Times New Roman" w:hAnsi="Times New Roman" w:cs="Times New Roman"/>
                <w:sz w:val="21"/>
                <w:szCs w:val="21"/>
                <w:u w:val="none" w:color="auto"/>
              </w:rPr>
              <w:t>m，高程差</w:t>
            </w:r>
            <w:r>
              <w:rPr>
                <w:rFonts w:hint="eastAsia" w:cs="Times New Roman"/>
                <w:sz w:val="21"/>
                <w:szCs w:val="21"/>
                <w:u w:val="none" w:color="auto"/>
                <w:lang w:val="en-US" w:eastAsia="zh-CN"/>
              </w:rPr>
              <w:t>256</w:t>
            </w:r>
            <w:r>
              <w:rPr>
                <w:rFonts w:hint="default" w:ascii="Times New Roman" w:hAnsi="Times New Roman" w:cs="Times New Roman"/>
                <w:sz w:val="21"/>
                <w:szCs w:val="21"/>
                <w:u w:val="none" w:color="auto"/>
              </w:rPr>
              <w:t>m</w:t>
            </w:r>
            <w:r>
              <w:rPr>
                <w:rFonts w:hint="eastAsia" w:cs="Times New Roman"/>
                <w:sz w:val="21"/>
                <w:szCs w:val="21"/>
                <w:u w:val="none" w:color="auto"/>
                <w:lang w:eastAsia="zh-CN"/>
              </w:rPr>
              <w:t>，</w:t>
            </w:r>
            <w:r>
              <w:rPr>
                <w:rFonts w:hint="eastAsia" w:cs="Times New Roman"/>
                <w:sz w:val="21"/>
                <w:szCs w:val="21"/>
                <w:u w:val="none" w:color="auto"/>
                <w:lang w:val="en-US" w:eastAsia="zh-CN"/>
              </w:rPr>
              <w:t>有山体阻隔</w:t>
            </w:r>
          </w:p>
        </w:tc>
        <w:tc>
          <w:tcPr>
            <w:tcW w:w="836" w:type="pct"/>
            <w:tcBorders>
              <w:tl2br w:val="nil"/>
              <w:tr2bl w:val="nil"/>
            </w:tcBorders>
            <w:shd w:val="clear" w:color="auto" w:fill="auto"/>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kern w:val="0"/>
                <w:sz w:val="21"/>
                <w:szCs w:val="21"/>
                <w:u w:val="none" w:color="auto"/>
              </w:rPr>
              <w:t>施工期机械设备运行和营运期风机运行</w:t>
            </w:r>
            <w:r>
              <w:rPr>
                <w:rFonts w:hint="eastAsia" w:cs="Times New Roman"/>
                <w:kern w:val="0"/>
                <w:sz w:val="21"/>
                <w:szCs w:val="21"/>
                <w:u w:val="none" w:color="auto"/>
                <w:lang w:val="en-US" w:eastAsia="zh-CN"/>
              </w:rPr>
              <w:t>噪声</w:t>
            </w:r>
          </w:p>
        </w:tc>
        <w:tc>
          <w:tcPr>
            <w:tcW w:w="1020" w:type="pct"/>
            <w:vMerge w:val="restart"/>
            <w:tcBorders>
              <w:tl2br w:val="nil"/>
              <w:tr2bl w:val="nil"/>
            </w:tcBorders>
            <w:noWrap w:val="0"/>
            <w:tcMar>
              <w:left w:w="11" w:type="dxa"/>
              <w:right w:w="11"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kern w:val="0"/>
                <w:sz w:val="21"/>
                <w:szCs w:val="21"/>
                <w:u w:val="none" w:color="auto"/>
              </w:rPr>
            </w:pPr>
            <w:r>
              <w:rPr>
                <w:rFonts w:hint="default" w:ascii="Times New Roman" w:hAnsi="Times New Roman" w:cs="Times New Roman"/>
                <w:kern w:val="0"/>
                <w:sz w:val="21"/>
                <w:szCs w:val="21"/>
                <w:u w:val="none" w:color="auto"/>
              </w:rPr>
              <w:t>施工期洒水降尘，减少粉尘和扬尘的产生，维持空气质量现状《环境空气质量标准》（GB3095-2012）中二级标准；</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kern w:val="0"/>
                <w:sz w:val="21"/>
                <w:szCs w:val="21"/>
                <w:u w:val="none" w:color="auto"/>
              </w:rPr>
              <w:t>禁止夜间施工，尽量维持声环境质量，达到《声环境质量标准》（GB3096-2008）中2类标准</w:t>
            </w:r>
          </w:p>
        </w:tc>
        <w:tc>
          <w:tcPr>
            <w:tcW w:w="371"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lang w:val="en-US" w:eastAsia="zh-CN"/>
              </w:rPr>
            </w:pPr>
            <w:r>
              <w:rPr>
                <w:rFonts w:hint="default" w:ascii="Times New Roman" w:hAnsi="Times New Roman" w:cs="Times New Roman"/>
                <w:sz w:val="21"/>
                <w:szCs w:val="21"/>
                <w:u w:val="none" w:color="auto"/>
              </w:rPr>
              <w:t>不变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57" w:hRule="atLeast"/>
          <w:jc w:val="center"/>
        </w:trPr>
        <w:tc>
          <w:tcPr>
            <w:tcW w:w="341" w:type="pct"/>
            <w:vMerge w:val="continue"/>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668" w:type="pct"/>
            <w:tcBorders>
              <w:tl2br w:val="nil"/>
              <w:tr2bl w:val="nil"/>
            </w:tcBorders>
            <w:shd w:val="clear" w:color="auto" w:fill="auto"/>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rPr>
              <w:t>麻池塘居民点</w:t>
            </w:r>
          </w:p>
        </w:tc>
        <w:tc>
          <w:tcPr>
            <w:tcW w:w="804"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居住，</w:t>
            </w:r>
            <w:r>
              <w:rPr>
                <w:rFonts w:hint="eastAsia" w:cs="Times New Roman"/>
                <w:kern w:val="2"/>
                <w:sz w:val="21"/>
                <w:szCs w:val="21"/>
                <w:u w:val="none" w:color="auto"/>
                <w:lang w:val="en-US" w:eastAsia="zh-CN" w:bidi="ar-SA"/>
              </w:rPr>
              <w:t>1</w:t>
            </w:r>
            <w:r>
              <w:rPr>
                <w:rFonts w:hint="default" w:ascii="Times New Roman" w:hAnsi="Times New Roman" w:cs="Times New Roman"/>
                <w:sz w:val="21"/>
                <w:szCs w:val="21"/>
                <w:u w:val="none" w:color="auto"/>
              </w:rPr>
              <w:t>户，2层砖瓦结构</w:t>
            </w:r>
            <w:r>
              <w:rPr>
                <w:rFonts w:hint="eastAsia" w:ascii="Times New Roman" w:hAnsi="Times New Roman" w:cs="Times New Roman"/>
                <w:sz w:val="21"/>
                <w:szCs w:val="21"/>
                <w:u w:val="none" w:color="auto"/>
                <w:lang w:eastAsia="zh-CN"/>
              </w:rPr>
              <w:t>，</w:t>
            </w:r>
            <w:r>
              <w:rPr>
                <w:rFonts w:hint="default" w:ascii="Times New Roman" w:hAnsi="Times New Roman" w:cs="Times New Roman"/>
                <w:sz w:val="21"/>
                <w:szCs w:val="21"/>
                <w:u w:val="none" w:color="auto"/>
              </w:rPr>
              <w:t>E112°08'06.1866"，</w:t>
            </w:r>
          </w:p>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kern w:val="2"/>
                <w:sz w:val="21"/>
                <w:szCs w:val="21"/>
                <w:u w:val="none" w:color="auto"/>
                <w:lang w:val="en-US" w:eastAsia="zh-CN" w:bidi="ar-SA"/>
              </w:rPr>
            </w:pPr>
            <w:r>
              <w:rPr>
                <w:rFonts w:hint="default" w:ascii="Times New Roman" w:hAnsi="Times New Roman" w:cs="Times New Roman"/>
                <w:sz w:val="21"/>
                <w:szCs w:val="21"/>
                <w:u w:val="none" w:color="auto"/>
              </w:rPr>
              <w:t>N25°16'42.4294"</w:t>
            </w:r>
          </w:p>
        </w:tc>
        <w:tc>
          <w:tcPr>
            <w:tcW w:w="956"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kern w:val="2"/>
                <w:sz w:val="21"/>
                <w:szCs w:val="21"/>
                <w:u w:val="none" w:color="auto"/>
                <w:lang w:val="en-US" w:eastAsia="zh-CN" w:bidi="ar-SA"/>
              </w:rPr>
            </w:pPr>
            <w:r>
              <w:rPr>
                <w:rFonts w:hint="eastAsia" w:cs="Times New Roman"/>
                <w:kern w:val="2"/>
                <w:sz w:val="21"/>
                <w:szCs w:val="21"/>
                <w:u w:val="none" w:color="auto"/>
                <w:lang w:val="en-US" w:eastAsia="zh-CN" w:bidi="ar-SA"/>
              </w:rPr>
              <w:t>汇集站西南侧117m</w:t>
            </w:r>
          </w:p>
        </w:tc>
        <w:tc>
          <w:tcPr>
            <w:tcW w:w="836" w:type="pct"/>
            <w:vMerge w:val="restar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z w:val="21"/>
                <w:szCs w:val="21"/>
                <w:u w:val="none" w:color="auto"/>
                <w:lang w:val="en-US" w:eastAsia="zh-CN"/>
              </w:rPr>
            </w:pPr>
            <w:r>
              <w:rPr>
                <w:rFonts w:hint="default" w:ascii="Times New Roman" w:hAnsi="Times New Roman" w:cs="Times New Roman"/>
                <w:kern w:val="0"/>
                <w:sz w:val="21"/>
                <w:szCs w:val="21"/>
                <w:u w:val="none" w:color="auto"/>
              </w:rPr>
              <w:t>施工期机械设备运行和营运期</w:t>
            </w:r>
            <w:r>
              <w:rPr>
                <w:rFonts w:hint="eastAsia" w:cs="Times New Roman"/>
                <w:kern w:val="0"/>
                <w:sz w:val="21"/>
                <w:szCs w:val="21"/>
                <w:u w:val="none" w:color="auto"/>
                <w:lang w:val="en-US" w:eastAsia="zh-CN"/>
              </w:rPr>
              <w:t>汇集站</w:t>
            </w:r>
            <w:r>
              <w:rPr>
                <w:rFonts w:hint="default" w:ascii="Times New Roman" w:hAnsi="Times New Roman" w:cs="Times New Roman"/>
                <w:kern w:val="0"/>
                <w:sz w:val="21"/>
                <w:szCs w:val="21"/>
                <w:u w:val="none" w:color="auto"/>
              </w:rPr>
              <w:t>运行</w:t>
            </w:r>
            <w:r>
              <w:rPr>
                <w:rFonts w:hint="eastAsia" w:cs="Times New Roman"/>
                <w:kern w:val="0"/>
                <w:sz w:val="21"/>
                <w:szCs w:val="21"/>
                <w:u w:val="none" w:color="auto"/>
                <w:lang w:val="en-US" w:eastAsia="zh-CN"/>
              </w:rPr>
              <w:t>噪声</w:t>
            </w:r>
          </w:p>
        </w:tc>
        <w:tc>
          <w:tcPr>
            <w:tcW w:w="1020" w:type="pct"/>
            <w:vMerge w:val="continue"/>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371"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z w:val="21"/>
                <w:szCs w:val="21"/>
                <w:u w:val="none" w:color="auto"/>
                <w:lang w:eastAsia="zh-CN"/>
              </w:rPr>
            </w:pPr>
            <w:r>
              <w:rPr>
                <w:rFonts w:hint="default" w:ascii="Times New Roman" w:hAnsi="Times New Roman" w:cs="Times New Roman"/>
                <w:sz w:val="21"/>
                <w:szCs w:val="21"/>
                <w:u w:val="none" w:color="auto"/>
              </w:rPr>
              <w:t>不变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89" w:hRule="atLeast"/>
          <w:jc w:val="center"/>
        </w:trPr>
        <w:tc>
          <w:tcPr>
            <w:tcW w:w="341" w:type="pct"/>
            <w:vMerge w:val="continue"/>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668" w:type="pct"/>
            <w:tcBorders>
              <w:tl2br w:val="nil"/>
              <w:tr2bl w:val="nil"/>
            </w:tcBorders>
            <w:shd w:val="clear" w:color="auto" w:fill="auto"/>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rPr>
              <w:t>雷家居民点</w:t>
            </w:r>
          </w:p>
        </w:tc>
        <w:tc>
          <w:tcPr>
            <w:tcW w:w="804"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居住，</w:t>
            </w:r>
            <w:r>
              <w:rPr>
                <w:rFonts w:hint="eastAsia" w:cs="Times New Roman"/>
                <w:kern w:val="2"/>
                <w:sz w:val="21"/>
                <w:szCs w:val="21"/>
                <w:u w:val="none" w:color="auto"/>
                <w:lang w:val="en-US" w:eastAsia="zh-CN" w:bidi="ar-SA"/>
              </w:rPr>
              <w:t>4</w:t>
            </w:r>
            <w:r>
              <w:rPr>
                <w:rFonts w:hint="default" w:ascii="Times New Roman" w:hAnsi="Times New Roman" w:cs="Times New Roman"/>
                <w:sz w:val="21"/>
                <w:szCs w:val="21"/>
                <w:u w:val="none" w:color="auto"/>
              </w:rPr>
              <w:t>户，1-2层砖瓦结构</w:t>
            </w:r>
            <w:r>
              <w:rPr>
                <w:rFonts w:hint="eastAsia" w:ascii="Times New Roman" w:hAnsi="Times New Roman" w:cs="Times New Roman"/>
                <w:sz w:val="21"/>
                <w:szCs w:val="21"/>
                <w:u w:val="none" w:color="auto"/>
                <w:lang w:eastAsia="zh-CN"/>
              </w:rPr>
              <w:t>，</w:t>
            </w:r>
            <w:r>
              <w:rPr>
                <w:rFonts w:hint="default" w:ascii="Times New Roman" w:hAnsi="Times New Roman" w:cs="Times New Roman"/>
                <w:sz w:val="21"/>
                <w:szCs w:val="21"/>
                <w:u w:val="none" w:color="auto"/>
              </w:rPr>
              <w:t>E112°08'10.9683"，</w:t>
            </w:r>
          </w:p>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default" w:ascii="Times New Roman" w:hAnsi="Times New Roman" w:cs="Times New Roman"/>
                <w:sz w:val="21"/>
                <w:szCs w:val="21"/>
                <w:u w:val="none" w:color="auto"/>
              </w:rPr>
              <w:t>N25°16'39.4201"</w:t>
            </w:r>
          </w:p>
        </w:tc>
        <w:tc>
          <w:tcPr>
            <w:tcW w:w="956"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kern w:val="2"/>
                <w:sz w:val="21"/>
                <w:szCs w:val="21"/>
                <w:u w:val="none" w:color="auto"/>
                <w:lang w:val="en-US" w:eastAsia="zh-CN" w:bidi="ar-SA"/>
              </w:rPr>
            </w:pPr>
            <w:r>
              <w:rPr>
                <w:rFonts w:hint="eastAsia" w:cs="Times New Roman"/>
                <w:kern w:val="2"/>
                <w:sz w:val="21"/>
                <w:szCs w:val="21"/>
                <w:u w:val="none" w:color="auto"/>
                <w:lang w:val="en-US" w:eastAsia="zh-CN" w:bidi="ar-SA"/>
              </w:rPr>
              <w:t>汇集站南侧129m</w:t>
            </w:r>
          </w:p>
        </w:tc>
        <w:tc>
          <w:tcPr>
            <w:tcW w:w="836" w:type="pct"/>
            <w:vMerge w:val="continue"/>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lang w:val="en-US" w:eastAsia="zh-CN"/>
              </w:rPr>
            </w:pPr>
          </w:p>
        </w:tc>
        <w:tc>
          <w:tcPr>
            <w:tcW w:w="1020" w:type="pct"/>
            <w:vMerge w:val="continue"/>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371"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lang w:eastAsia="zh-CN"/>
              </w:rPr>
            </w:pPr>
            <w:r>
              <w:rPr>
                <w:rFonts w:hint="default" w:ascii="Times New Roman" w:hAnsi="Times New Roman" w:cs="Times New Roman"/>
                <w:sz w:val="21"/>
                <w:szCs w:val="21"/>
                <w:u w:val="none" w:color="auto"/>
              </w:rPr>
              <w:t>不变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89" w:hRule="atLeast"/>
          <w:jc w:val="center"/>
        </w:trPr>
        <w:tc>
          <w:tcPr>
            <w:tcW w:w="341" w:type="pct"/>
            <w:vMerge w:val="continue"/>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668" w:type="pct"/>
            <w:tcBorders>
              <w:tl2br w:val="nil"/>
              <w:tr2bl w:val="nil"/>
            </w:tcBorders>
            <w:shd w:val="clear" w:color="auto" w:fill="auto"/>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sz w:val="21"/>
                <w:szCs w:val="21"/>
                <w:u w:val="none" w:color="auto"/>
                <w:lang w:val="en-US" w:eastAsia="zh-CN"/>
              </w:rPr>
              <w:t>钟家</w:t>
            </w:r>
            <w:r>
              <w:rPr>
                <w:rFonts w:hint="default" w:ascii="Times New Roman" w:hAnsi="Times New Roman" w:cs="Times New Roman"/>
                <w:sz w:val="21"/>
                <w:szCs w:val="21"/>
                <w:u w:val="none" w:color="auto"/>
              </w:rPr>
              <w:t>居民点</w:t>
            </w:r>
          </w:p>
        </w:tc>
        <w:tc>
          <w:tcPr>
            <w:tcW w:w="804" w:type="pct"/>
            <w:tcBorders>
              <w:tl2br w:val="nil"/>
              <w:tr2bl w:val="nil"/>
            </w:tcBorders>
            <w:shd w:val="clear" w:color="auto" w:fill="auto"/>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居住，</w:t>
            </w:r>
            <w:r>
              <w:rPr>
                <w:rFonts w:hint="eastAsia" w:cs="Times New Roman"/>
                <w:sz w:val="21"/>
                <w:szCs w:val="21"/>
                <w:u w:val="none" w:color="auto"/>
                <w:lang w:val="en-US" w:eastAsia="zh-CN"/>
              </w:rPr>
              <w:t>3</w:t>
            </w:r>
            <w:r>
              <w:rPr>
                <w:rFonts w:hint="default" w:ascii="Times New Roman" w:hAnsi="Times New Roman" w:cs="Times New Roman"/>
                <w:sz w:val="21"/>
                <w:szCs w:val="21"/>
                <w:u w:val="none" w:color="auto"/>
              </w:rPr>
              <w:t>0户，1-2层砖瓦结构</w:t>
            </w:r>
            <w:r>
              <w:rPr>
                <w:rFonts w:hint="eastAsia" w:ascii="Times New Roman" w:hAnsi="Times New Roman" w:cs="Times New Roman"/>
                <w:sz w:val="21"/>
                <w:szCs w:val="21"/>
                <w:u w:val="none" w:color="auto"/>
                <w:lang w:eastAsia="zh-CN"/>
              </w:rPr>
              <w:t>，</w:t>
            </w:r>
            <w:r>
              <w:rPr>
                <w:rFonts w:hint="default" w:ascii="Times New Roman" w:hAnsi="Times New Roman" w:cs="Times New Roman"/>
                <w:sz w:val="21"/>
                <w:szCs w:val="21"/>
                <w:u w:val="none" w:color="auto"/>
              </w:rPr>
              <w:t>E112°10'14.8479"，</w:t>
            </w:r>
          </w:p>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sz w:val="21"/>
                <w:szCs w:val="21"/>
                <w:u w:val="none" w:color="auto"/>
              </w:rPr>
              <w:t>N25°23'11.2045"</w:t>
            </w:r>
          </w:p>
        </w:tc>
        <w:tc>
          <w:tcPr>
            <w:tcW w:w="956" w:type="pct"/>
            <w:tcBorders>
              <w:tl2br w:val="nil"/>
              <w:tr2bl w:val="nil"/>
            </w:tcBorders>
            <w:shd w:val="clear" w:color="auto" w:fill="auto"/>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sz w:val="21"/>
                <w:szCs w:val="21"/>
                <w:u w:val="none" w:color="auto"/>
                <w:lang w:val="en-US" w:eastAsia="zh-CN"/>
              </w:rPr>
              <w:t>进场道路北侧20~200m</w:t>
            </w:r>
          </w:p>
        </w:tc>
        <w:tc>
          <w:tcPr>
            <w:tcW w:w="836"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lang w:val="en-US" w:eastAsia="zh-CN"/>
              </w:rPr>
            </w:pPr>
            <w:r>
              <w:rPr>
                <w:rFonts w:hint="eastAsia" w:cs="Times New Roman"/>
                <w:sz w:val="21"/>
                <w:szCs w:val="21"/>
                <w:u w:val="none" w:color="auto"/>
                <w:lang w:val="en-US" w:eastAsia="zh-CN"/>
              </w:rPr>
              <w:t>运营期交通运输噪声</w:t>
            </w:r>
          </w:p>
        </w:tc>
        <w:tc>
          <w:tcPr>
            <w:tcW w:w="1020" w:type="pct"/>
            <w:tcBorders>
              <w:tl2br w:val="nil"/>
              <w:tr2bl w:val="nil"/>
            </w:tcBorders>
            <w:noWrap w:val="0"/>
            <w:tcMar>
              <w:left w:w="11" w:type="dxa"/>
              <w:right w:w="11"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kern w:val="0"/>
                <w:sz w:val="21"/>
                <w:szCs w:val="21"/>
                <w:u w:val="none" w:color="auto"/>
              </w:rPr>
            </w:pPr>
            <w:r>
              <w:rPr>
                <w:rFonts w:hint="default" w:ascii="Times New Roman" w:hAnsi="Times New Roman" w:cs="Times New Roman"/>
                <w:kern w:val="0"/>
                <w:sz w:val="21"/>
                <w:szCs w:val="21"/>
                <w:u w:val="none" w:color="auto"/>
              </w:rPr>
              <w:t>《环境空气质量标准》（GB3095-2012）中二级标准；</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kern w:val="0"/>
                <w:sz w:val="21"/>
                <w:szCs w:val="21"/>
                <w:u w:val="none" w:color="auto"/>
              </w:rPr>
              <w:t>声环境质量标准》（GB3096-2008）中2类标准</w:t>
            </w:r>
          </w:p>
        </w:tc>
        <w:tc>
          <w:tcPr>
            <w:tcW w:w="371"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不变</w:t>
            </w:r>
          </w:p>
        </w:tc>
      </w:tr>
    </w:tbl>
    <w:p>
      <w:pPr>
        <w:rPr>
          <w:rFonts w:hint="eastAsia" w:ascii="Times New Roman" w:hAnsi="Times New Roman" w:eastAsia="宋体" w:cs="Times New Roman"/>
          <w:color w:val="000000" w:themeColor="text1"/>
          <w:sz w:val="21"/>
          <w:szCs w:val="21"/>
          <w:u w:val="none" w:color="auto"/>
          <w:lang w:val="zh-CN"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zh-CN" w:eastAsia="zh-CN"/>
          <w14:textFill>
            <w14:solidFill>
              <w14:schemeClr w14:val="tx1"/>
            </w14:solidFill>
          </w14:textFill>
        </w:rPr>
        <w:t>注：高程差指风机基座高程减居民点高程。</w:t>
      </w:r>
    </w:p>
    <w:p>
      <w:pPr>
        <w:rPr>
          <w:rFonts w:hint="eastAsia" w:ascii="Times New Roman" w:hAnsi="Times New Roman" w:eastAsia="宋体" w:cs="Times New Roman"/>
          <w:color w:val="000000" w:themeColor="text1"/>
          <w:sz w:val="21"/>
          <w:szCs w:val="21"/>
          <w:u w:val="none" w:color="auto"/>
          <w:lang w:val="zh-CN" w:eastAsia="zh-CN"/>
          <w14:textFill>
            <w14:solidFill>
              <w14:schemeClr w14:val="tx1"/>
            </w14:solidFill>
          </w14:textFill>
        </w:rPr>
      </w:pPr>
    </w:p>
    <w:p>
      <w:pPr>
        <w:pStyle w:val="623"/>
        <w:ind w:firstLine="422"/>
        <w:rPr>
          <w:rFonts w:hint="default" w:eastAsia="宋体"/>
          <w:b/>
          <w:bCs/>
          <w:color w:val="auto"/>
          <w:sz w:val="21"/>
          <w:szCs w:val="16"/>
          <w:lang w:val="en-US" w:eastAsia="zh-CN"/>
        </w:rPr>
      </w:pPr>
      <w:r>
        <w:rPr>
          <w:rFonts w:hint="eastAsia"/>
          <w:b/>
          <w:bCs/>
          <w:color w:val="auto"/>
          <w:sz w:val="21"/>
          <w:szCs w:val="16"/>
        </w:rPr>
        <w:t>项目</w:t>
      </w:r>
      <w:r>
        <w:rPr>
          <w:rFonts w:hint="eastAsia" w:ascii="Times New Roman" w:hAnsi="Times New Roman" w:eastAsia="宋体" w:cs="Times New Roman"/>
          <w:color w:val="000000" w:themeColor="text1"/>
          <w:u w:val="none" w:color="auto"/>
          <w:lang w:eastAsia="zh-CN"/>
          <w14:textFill>
            <w14:solidFill>
              <w14:schemeClr w14:val="tx1"/>
            </w14:solidFill>
          </w14:textFill>
        </w:rPr>
        <w:t>周边</w:t>
      </w:r>
      <w:r>
        <w:rPr>
          <w:rFonts w:hint="eastAsia"/>
          <w:b/>
          <w:bCs/>
          <w:color w:val="auto"/>
          <w:sz w:val="21"/>
          <w:szCs w:val="16"/>
          <w:lang w:val="en-US" w:eastAsia="zh-CN"/>
        </w:rPr>
        <w:t>饮用水源保护区划定情况一览表</w:t>
      </w:r>
    </w:p>
    <w:tbl>
      <w:tblPr>
        <w:tblStyle w:val="88"/>
        <w:tblW w:w="1436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2109"/>
        <w:gridCol w:w="1083"/>
        <w:gridCol w:w="1317"/>
        <w:gridCol w:w="3313"/>
        <w:gridCol w:w="3396"/>
        <w:gridCol w:w="31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07" w:hRule="atLeast"/>
          <w:jc w:val="center"/>
        </w:trPr>
        <w:tc>
          <w:tcPr>
            <w:tcW w:w="2109" w:type="dxa"/>
            <w:vMerge w:val="restart"/>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b/>
                <w:bCs/>
                <w:sz w:val="21"/>
                <w:szCs w:val="21"/>
                <w:u w:val="none" w:color="auto"/>
              </w:rPr>
            </w:pPr>
            <w:r>
              <w:rPr>
                <w:rFonts w:hint="eastAsia" w:ascii="Times New Roman" w:hAnsi="Times New Roman" w:eastAsia="宋体" w:cs="Times New Roman"/>
                <w:b/>
                <w:bCs/>
                <w:sz w:val="21"/>
                <w:szCs w:val="21"/>
                <w:u w:val="none" w:color="auto"/>
                <w:lang w:eastAsia="zh-CN"/>
              </w:rPr>
              <w:t>保护区</w:t>
            </w:r>
            <w:r>
              <w:rPr>
                <w:rFonts w:hint="default" w:ascii="Times New Roman" w:hAnsi="Times New Roman" w:eastAsia="宋体" w:cs="Times New Roman"/>
                <w:b/>
                <w:bCs/>
                <w:sz w:val="21"/>
                <w:szCs w:val="21"/>
                <w:u w:val="none" w:color="auto"/>
              </w:rPr>
              <w:t>名称</w:t>
            </w:r>
          </w:p>
        </w:tc>
        <w:tc>
          <w:tcPr>
            <w:tcW w:w="1083" w:type="dxa"/>
            <w:vMerge w:val="restart"/>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b/>
                <w:bCs/>
                <w:sz w:val="21"/>
                <w:szCs w:val="21"/>
                <w:u w:val="none" w:color="auto"/>
                <w:lang w:val="en-US" w:eastAsia="zh-CN"/>
              </w:rPr>
            </w:pPr>
            <w:r>
              <w:rPr>
                <w:rFonts w:hint="eastAsia" w:cs="Times New Roman"/>
                <w:b/>
                <w:bCs/>
                <w:sz w:val="21"/>
                <w:szCs w:val="21"/>
                <w:u w:val="none" w:color="auto"/>
                <w:lang w:val="en-US" w:eastAsia="zh-CN"/>
              </w:rPr>
              <w:t>类型</w:t>
            </w:r>
          </w:p>
        </w:tc>
        <w:tc>
          <w:tcPr>
            <w:tcW w:w="1317" w:type="dxa"/>
            <w:vMerge w:val="restart"/>
            <w:tcBorders>
              <w:tl2br w:val="nil"/>
              <w:tr2bl w:val="nil"/>
            </w:tcBorders>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b/>
                <w:bCs/>
                <w:sz w:val="21"/>
                <w:szCs w:val="21"/>
                <w:u w:val="none" w:color="auto"/>
                <w:lang w:val="en-US" w:eastAsia="zh-CN"/>
              </w:rPr>
            </w:pPr>
            <w:r>
              <w:rPr>
                <w:rFonts w:hint="eastAsia" w:cs="Times New Roman"/>
                <w:b/>
                <w:bCs/>
                <w:sz w:val="21"/>
                <w:szCs w:val="21"/>
                <w:u w:val="none" w:color="auto"/>
                <w:lang w:val="en-US" w:eastAsia="zh-CN"/>
              </w:rPr>
              <w:t>级别</w:t>
            </w:r>
          </w:p>
        </w:tc>
        <w:tc>
          <w:tcPr>
            <w:tcW w:w="6709" w:type="dxa"/>
            <w:gridSpan w:val="2"/>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范围及面积</w:t>
            </w:r>
          </w:p>
        </w:tc>
        <w:tc>
          <w:tcPr>
            <w:tcW w:w="3149" w:type="dxa"/>
            <w:vMerge w:val="restart"/>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b/>
                <w:bCs/>
                <w:sz w:val="21"/>
                <w:szCs w:val="21"/>
                <w:highlight w:val="none"/>
                <w:u w:val="none" w:color="auto"/>
                <w:lang w:eastAsia="zh-CN"/>
              </w:rPr>
            </w:pPr>
            <w:r>
              <w:rPr>
                <w:rFonts w:hint="default" w:ascii="Times New Roman" w:hAnsi="Times New Roman" w:eastAsia="宋体" w:cs="Times New Roman"/>
                <w:b/>
                <w:bCs/>
                <w:sz w:val="21"/>
                <w:szCs w:val="21"/>
                <w:highlight w:val="none"/>
                <w:u w:val="none" w:color="auto"/>
                <w:lang w:eastAsia="zh-CN"/>
              </w:rPr>
              <w:t>与本项目相对位置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07" w:hRule="atLeast"/>
          <w:jc w:val="center"/>
        </w:trPr>
        <w:tc>
          <w:tcPr>
            <w:tcW w:w="2109" w:type="dxa"/>
            <w:vMerge w:val="continue"/>
            <w:tcBorders>
              <w:tl2br w:val="nil"/>
              <w:tr2bl w:val="nil"/>
            </w:tcBorders>
            <w:noWrap w:val="0"/>
            <w:vAlign w:val="center"/>
          </w:tcPr>
          <w:p>
            <w:pPr>
              <w:widowControl w:val="0"/>
              <w:adjustRightInd/>
              <w:snapToGrid/>
              <w:spacing w:line="240" w:lineRule="auto"/>
              <w:ind w:firstLine="0" w:firstLineChars="0"/>
              <w:jc w:val="center"/>
              <w:rPr>
                <w:sz w:val="21"/>
                <w:szCs w:val="21"/>
                <w:u w:val="none" w:color="auto"/>
              </w:rPr>
            </w:pPr>
          </w:p>
        </w:tc>
        <w:tc>
          <w:tcPr>
            <w:tcW w:w="1083" w:type="dxa"/>
            <w:vMerge w:val="continue"/>
            <w:tcBorders>
              <w:tl2br w:val="nil"/>
              <w:tr2bl w:val="nil"/>
            </w:tcBorders>
            <w:noWrap w:val="0"/>
            <w:vAlign w:val="center"/>
          </w:tcPr>
          <w:p>
            <w:pPr>
              <w:widowControl w:val="0"/>
              <w:adjustRightInd/>
              <w:snapToGrid/>
              <w:spacing w:line="240" w:lineRule="auto"/>
              <w:ind w:firstLine="0" w:firstLineChars="0"/>
              <w:jc w:val="center"/>
              <w:rPr>
                <w:sz w:val="21"/>
                <w:szCs w:val="21"/>
                <w:u w:val="none" w:color="auto"/>
              </w:rPr>
            </w:pPr>
          </w:p>
        </w:tc>
        <w:tc>
          <w:tcPr>
            <w:tcW w:w="1317" w:type="dxa"/>
            <w:vMerge w:val="continue"/>
            <w:tcBorders>
              <w:tl2br w:val="nil"/>
              <w:tr2bl w:val="nil"/>
            </w:tcBorders>
            <w:noWrap w:val="0"/>
            <w:vAlign w:val="center"/>
          </w:tcPr>
          <w:p>
            <w:pPr>
              <w:widowControl w:val="0"/>
              <w:adjustRightInd/>
              <w:snapToGrid/>
              <w:spacing w:line="240" w:lineRule="auto"/>
              <w:ind w:firstLine="0" w:firstLineChars="0"/>
              <w:jc w:val="center"/>
              <w:rPr>
                <w:sz w:val="21"/>
                <w:szCs w:val="21"/>
                <w:u w:val="none" w:color="auto"/>
              </w:rPr>
            </w:pPr>
          </w:p>
        </w:tc>
        <w:tc>
          <w:tcPr>
            <w:tcW w:w="3313" w:type="dxa"/>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b/>
                <w:bCs/>
                <w:kern w:val="2"/>
                <w:sz w:val="21"/>
                <w:szCs w:val="21"/>
                <w:u w:val="none" w:color="auto"/>
                <w:lang w:val="en-US" w:eastAsia="zh-CN" w:bidi="ar-SA"/>
              </w:rPr>
            </w:pPr>
            <w:r>
              <w:rPr>
                <w:rFonts w:hint="eastAsia" w:ascii="Times New Roman" w:hAnsi="Times New Roman" w:eastAsia="宋体" w:cs="Times New Roman"/>
                <w:b/>
                <w:bCs/>
                <w:sz w:val="21"/>
                <w:szCs w:val="21"/>
                <w:u w:val="none" w:color="auto"/>
                <w:lang w:eastAsia="zh-CN"/>
              </w:rPr>
              <w:t>水域</w:t>
            </w:r>
          </w:p>
        </w:tc>
        <w:tc>
          <w:tcPr>
            <w:tcW w:w="3396" w:type="dxa"/>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b/>
                <w:bCs/>
                <w:kern w:val="2"/>
                <w:sz w:val="21"/>
                <w:szCs w:val="21"/>
                <w:u w:val="none" w:color="auto"/>
                <w:lang w:val="en-US" w:eastAsia="zh-CN" w:bidi="ar-SA"/>
              </w:rPr>
            </w:pPr>
            <w:r>
              <w:rPr>
                <w:rFonts w:hint="eastAsia" w:ascii="Times New Roman" w:hAnsi="Times New Roman" w:eastAsia="宋体" w:cs="Times New Roman"/>
                <w:b/>
                <w:bCs/>
                <w:sz w:val="21"/>
                <w:szCs w:val="21"/>
                <w:u w:val="none" w:color="auto"/>
                <w:lang w:eastAsia="zh-CN"/>
              </w:rPr>
              <w:t>陆域</w:t>
            </w:r>
          </w:p>
        </w:tc>
        <w:tc>
          <w:tcPr>
            <w:tcW w:w="3149" w:type="dxa"/>
            <w:vMerge w:val="continue"/>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b/>
                <w:bCs/>
                <w:sz w:val="21"/>
                <w:szCs w:val="21"/>
                <w:highlight w:val="none"/>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568" w:hRule="atLeast"/>
          <w:jc w:val="center"/>
        </w:trPr>
        <w:tc>
          <w:tcPr>
            <w:tcW w:w="2109" w:type="dxa"/>
            <w:vMerge w:val="restart"/>
            <w:tcBorders>
              <w:tl2br w:val="nil"/>
              <w:tr2bl w:val="nil"/>
            </w:tcBorders>
            <w:shd w:val="clear" w:color="auto" w:fill="auto"/>
            <w:noWrap w:val="0"/>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z w:val="21"/>
                <w:szCs w:val="21"/>
                <w:u w:val="none" w:color="auto"/>
              </w:rPr>
            </w:pPr>
            <w:r>
              <w:rPr>
                <w:rFonts w:hint="eastAsia" w:ascii="Times New Roman" w:hAnsi="Times New Roman" w:cs="Times New Roman"/>
                <w:sz w:val="21"/>
                <w:szCs w:val="21"/>
                <w:u w:val="none" w:color="auto"/>
                <w:lang w:val="en-US" w:eastAsia="zh-CN"/>
              </w:rPr>
              <w:t>蓝山县塔峰镇两江口水库饮用水水源保护区</w:t>
            </w:r>
          </w:p>
        </w:tc>
        <w:tc>
          <w:tcPr>
            <w:tcW w:w="1083" w:type="dxa"/>
            <w:vMerge w:val="restart"/>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sz w:val="21"/>
                <w:szCs w:val="21"/>
                <w:u w:val="none" w:color="auto"/>
                <w:lang w:val="en-US" w:eastAsia="zh-CN"/>
              </w:rPr>
            </w:pPr>
            <w:r>
              <w:rPr>
                <w:rFonts w:hint="eastAsia" w:cs="Times New Roman"/>
                <w:sz w:val="21"/>
                <w:szCs w:val="21"/>
                <w:u w:val="none" w:color="auto"/>
                <w:lang w:val="en-US" w:eastAsia="zh-CN"/>
              </w:rPr>
              <w:t>湖库</w:t>
            </w:r>
          </w:p>
        </w:tc>
        <w:tc>
          <w:tcPr>
            <w:tcW w:w="1317" w:type="dxa"/>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sz w:val="21"/>
                <w:szCs w:val="21"/>
                <w:u w:val="none" w:color="auto"/>
              </w:rPr>
              <w:t>一级保护区</w:t>
            </w:r>
          </w:p>
        </w:tc>
        <w:tc>
          <w:tcPr>
            <w:tcW w:w="3313" w:type="dxa"/>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bCs/>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sz w:val="21"/>
                <w:szCs w:val="21"/>
                <w:u w:val="none" w:color="auto"/>
                <w:lang w:val="en-US" w:eastAsia="zh-CN"/>
              </w:rPr>
              <w:t>两江口水库水域</w:t>
            </w:r>
          </w:p>
        </w:tc>
        <w:tc>
          <w:tcPr>
            <w:tcW w:w="3396" w:type="dxa"/>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bCs/>
                <w:color w:val="000000" w:themeColor="text1"/>
                <w:kern w:val="0"/>
                <w:sz w:val="21"/>
                <w:szCs w:val="21"/>
                <w:u w:val="none" w:color="auto"/>
                <w:lang w:val="en-US" w:eastAsia="zh-CN" w:bidi="ar-SA"/>
                <w14:textFill>
                  <w14:solidFill>
                    <w14:schemeClr w14:val="tx1"/>
                  </w14:solidFill>
                </w14:textFill>
              </w:rPr>
            </w:pPr>
            <w:r>
              <w:rPr>
                <w:rFonts w:hint="eastAsia" w:ascii="Times New Roman" w:hAnsi="Times New Roman" w:cs="Times New Roman"/>
                <w:sz w:val="21"/>
                <w:szCs w:val="21"/>
                <w:u w:val="none" w:color="auto"/>
                <w:lang w:val="en-US" w:eastAsia="zh-CN"/>
              </w:rPr>
              <w:t>一级水域保护区外200m范围内的陆域，不超过道路迎水侧路肩、大坝迎水侧坝顶</w:t>
            </w:r>
          </w:p>
        </w:tc>
        <w:tc>
          <w:tcPr>
            <w:tcW w:w="3149" w:type="dxa"/>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bCs/>
                <w:color w:val="000000"/>
                <w:sz w:val="21"/>
                <w:szCs w:val="21"/>
                <w:highlight w:val="none"/>
                <w:u w:val="none" w:color="auto"/>
                <w:lang w:val="en-US" w:eastAsia="zh-CN"/>
              </w:rPr>
            </w:pPr>
            <w:r>
              <w:rPr>
                <w:rFonts w:hint="eastAsia" w:cs="Times New Roman"/>
                <w:bCs/>
                <w:color w:val="000000"/>
                <w:sz w:val="21"/>
                <w:szCs w:val="21"/>
                <w:highlight w:val="none"/>
                <w:u w:val="none" w:color="auto"/>
                <w:lang w:val="en-US" w:eastAsia="zh-CN"/>
              </w:rPr>
              <w:t>依托的进场道路邻近，距离一级水域保护区最近10m</w:t>
            </w:r>
            <w:r>
              <w:rPr>
                <w:rFonts w:hint="eastAsia" w:cs="Times New Roman"/>
                <w:sz w:val="21"/>
                <w:szCs w:val="21"/>
                <w:u w:val="none" w:color="auto"/>
                <w:lang w:val="en-US" w:eastAsia="zh-CN"/>
              </w:rPr>
              <w:t>，</w:t>
            </w:r>
            <w:r>
              <w:rPr>
                <w:rFonts w:hint="eastAsia" w:cs="Times New Roman"/>
                <w:bCs/>
                <w:color w:val="000000"/>
                <w:sz w:val="21"/>
                <w:szCs w:val="21"/>
                <w:highlight w:val="none"/>
                <w:u w:val="none" w:color="auto"/>
                <w:lang w:val="en-US" w:eastAsia="zh-CN"/>
              </w:rPr>
              <w:t>距离取水口最近90m。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844" w:hRule="atLeast"/>
          <w:jc w:val="center"/>
        </w:trPr>
        <w:tc>
          <w:tcPr>
            <w:tcW w:w="2109" w:type="dxa"/>
            <w:vMerge w:val="continue"/>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sz w:val="21"/>
                <w:szCs w:val="21"/>
                <w:u w:val="none" w:color="auto"/>
              </w:rPr>
            </w:pPr>
          </w:p>
        </w:tc>
        <w:tc>
          <w:tcPr>
            <w:tcW w:w="1083" w:type="dxa"/>
            <w:vMerge w:val="continue"/>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sz w:val="21"/>
                <w:szCs w:val="21"/>
                <w:u w:val="none" w:color="auto"/>
              </w:rPr>
            </w:pPr>
          </w:p>
        </w:tc>
        <w:tc>
          <w:tcPr>
            <w:tcW w:w="1317" w:type="dxa"/>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sz w:val="21"/>
                <w:szCs w:val="21"/>
                <w:u w:val="none" w:color="auto"/>
              </w:rPr>
              <w:t>二级保护区</w:t>
            </w:r>
          </w:p>
        </w:tc>
        <w:tc>
          <w:tcPr>
            <w:tcW w:w="3313" w:type="dxa"/>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bCs/>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sz w:val="21"/>
                <w:szCs w:val="21"/>
                <w:u w:val="none" w:color="auto"/>
                <w:lang w:val="en-US" w:eastAsia="zh-CN"/>
              </w:rPr>
              <w:t>老婆洞河汇入两江口水库至源头的水域</w:t>
            </w:r>
          </w:p>
        </w:tc>
        <w:tc>
          <w:tcPr>
            <w:tcW w:w="3396" w:type="dxa"/>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bCs/>
                <w:color w:val="000000" w:themeColor="text1"/>
                <w:kern w:val="0"/>
                <w:sz w:val="21"/>
                <w:szCs w:val="21"/>
                <w:u w:val="none" w:color="auto"/>
                <w:lang w:val="en-US" w:eastAsia="zh-CN" w:bidi="ar-SA"/>
                <w14:textFill>
                  <w14:solidFill>
                    <w14:schemeClr w14:val="tx1"/>
                  </w14:solidFill>
                </w14:textFill>
              </w:rPr>
            </w:pPr>
            <w:r>
              <w:rPr>
                <w:rFonts w:hint="eastAsia" w:ascii="Times New Roman" w:hAnsi="Times New Roman" w:cs="Times New Roman"/>
                <w:sz w:val="21"/>
                <w:szCs w:val="21"/>
                <w:u w:val="none" w:color="auto"/>
                <w:lang w:val="en-US" w:eastAsia="zh-CN"/>
              </w:rPr>
              <w:t>两江口水库汇水区域（一级保护区陆域除外）</w:t>
            </w:r>
          </w:p>
        </w:tc>
        <w:tc>
          <w:tcPr>
            <w:tcW w:w="3149" w:type="dxa"/>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bCs/>
                <w:color w:val="000000"/>
                <w:sz w:val="21"/>
                <w:szCs w:val="21"/>
                <w:highlight w:val="yellow"/>
                <w:u w:val="none" w:color="auto"/>
                <w:lang w:val="en-US" w:eastAsia="zh-CN"/>
              </w:rPr>
            </w:pPr>
            <w:r>
              <w:rPr>
                <w:rFonts w:hint="eastAsia" w:cs="Times New Roman"/>
                <w:bCs/>
                <w:color w:val="000000"/>
                <w:sz w:val="21"/>
                <w:szCs w:val="21"/>
                <w:highlight w:val="none"/>
                <w:u w:val="none" w:color="auto"/>
                <w:lang w:val="en-US" w:eastAsia="zh-CN"/>
              </w:rPr>
              <w:t>进场道路位于二级陆域保护区，15风机距离</w:t>
            </w:r>
            <w:r>
              <w:rPr>
                <w:rFonts w:hint="eastAsia" w:cs="Times New Roman"/>
                <w:sz w:val="21"/>
                <w:szCs w:val="21"/>
                <w:u w:val="none" w:color="auto"/>
                <w:lang w:val="en-US" w:eastAsia="zh-CN"/>
              </w:rPr>
              <w:t>二级陆域保护区1.6km，无水力联系。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844" w:hRule="atLeast"/>
          <w:jc w:val="center"/>
        </w:trPr>
        <w:tc>
          <w:tcPr>
            <w:tcW w:w="2109" w:type="dxa"/>
            <w:vMerge w:val="restart"/>
            <w:tcBorders>
              <w:tl2br w:val="nil"/>
              <w:tr2bl w:val="nil"/>
            </w:tcBorders>
            <w:shd w:val="clear" w:color="auto" w:fill="auto"/>
            <w:noWrap w:val="0"/>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sz w:val="21"/>
                <w:szCs w:val="21"/>
                <w:u w:val="none" w:color="auto"/>
                <w:lang w:val="en-US" w:eastAsia="zh-CN"/>
              </w:rPr>
              <w:t>蓝山县新田湾河饮用水水源保护区</w:t>
            </w:r>
          </w:p>
        </w:tc>
        <w:tc>
          <w:tcPr>
            <w:tcW w:w="1083" w:type="dxa"/>
            <w:vMerge w:val="restart"/>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sz w:val="21"/>
                <w:szCs w:val="21"/>
                <w:u w:val="none" w:color="auto"/>
                <w:lang w:val="en-US" w:eastAsia="zh-CN"/>
              </w:rPr>
            </w:pPr>
            <w:r>
              <w:rPr>
                <w:rFonts w:hint="eastAsia" w:cs="Times New Roman"/>
                <w:sz w:val="21"/>
                <w:szCs w:val="21"/>
                <w:u w:val="none" w:color="auto"/>
                <w:lang w:val="en-US" w:eastAsia="zh-CN"/>
              </w:rPr>
              <w:t>河流</w:t>
            </w:r>
          </w:p>
        </w:tc>
        <w:tc>
          <w:tcPr>
            <w:tcW w:w="1317" w:type="dxa"/>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sz w:val="21"/>
                <w:szCs w:val="21"/>
                <w:u w:val="none" w:color="auto"/>
              </w:rPr>
              <w:t>一级保护区</w:t>
            </w:r>
          </w:p>
        </w:tc>
        <w:tc>
          <w:tcPr>
            <w:tcW w:w="3313" w:type="dxa"/>
            <w:tcBorders>
              <w:tl2br w:val="nil"/>
              <w:tr2bl w:val="nil"/>
            </w:tcBorders>
            <w:noWrap w:val="0"/>
            <w:vAlign w:val="center"/>
          </w:tcPr>
          <w:p>
            <w:pPr>
              <w:spacing w:line="240" w:lineRule="auto"/>
              <w:ind w:firstLine="0" w:firstLineChars="0"/>
              <w:jc w:val="center"/>
              <w:rPr>
                <w:rFonts w:hint="eastAsia" w:ascii="Times New Roman" w:hAnsi="Times New Roman" w:eastAsia="宋体" w:cs="Times New Roman"/>
                <w:bCs/>
                <w:sz w:val="21"/>
                <w:szCs w:val="21"/>
                <w:u w:val="none" w:color="auto"/>
                <w:lang w:val="en-US" w:eastAsia="zh-CN"/>
              </w:rPr>
            </w:pPr>
            <w:r>
              <w:rPr>
                <w:rFonts w:ascii="Times New Roman" w:hAnsi="Times New Roman"/>
                <w:kern w:val="0"/>
                <w:sz w:val="21"/>
                <w:szCs w:val="21"/>
              </w:rPr>
              <w:t>蓝山县永发供水有限公司（蓝山县二水厂）取水口上游1000m至取水口下游200m范围5年一遇洪水淹没区。</w:t>
            </w:r>
          </w:p>
        </w:tc>
        <w:tc>
          <w:tcPr>
            <w:tcW w:w="3396" w:type="dxa"/>
            <w:tcBorders>
              <w:tl2br w:val="nil"/>
              <w:tr2bl w:val="nil"/>
            </w:tcBorders>
            <w:noWrap w:val="0"/>
            <w:vAlign w:val="center"/>
          </w:tcPr>
          <w:p>
            <w:pPr>
              <w:widowControl/>
              <w:wordWrap w:val="0"/>
              <w:spacing w:line="240" w:lineRule="auto"/>
              <w:ind w:firstLine="0" w:firstLineChars="0"/>
              <w:jc w:val="center"/>
              <w:rPr>
                <w:rFonts w:hint="eastAsia" w:ascii="Times New Roman" w:hAnsi="Times New Roman" w:eastAsia="宋体" w:cs="Times New Roman"/>
                <w:bCs/>
                <w:kern w:val="0"/>
                <w:sz w:val="21"/>
                <w:szCs w:val="21"/>
                <w:u w:val="none" w:color="auto"/>
                <w:lang w:eastAsia="zh-CN"/>
              </w:rPr>
            </w:pPr>
            <w:r>
              <w:rPr>
                <w:rFonts w:hint="eastAsia" w:ascii="宋体" w:hAnsi="宋体" w:eastAsia="宋体"/>
                <w:color w:val="000000"/>
                <w:sz w:val="21"/>
                <w:szCs w:val="21"/>
              </w:rPr>
              <w:t>一级保护区水域边界沿岸纵深</w:t>
            </w:r>
            <w:r>
              <w:rPr>
                <w:rFonts w:hint="eastAsia" w:ascii="Times New Roman" w:hAnsi="Times New Roman" w:eastAsia="Times New Roman"/>
                <w:color w:val="000000"/>
                <w:sz w:val="21"/>
                <w:szCs w:val="21"/>
              </w:rPr>
              <w:t>50</w:t>
            </w:r>
            <w:r>
              <w:rPr>
                <w:rFonts w:hint="eastAsia" w:ascii="宋体" w:hAnsi="宋体" w:eastAsia="宋体"/>
                <w:color w:val="000000"/>
                <w:sz w:val="21"/>
                <w:szCs w:val="21"/>
              </w:rPr>
              <w:t>米，不超过道路路肩、第一重山脊线。</w:t>
            </w:r>
          </w:p>
        </w:tc>
        <w:tc>
          <w:tcPr>
            <w:tcW w:w="3149" w:type="dxa"/>
            <w:tcBorders>
              <w:tl2br w:val="nil"/>
              <w:tr2bl w:val="nil"/>
            </w:tcBorders>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bCs/>
                <w:color w:val="000000"/>
                <w:sz w:val="21"/>
                <w:szCs w:val="21"/>
                <w:highlight w:val="none"/>
                <w:u w:val="none" w:color="auto"/>
                <w:lang w:val="en-US" w:eastAsia="zh-CN"/>
              </w:rPr>
            </w:pPr>
            <w:r>
              <w:rPr>
                <w:rFonts w:hint="eastAsia" w:ascii="Times New Roman" w:hAnsi="Times New Roman" w:eastAsia="宋体" w:cs="Times New Roman"/>
                <w:bCs/>
                <w:color w:val="000000"/>
                <w:sz w:val="21"/>
                <w:szCs w:val="21"/>
                <w:highlight w:val="none"/>
                <w:u w:val="none" w:color="auto"/>
                <w:lang w:val="en-US" w:eastAsia="zh-CN"/>
              </w:rPr>
              <w:t>15号风机距离一级陆域保护区最近2.2km，距离取水口2.8km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844" w:hRule="atLeast"/>
          <w:jc w:val="center"/>
        </w:trPr>
        <w:tc>
          <w:tcPr>
            <w:tcW w:w="2109" w:type="dxa"/>
            <w:vMerge w:val="continue"/>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sz w:val="21"/>
                <w:szCs w:val="21"/>
                <w:u w:val="none" w:color="auto"/>
              </w:rPr>
            </w:pPr>
          </w:p>
        </w:tc>
        <w:tc>
          <w:tcPr>
            <w:tcW w:w="1083" w:type="dxa"/>
            <w:vMerge w:val="continue"/>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sz w:val="21"/>
                <w:szCs w:val="21"/>
                <w:u w:val="none" w:color="auto"/>
              </w:rPr>
            </w:pPr>
          </w:p>
        </w:tc>
        <w:tc>
          <w:tcPr>
            <w:tcW w:w="1317" w:type="dxa"/>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sz w:val="21"/>
                <w:szCs w:val="21"/>
                <w:u w:val="none" w:color="auto"/>
              </w:rPr>
              <w:t>二级保护区</w:t>
            </w:r>
          </w:p>
        </w:tc>
        <w:tc>
          <w:tcPr>
            <w:tcW w:w="3313" w:type="dxa"/>
            <w:tcBorders>
              <w:tl2br w:val="nil"/>
              <w:tr2bl w:val="nil"/>
            </w:tcBorders>
            <w:noWrap w:val="0"/>
            <w:vAlign w:val="center"/>
          </w:tcPr>
          <w:p>
            <w:pPr>
              <w:spacing w:line="240" w:lineRule="auto"/>
              <w:ind w:firstLine="0" w:firstLineChars="0"/>
              <w:jc w:val="center"/>
              <w:rPr>
                <w:rFonts w:hint="eastAsia" w:ascii="Times New Roman" w:hAnsi="Times New Roman" w:eastAsia="宋体" w:cs="Times New Roman"/>
                <w:bCs/>
                <w:sz w:val="21"/>
                <w:szCs w:val="21"/>
                <w:u w:val="none" w:color="auto"/>
                <w:lang w:val="en-US" w:eastAsia="zh-CN"/>
              </w:rPr>
            </w:pPr>
            <w:r>
              <w:rPr>
                <w:rFonts w:ascii="Times New Roman" w:hAnsi="Times New Roman"/>
                <w:kern w:val="0"/>
                <w:sz w:val="21"/>
                <w:szCs w:val="21"/>
              </w:rPr>
              <w:t>蓝山县永发供水有限公司（蓝山县二水厂）取水口上游5000m至取水口上游1000m。二级保护区水域宽度为10年一遇洪水所能淹没的区域。</w:t>
            </w:r>
          </w:p>
        </w:tc>
        <w:tc>
          <w:tcPr>
            <w:tcW w:w="3396" w:type="dxa"/>
            <w:tcBorders>
              <w:tl2br w:val="nil"/>
              <w:tr2bl w:val="nil"/>
            </w:tcBorders>
            <w:noWrap w:val="0"/>
            <w:vAlign w:val="center"/>
          </w:tcPr>
          <w:p>
            <w:pPr>
              <w:spacing w:line="240" w:lineRule="auto"/>
              <w:ind w:firstLine="0" w:firstLineChars="0"/>
              <w:jc w:val="center"/>
              <w:rPr>
                <w:rFonts w:hint="eastAsia" w:ascii="Times New Roman" w:hAnsi="Times New Roman" w:eastAsia="宋体" w:cs="Times New Roman"/>
                <w:bCs/>
                <w:kern w:val="0"/>
                <w:sz w:val="21"/>
                <w:szCs w:val="21"/>
                <w:u w:val="none" w:color="auto"/>
                <w:lang w:eastAsia="zh-CN"/>
              </w:rPr>
            </w:pPr>
            <w:r>
              <w:rPr>
                <w:rFonts w:hint="eastAsia" w:ascii="Times New Roman" w:hAnsi="Times New Roman"/>
                <w:kern w:val="0"/>
                <w:sz w:val="21"/>
                <w:szCs w:val="21"/>
              </w:rPr>
              <w:t xml:space="preserve">一、二级保护区水域边界向陆域纵深1000米，且不超过第一重山脊线和道路路肩（一级保护区除外）。 </w:t>
            </w:r>
          </w:p>
        </w:tc>
        <w:tc>
          <w:tcPr>
            <w:tcW w:w="3149" w:type="dxa"/>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bCs/>
                <w:color w:val="000000"/>
                <w:sz w:val="21"/>
                <w:szCs w:val="21"/>
                <w:highlight w:val="none"/>
                <w:u w:val="none" w:color="auto"/>
                <w:lang w:val="en-US" w:eastAsia="zh-CN"/>
              </w:rPr>
            </w:pPr>
            <w:r>
              <w:rPr>
                <w:rFonts w:hint="eastAsia" w:ascii="Times New Roman" w:hAnsi="Times New Roman" w:eastAsia="宋体" w:cs="Times New Roman"/>
                <w:bCs/>
                <w:color w:val="000000"/>
                <w:sz w:val="21"/>
                <w:szCs w:val="21"/>
                <w:highlight w:val="none"/>
                <w:u w:val="none" w:color="auto"/>
                <w:lang w:val="en-US" w:eastAsia="zh-CN"/>
              </w:rPr>
              <w:t>15号风机距离二级陆域保护区最近10m，距离二级水域保护区最近695m。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844" w:hRule="atLeast"/>
          <w:jc w:val="center"/>
        </w:trPr>
        <w:tc>
          <w:tcPr>
            <w:tcW w:w="2109" w:type="dxa"/>
            <w:vMerge w:val="restart"/>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sz w:val="21"/>
                <w:szCs w:val="21"/>
                <w:u w:val="none" w:color="auto"/>
              </w:rPr>
            </w:pPr>
            <w:r>
              <w:rPr>
                <w:rFonts w:hint="eastAsia" w:ascii="Times New Roman" w:hAnsi="Times New Roman" w:cs="Times New Roman"/>
                <w:sz w:val="21"/>
                <w:szCs w:val="21"/>
                <w:u w:val="none" w:color="auto"/>
                <w:lang w:val="en-US" w:eastAsia="zh-CN"/>
              </w:rPr>
              <w:t>蓝山县</w:t>
            </w:r>
            <w:r>
              <w:rPr>
                <w:rFonts w:hint="default" w:ascii="Times New Roman" w:hAnsi="Times New Roman" w:eastAsia="宋体" w:cs="Times New Roman"/>
                <w:sz w:val="21"/>
                <w:szCs w:val="21"/>
                <w:u w:val="none" w:color="auto"/>
              </w:rPr>
              <w:t>塔峰镇岭脚村山溪水饮用水水源保护区</w:t>
            </w:r>
          </w:p>
        </w:tc>
        <w:tc>
          <w:tcPr>
            <w:tcW w:w="1083" w:type="dxa"/>
            <w:vMerge w:val="restart"/>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sz w:val="21"/>
                <w:szCs w:val="21"/>
                <w:u w:val="none" w:color="auto"/>
              </w:rPr>
            </w:pPr>
            <w:r>
              <w:rPr>
                <w:rFonts w:hint="eastAsia" w:cs="Times New Roman"/>
                <w:sz w:val="21"/>
                <w:szCs w:val="21"/>
                <w:u w:val="none" w:color="auto"/>
                <w:lang w:val="en-US" w:eastAsia="zh-CN"/>
              </w:rPr>
              <w:t>河流</w:t>
            </w:r>
          </w:p>
        </w:tc>
        <w:tc>
          <w:tcPr>
            <w:tcW w:w="1317" w:type="dxa"/>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sz w:val="21"/>
                <w:szCs w:val="21"/>
                <w:u w:val="none" w:color="auto"/>
              </w:rPr>
              <w:t>一级保护区</w:t>
            </w:r>
          </w:p>
        </w:tc>
        <w:tc>
          <w:tcPr>
            <w:tcW w:w="3313" w:type="dxa"/>
            <w:tcBorders>
              <w:tl2br w:val="nil"/>
              <w:tr2bl w:val="nil"/>
            </w:tcBorders>
            <w:noWrap w:val="0"/>
            <w:vAlign w:val="center"/>
          </w:tcPr>
          <w:p>
            <w:pPr>
              <w:widowControl w:val="0"/>
              <w:adjustRightInd/>
              <w:snapToGrid/>
              <w:spacing w:line="240" w:lineRule="auto"/>
              <w:ind w:firstLine="0" w:firstLineChars="0"/>
              <w:jc w:val="center"/>
              <w:rPr>
                <w:rFonts w:hint="eastAsia"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取水口至上游330米的山溪水域。</w:t>
            </w:r>
          </w:p>
        </w:tc>
        <w:tc>
          <w:tcPr>
            <w:tcW w:w="3396" w:type="dxa"/>
            <w:tcBorders>
              <w:tl2br w:val="nil"/>
              <w:tr2bl w:val="nil"/>
            </w:tcBorders>
            <w:noWrap w:val="0"/>
            <w:vAlign w:val="center"/>
          </w:tcPr>
          <w:p>
            <w:pPr>
              <w:widowControl w:val="0"/>
              <w:adjustRightInd/>
              <w:snapToGrid/>
              <w:spacing w:line="240" w:lineRule="auto"/>
              <w:ind w:firstLine="0" w:firstLineChars="0"/>
              <w:jc w:val="center"/>
              <w:rPr>
                <w:rFonts w:hint="eastAsia" w:ascii="Times New Roman" w:hAnsi="Times New Roman" w:cs="Times New Roman"/>
                <w:sz w:val="21"/>
                <w:szCs w:val="21"/>
                <w:u w:val="none" w:color="auto"/>
                <w:lang w:val="en-US" w:eastAsia="zh-CN"/>
              </w:rPr>
            </w:pPr>
            <w:r>
              <w:rPr>
                <w:rFonts w:hint="eastAsia" w:ascii="宋体" w:hAnsi="宋体" w:eastAsia="宋体"/>
                <w:color w:val="000000"/>
                <w:sz w:val="21"/>
                <w:szCs w:val="21"/>
              </w:rPr>
              <w:t>一级保护区水域边界沿岸纵深</w:t>
            </w:r>
            <w:r>
              <w:rPr>
                <w:rFonts w:hint="eastAsia" w:eastAsia="宋体"/>
                <w:color w:val="000000"/>
                <w:sz w:val="21"/>
                <w:szCs w:val="21"/>
                <w:lang w:val="en-US" w:eastAsia="zh-CN"/>
              </w:rPr>
              <w:t>1</w:t>
            </w:r>
            <w:r>
              <w:rPr>
                <w:rFonts w:hint="eastAsia" w:ascii="Times New Roman" w:hAnsi="Times New Roman" w:eastAsia="Times New Roman"/>
                <w:color w:val="000000"/>
                <w:sz w:val="21"/>
                <w:szCs w:val="21"/>
              </w:rPr>
              <w:t>0</w:t>
            </w:r>
            <w:r>
              <w:rPr>
                <w:rFonts w:hint="eastAsia" w:ascii="宋体" w:hAnsi="宋体" w:eastAsia="宋体"/>
                <w:color w:val="000000"/>
                <w:sz w:val="21"/>
                <w:szCs w:val="21"/>
              </w:rPr>
              <w:t>米</w:t>
            </w:r>
          </w:p>
        </w:tc>
        <w:tc>
          <w:tcPr>
            <w:tcW w:w="3149" w:type="dxa"/>
            <w:tcBorders>
              <w:tl2br w:val="nil"/>
              <w:tr2bl w:val="nil"/>
            </w:tcBorders>
            <w:noWrap w:val="0"/>
            <w:vAlign w:val="center"/>
          </w:tcPr>
          <w:p>
            <w:pPr>
              <w:widowControl w:val="0"/>
              <w:adjustRightInd/>
              <w:snapToGrid/>
              <w:spacing w:line="240" w:lineRule="auto"/>
              <w:ind w:firstLine="0" w:firstLineChars="0"/>
              <w:jc w:val="center"/>
              <w:rPr>
                <w:rFonts w:hint="eastAsia" w:ascii="Times New Roman" w:hAnsi="Times New Roman" w:cs="Times New Roman"/>
                <w:sz w:val="21"/>
                <w:szCs w:val="21"/>
                <w:highlight w:val="yellow"/>
                <w:u w:val="none" w:color="auto"/>
                <w:lang w:val="en-US" w:eastAsia="zh-CN"/>
              </w:rPr>
            </w:pPr>
            <w:r>
              <w:rPr>
                <w:rFonts w:hint="eastAsia" w:cs="Times New Roman"/>
                <w:sz w:val="21"/>
                <w:szCs w:val="21"/>
                <w:u w:val="none" w:color="auto"/>
                <w:lang w:val="en-US" w:eastAsia="zh-CN"/>
              </w:rPr>
              <w:t>场内道路距离</w:t>
            </w:r>
            <w:r>
              <w:rPr>
                <w:rFonts w:hint="eastAsia" w:ascii="Times New Roman" w:hAnsi="Times New Roman" w:eastAsia="宋体" w:cs="Times New Roman"/>
                <w:bCs/>
                <w:color w:val="000000"/>
                <w:sz w:val="21"/>
                <w:szCs w:val="21"/>
                <w:highlight w:val="none"/>
                <w:u w:val="none" w:color="auto"/>
                <w:lang w:val="en-US" w:eastAsia="zh-CN"/>
              </w:rPr>
              <w:t>一级保护区最近1.4km，</w:t>
            </w:r>
            <w:r>
              <w:rPr>
                <w:rFonts w:hint="eastAsia" w:cs="Times New Roman"/>
                <w:bCs/>
                <w:color w:val="000000"/>
                <w:sz w:val="21"/>
                <w:szCs w:val="21"/>
                <w:highlight w:val="none"/>
                <w:u w:val="none" w:color="auto"/>
                <w:lang w:val="en-US" w:eastAsia="zh-CN"/>
              </w:rPr>
              <w:t>距离取水口最近1.7km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844" w:hRule="atLeast"/>
          <w:jc w:val="center"/>
        </w:trPr>
        <w:tc>
          <w:tcPr>
            <w:tcW w:w="2109" w:type="dxa"/>
            <w:vMerge w:val="continue"/>
            <w:tcBorders>
              <w:tl2br w:val="nil"/>
              <w:tr2bl w:val="nil"/>
            </w:tcBorders>
            <w:noWrap w:val="0"/>
            <w:vAlign w:val="center"/>
          </w:tcPr>
          <w:p>
            <w:pPr>
              <w:widowControl w:val="0"/>
              <w:adjustRightInd/>
              <w:snapToGrid/>
              <w:spacing w:line="240" w:lineRule="auto"/>
              <w:ind w:firstLine="0" w:firstLineChars="0"/>
              <w:jc w:val="center"/>
              <w:rPr>
                <w:rFonts w:hint="eastAsia" w:ascii="Times New Roman" w:hAnsi="Times New Roman" w:cs="Times New Roman"/>
                <w:sz w:val="21"/>
                <w:szCs w:val="21"/>
                <w:u w:val="none" w:color="auto"/>
                <w:lang w:val="en-US" w:eastAsia="zh-CN"/>
              </w:rPr>
            </w:pPr>
          </w:p>
        </w:tc>
        <w:tc>
          <w:tcPr>
            <w:tcW w:w="1083" w:type="dxa"/>
            <w:vMerge w:val="continue"/>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sz w:val="21"/>
                <w:szCs w:val="21"/>
                <w:u w:val="none" w:color="auto"/>
              </w:rPr>
            </w:pPr>
          </w:p>
        </w:tc>
        <w:tc>
          <w:tcPr>
            <w:tcW w:w="1317" w:type="dxa"/>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sz w:val="21"/>
                <w:szCs w:val="21"/>
                <w:u w:val="none" w:color="auto"/>
              </w:rPr>
              <w:t>二级保护区</w:t>
            </w:r>
          </w:p>
        </w:tc>
        <w:tc>
          <w:tcPr>
            <w:tcW w:w="3313" w:type="dxa"/>
            <w:tcBorders>
              <w:tl2br w:val="nil"/>
              <w:tr2bl w:val="nil"/>
            </w:tcBorders>
            <w:noWrap w:val="0"/>
            <w:vAlign w:val="center"/>
          </w:tcPr>
          <w:p>
            <w:pPr>
              <w:widowControl w:val="0"/>
              <w:adjustRightInd/>
              <w:snapToGrid/>
              <w:spacing w:line="240" w:lineRule="auto"/>
              <w:ind w:firstLine="0" w:firstLineChars="0"/>
              <w:jc w:val="center"/>
              <w:rPr>
                <w:rFonts w:hint="eastAsia"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一级保护区上边界上溯</w:t>
            </w:r>
            <w:r>
              <w:rPr>
                <w:rFonts w:hint="eastAsia" w:cs="Times New Roman"/>
                <w:sz w:val="21"/>
                <w:szCs w:val="21"/>
                <w:u w:val="none" w:color="auto"/>
                <w:lang w:val="en-US" w:eastAsia="zh-CN"/>
              </w:rPr>
              <w:t>150</w:t>
            </w:r>
            <w:r>
              <w:rPr>
                <w:rFonts w:hint="eastAsia" w:ascii="Times New Roman" w:hAnsi="Times New Roman" w:cs="Times New Roman"/>
                <w:sz w:val="21"/>
                <w:szCs w:val="21"/>
                <w:u w:val="none" w:color="auto"/>
                <w:lang w:val="en-US" w:eastAsia="zh-CN"/>
              </w:rPr>
              <w:t>0米的山溪水域。</w:t>
            </w:r>
          </w:p>
        </w:tc>
        <w:tc>
          <w:tcPr>
            <w:tcW w:w="3396" w:type="dxa"/>
            <w:tcBorders>
              <w:tl2br w:val="nil"/>
              <w:tr2bl w:val="nil"/>
            </w:tcBorders>
            <w:noWrap w:val="0"/>
            <w:vAlign w:val="center"/>
          </w:tcPr>
          <w:p>
            <w:pPr>
              <w:widowControl w:val="0"/>
              <w:adjustRightInd/>
              <w:snapToGrid/>
              <w:spacing w:line="240" w:lineRule="auto"/>
              <w:ind w:firstLine="0" w:firstLineChars="0"/>
              <w:jc w:val="center"/>
              <w:rPr>
                <w:rFonts w:hint="eastAsia"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一</w:t>
            </w:r>
            <w:r>
              <w:rPr>
                <w:rFonts w:hint="eastAsia" w:cs="Times New Roman"/>
                <w:sz w:val="21"/>
                <w:szCs w:val="21"/>
                <w:u w:val="none" w:color="auto"/>
                <w:lang w:val="en-US" w:eastAsia="zh-CN"/>
              </w:rPr>
              <w:t>、二</w:t>
            </w:r>
            <w:r>
              <w:rPr>
                <w:rFonts w:hint="eastAsia" w:ascii="Times New Roman" w:hAnsi="Times New Roman" w:cs="Times New Roman"/>
                <w:sz w:val="21"/>
                <w:szCs w:val="21"/>
                <w:u w:val="none" w:color="auto"/>
                <w:lang w:val="en-US" w:eastAsia="zh-CN"/>
              </w:rPr>
              <w:t>级保护区水域边界沿岸纵深50</w:t>
            </w:r>
          </w:p>
          <w:p>
            <w:pPr>
              <w:widowControl w:val="0"/>
              <w:adjustRightInd/>
              <w:snapToGrid/>
              <w:spacing w:line="240" w:lineRule="auto"/>
              <w:ind w:firstLine="0" w:firstLineChars="0"/>
              <w:jc w:val="center"/>
              <w:rPr>
                <w:rFonts w:hint="eastAsia"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米（一级保护区除外）</w:t>
            </w:r>
          </w:p>
        </w:tc>
        <w:tc>
          <w:tcPr>
            <w:tcW w:w="3149" w:type="dxa"/>
            <w:tcBorders>
              <w:tl2br w:val="nil"/>
              <w:tr2bl w:val="nil"/>
            </w:tcBorders>
            <w:noWrap w:val="0"/>
            <w:vAlign w:val="center"/>
          </w:tcPr>
          <w:p>
            <w:pPr>
              <w:widowControl w:val="0"/>
              <w:adjustRightInd/>
              <w:snapToGrid/>
              <w:spacing w:line="240" w:lineRule="auto"/>
              <w:ind w:firstLine="0" w:firstLineChars="0"/>
              <w:jc w:val="center"/>
              <w:rPr>
                <w:rFonts w:hint="eastAsia" w:ascii="Times New Roman" w:hAnsi="Times New Roman" w:cs="Times New Roman"/>
                <w:sz w:val="21"/>
                <w:szCs w:val="21"/>
                <w:highlight w:val="yellow"/>
                <w:u w:val="none" w:color="auto"/>
                <w:lang w:val="en-US" w:eastAsia="zh-CN"/>
              </w:rPr>
            </w:pPr>
            <w:r>
              <w:rPr>
                <w:rFonts w:hint="eastAsia" w:cs="Times New Roman"/>
                <w:sz w:val="21"/>
                <w:szCs w:val="21"/>
                <w:u w:val="none" w:color="auto"/>
                <w:lang w:val="en-US" w:eastAsia="zh-CN"/>
              </w:rPr>
              <w:t>12、13号风机之间场内道路中有40m长度紧邻二级陆域保护区</w:t>
            </w:r>
          </w:p>
        </w:tc>
      </w:tr>
    </w:tbl>
    <w:p/>
    <w:p>
      <w:pPr>
        <w:pStyle w:val="623"/>
        <w:ind w:firstLine="422"/>
        <w:rPr>
          <w:rFonts w:hint="eastAsia" w:ascii="Times New Roman" w:hAnsi="Times New Roman" w:eastAsia="宋体" w:cs="Times New Roman"/>
          <w:b/>
          <w:bCs/>
          <w:color w:val="auto"/>
          <w:sz w:val="21"/>
          <w:szCs w:val="16"/>
          <w:lang w:val="en-US" w:eastAsia="zh-CN"/>
        </w:rPr>
      </w:pPr>
      <w:r>
        <w:rPr>
          <w:rFonts w:hint="eastAsia" w:ascii="Times New Roman" w:hAnsi="Times New Roman" w:eastAsia="宋体" w:cs="Times New Roman"/>
          <w:b/>
          <w:bCs/>
          <w:color w:val="auto"/>
          <w:sz w:val="21"/>
          <w:szCs w:val="16"/>
          <w:lang w:val="en-US" w:eastAsia="zh-CN"/>
        </w:rPr>
        <w:t>本项目与各生态敏感区位置关系</w:t>
      </w:r>
    </w:p>
    <w:tbl>
      <w:tblPr>
        <w:tblStyle w:val="88"/>
        <w:tblW w:w="397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61"/>
        <w:gridCol w:w="4463"/>
        <w:gridCol w:w="1636"/>
        <w:gridCol w:w="1940"/>
        <w:gridCol w:w="111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5" w:type="pct"/>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名称</w:t>
            </w:r>
          </w:p>
        </w:tc>
        <w:tc>
          <w:tcPr>
            <w:tcW w:w="1972" w:type="pct"/>
            <w:tcBorders>
              <w:tl2br w:val="nil"/>
              <w:tr2bl w:val="nil"/>
            </w:tcBorders>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rPr>
              <w:t>主要保护对象</w:t>
            </w:r>
          </w:p>
        </w:tc>
        <w:tc>
          <w:tcPr>
            <w:tcW w:w="723" w:type="pct"/>
            <w:tcBorders>
              <w:tl2br w:val="nil"/>
              <w:tr2bl w:val="nil"/>
            </w:tcBorders>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rPr>
              <w:t>类型</w:t>
            </w:r>
          </w:p>
        </w:tc>
        <w:tc>
          <w:tcPr>
            <w:tcW w:w="857" w:type="pct"/>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rPr>
              <w:t>与本项目的关系</w:t>
            </w:r>
          </w:p>
        </w:tc>
        <w:tc>
          <w:tcPr>
            <w:tcW w:w="491" w:type="pct"/>
            <w:tcBorders>
              <w:tl2br w:val="nil"/>
              <w:tr2bl w:val="nil"/>
            </w:tcBorders>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rPr>
              <w:t>级别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5" w:type="pct"/>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sz w:val="21"/>
                <w:szCs w:val="21"/>
                <w:u w:val="none" w:color="auto"/>
                <w:lang w:val="en-US" w:eastAsia="zh-CN"/>
              </w:rPr>
              <w:t>湖南</w:t>
            </w:r>
            <w:r>
              <w:rPr>
                <w:rFonts w:hint="eastAsia" w:ascii="Times New Roman" w:hAnsi="Times New Roman" w:eastAsia="宋体" w:cs="Times New Roman"/>
                <w:sz w:val="21"/>
                <w:szCs w:val="21"/>
                <w:u w:val="none" w:color="auto"/>
              </w:rPr>
              <w:t>九嶷山国家森林公园</w:t>
            </w:r>
          </w:p>
        </w:tc>
        <w:tc>
          <w:tcPr>
            <w:tcW w:w="1972" w:type="pct"/>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sz w:val="21"/>
                <w:szCs w:val="21"/>
                <w:u w:val="none" w:color="auto"/>
              </w:rPr>
              <w:t>南方红豆杉、钟萼木、报春苣苔、林麝等国家重点保护野生动植物资源和栖息地</w:t>
            </w:r>
          </w:p>
        </w:tc>
        <w:tc>
          <w:tcPr>
            <w:tcW w:w="723" w:type="pct"/>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sz w:val="21"/>
                <w:szCs w:val="21"/>
                <w:u w:val="none" w:color="auto"/>
              </w:rPr>
              <w:t>森林公园</w:t>
            </w:r>
          </w:p>
        </w:tc>
        <w:tc>
          <w:tcPr>
            <w:tcW w:w="857" w:type="pct"/>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1号风机西侧3</w:t>
            </w:r>
            <w:r>
              <w:rPr>
                <w:rFonts w:hint="eastAsia" w:cs="Times New Roman"/>
                <w:color w:val="000000" w:themeColor="text1"/>
                <w:kern w:val="2"/>
                <w:sz w:val="21"/>
                <w:szCs w:val="21"/>
                <w:u w:val="none" w:color="auto"/>
                <w:lang w:val="en-US" w:eastAsia="zh-CN" w:bidi="ar-SA"/>
                <w14:textFill>
                  <w14:solidFill>
                    <w14:schemeClr w14:val="tx1"/>
                  </w14:solidFill>
                </w14:textFill>
              </w:rPr>
              <w:t>4</w:t>
            </w: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0m</w:t>
            </w:r>
          </w:p>
        </w:tc>
        <w:tc>
          <w:tcPr>
            <w:tcW w:w="491" w:type="pct"/>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sz w:val="21"/>
                <w:szCs w:val="21"/>
                <w:u w:val="none" w:color="auto"/>
              </w:rPr>
              <w:t>国家级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5" w:type="pct"/>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sz w:val="21"/>
                <w:szCs w:val="21"/>
                <w:u w:val="none" w:color="auto"/>
                <w:lang w:val="en-US" w:eastAsia="zh-CN"/>
              </w:rPr>
              <w:t>湖南</w:t>
            </w:r>
            <w:r>
              <w:rPr>
                <w:rFonts w:hint="eastAsia" w:ascii="Times New Roman" w:hAnsi="Times New Roman" w:eastAsia="宋体" w:cs="Times New Roman"/>
                <w:sz w:val="21"/>
                <w:szCs w:val="21"/>
                <w:u w:val="none" w:color="auto"/>
              </w:rPr>
              <w:t>九嶷山国家</w:t>
            </w:r>
            <w:r>
              <w:rPr>
                <w:rFonts w:hint="eastAsia" w:ascii="Times New Roman" w:hAnsi="Times New Roman" w:eastAsia="宋体" w:cs="Times New Roman"/>
                <w:sz w:val="21"/>
                <w:szCs w:val="21"/>
                <w:u w:val="none" w:color="auto"/>
                <w:lang w:val="en-US" w:eastAsia="zh-CN"/>
              </w:rPr>
              <w:t>级自然保护区</w:t>
            </w:r>
          </w:p>
        </w:tc>
        <w:tc>
          <w:tcPr>
            <w:tcW w:w="1972" w:type="pct"/>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pPr>
            <w:r>
              <w:rPr>
                <w:rFonts w:hint="eastAsia" w:ascii="Times New Roman" w:hAnsi="Times New Roman" w:eastAsia="宋体" w:cs="Times New Roman"/>
                <w:sz w:val="21"/>
                <w:szCs w:val="21"/>
                <w:u w:val="none" w:color="auto"/>
              </w:rPr>
              <w:t>南方红豆杉、钟萼木、报春苣苔、林麝等国家重点保护野生动植物资源和栖息地</w:t>
            </w:r>
          </w:p>
        </w:tc>
        <w:tc>
          <w:tcPr>
            <w:tcW w:w="723" w:type="pct"/>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sz w:val="21"/>
                <w:szCs w:val="21"/>
                <w:u w:val="none" w:color="auto"/>
              </w:rPr>
              <w:t>自然保护区</w:t>
            </w:r>
          </w:p>
        </w:tc>
        <w:tc>
          <w:tcPr>
            <w:tcW w:w="857" w:type="pct"/>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1号风机</w:t>
            </w:r>
            <w:r>
              <w:rPr>
                <w:rFonts w:hint="eastAsia" w:ascii="Times New Roman" w:hAnsi="Times New Roman" w:eastAsia="宋体" w:cs="Times New Roman"/>
                <w:sz w:val="21"/>
                <w:szCs w:val="21"/>
                <w:u w:val="none" w:color="auto"/>
              </w:rPr>
              <w:t>西南侧</w:t>
            </w:r>
            <w:r>
              <w:rPr>
                <w:rFonts w:hint="eastAsia" w:ascii="Times New Roman" w:hAnsi="Times New Roman" w:eastAsia="宋体" w:cs="Times New Roman"/>
                <w:sz w:val="21"/>
                <w:szCs w:val="21"/>
                <w:u w:val="none" w:color="auto"/>
                <w:lang w:val="en-US" w:eastAsia="zh-CN"/>
              </w:rPr>
              <w:t>4.8</w:t>
            </w:r>
            <w:r>
              <w:rPr>
                <w:rFonts w:hint="eastAsia" w:ascii="Times New Roman" w:hAnsi="Times New Roman" w:eastAsia="宋体" w:cs="Times New Roman"/>
                <w:sz w:val="21"/>
                <w:szCs w:val="21"/>
                <w:u w:val="none" w:color="auto"/>
              </w:rPr>
              <w:t>km</w:t>
            </w:r>
          </w:p>
        </w:tc>
        <w:tc>
          <w:tcPr>
            <w:tcW w:w="491" w:type="pct"/>
            <w:tcBorders>
              <w:tl2br w:val="nil"/>
              <w:tr2bl w:val="nil"/>
            </w:tcBorders>
            <w:shd w:val="clear" w:color="auto" w:fill="auto"/>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sz w:val="21"/>
                <w:szCs w:val="21"/>
                <w:u w:val="none" w:color="auto"/>
              </w:rPr>
              <w:t>国家级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955" w:type="pct"/>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rPr>
              <w:t>湘江源国家森林公园</w:t>
            </w:r>
          </w:p>
        </w:tc>
        <w:tc>
          <w:tcPr>
            <w:tcW w:w="1972" w:type="pct"/>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rPr>
              <w:t>维管束植物217科777属716种，其中：蕨类植物有43科103属264种；种子植物174科680属1452种。国家二级保护动物：猕猴、大灵猫、小灵猫等20中。有省级重点保护动物：中华竹鼠、竹鸡、白鹭等12种。</w:t>
            </w:r>
          </w:p>
        </w:tc>
        <w:tc>
          <w:tcPr>
            <w:tcW w:w="723" w:type="pct"/>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rPr>
              <w:t>森林公园</w:t>
            </w:r>
          </w:p>
        </w:tc>
        <w:tc>
          <w:tcPr>
            <w:tcW w:w="857" w:type="pct"/>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sz w:val="21"/>
                <w:szCs w:val="21"/>
                <w:u w:val="none" w:color="auto"/>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1号风机</w:t>
            </w:r>
            <w:r>
              <w:rPr>
                <w:rFonts w:hint="eastAsia" w:ascii="Times New Roman" w:hAnsi="Times New Roman" w:eastAsia="宋体" w:cs="Times New Roman"/>
                <w:sz w:val="21"/>
                <w:szCs w:val="21"/>
                <w:u w:val="none" w:color="auto"/>
              </w:rPr>
              <w:t>西南侧</w:t>
            </w:r>
            <w:r>
              <w:rPr>
                <w:rFonts w:hint="eastAsia" w:ascii="Times New Roman" w:hAnsi="Times New Roman" w:eastAsia="宋体" w:cs="Times New Roman"/>
                <w:sz w:val="21"/>
                <w:szCs w:val="21"/>
                <w:u w:val="none" w:color="auto"/>
                <w:lang w:val="en-US" w:eastAsia="zh-CN"/>
              </w:rPr>
              <w:t>8.5</w:t>
            </w:r>
            <w:r>
              <w:rPr>
                <w:rFonts w:hint="eastAsia" w:ascii="Times New Roman" w:hAnsi="Times New Roman" w:eastAsia="宋体" w:cs="Times New Roman"/>
                <w:sz w:val="21"/>
                <w:szCs w:val="21"/>
                <w:u w:val="none" w:color="auto"/>
              </w:rPr>
              <w:t>km</w:t>
            </w:r>
          </w:p>
        </w:tc>
        <w:tc>
          <w:tcPr>
            <w:tcW w:w="491" w:type="pct"/>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rPr>
              <w:t>国家级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5" w:type="pct"/>
            <w:tcBorders>
              <w:tl2br w:val="nil"/>
              <w:tr2bl w:val="nil"/>
            </w:tcBorders>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rPr>
              <w:t>湖南蓝山舜水河省级湿地公园</w:t>
            </w:r>
          </w:p>
        </w:tc>
        <w:tc>
          <w:tcPr>
            <w:tcW w:w="1972" w:type="pct"/>
            <w:tcBorders>
              <w:tl2br w:val="nil"/>
              <w:tr2bl w:val="nil"/>
            </w:tcBorders>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rPr>
              <w:t>湿地公园内有种子植物95科291属435种，脊椎动物有5纲25目66科193种</w:t>
            </w:r>
          </w:p>
        </w:tc>
        <w:tc>
          <w:tcPr>
            <w:tcW w:w="723" w:type="pct"/>
            <w:tcBorders>
              <w:tl2br w:val="nil"/>
              <w:tr2bl w:val="nil"/>
            </w:tcBorders>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rPr>
              <w:t>湿地公园</w:t>
            </w:r>
          </w:p>
        </w:tc>
        <w:tc>
          <w:tcPr>
            <w:tcW w:w="857" w:type="pct"/>
            <w:tcBorders>
              <w:tl2br w:val="nil"/>
              <w:tr2bl w:val="nil"/>
            </w:tcBorders>
            <w:noWrap w:val="0"/>
            <w:vAlign w:val="center"/>
          </w:tcPr>
          <w:p>
            <w:pPr>
              <w:widowControl w:val="0"/>
              <w:adjustRightInd/>
              <w:snapToGrid/>
              <w:spacing w:line="240" w:lineRule="auto"/>
              <w:ind w:firstLine="0" w:firstLineChars="0"/>
              <w:jc w:val="center"/>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val="en-US" w:eastAsia="zh-CN"/>
              </w:rPr>
              <w:t>汇集站</w:t>
            </w:r>
            <w:r>
              <w:rPr>
                <w:rFonts w:hint="eastAsia" w:ascii="Times New Roman" w:hAnsi="Times New Roman" w:eastAsia="宋体" w:cs="Times New Roman"/>
                <w:sz w:val="21"/>
                <w:szCs w:val="21"/>
                <w:u w:val="none" w:color="auto"/>
              </w:rPr>
              <w:t>东侧</w:t>
            </w:r>
            <w:r>
              <w:rPr>
                <w:rFonts w:hint="eastAsia" w:ascii="Times New Roman" w:hAnsi="Times New Roman" w:eastAsia="宋体" w:cs="Times New Roman"/>
                <w:sz w:val="21"/>
                <w:szCs w:val="21"/>
                <w:u w:val="none" w:color="auto"/>
                <w:lang w:val="en-US" w:eastAsia="zh-CN"/>
              </w:rPr>
              <w:t>1.8</w:t>
            </w:r>
            <w:r>
              <w:rPr>
                <w:rFonts w:hint="eastAsia" w:ascii="Times New Roman" w:hAnsi="Times New Roman" w:eastAsia="宋体" w:cs="Times New Roman"/>
                <w:sz w:val="21"/>
                <w:szCs w:val="21"/>
                <w:u w:val="none" w:color="auto"/>
              </w:rPr>
              <w:t>km</w:t>
            </w:r>
          </w:p>
        </w:tc>
        <w:tc>
          <w:tcPr>
            <w:tcW w:w="491" w:type="pct"/>
            <w:tcBorders>
              <w:tl2br w:val="nil"/>
              <w:tr2bl w:val="nil"/>
            </w:tcBorders>
            <w:noWrap w:val="0"/>
            <w:vAlign w:val="center"/>
          </w:tcPr>
          <w:p>
            <w:pPr>
              <w:widowControl w:val="0"/>
              <w:adjustRightInd/>
              <w:snapToGrid/>
              <w:spacing w:line="240" w:lineRule="auto"/>
              <w:ind w:firstLine="0" w:firstLineChars="0"/>
              <w:jc w:val="center"/>
              <w:rPr>
                <w:rFonts w:hint="eastAsia"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rPr>
              <w:t>省级</w:t>
            </w:r>
          </w:p>
        </w:tc>
      </w:tr>
    </w:tbl>
    <w:p>
      <w:pPr>
        <w:rPr>
          <w:rFonts w:hint="default" w:ascii="Times New Roman" w:hAnsi="Times New Roman" w:eastAsia="宋体" w:cs="Times New Roman"/>
          <w:color w:val="000000" w:themeColor="text1"/>
          <w:sz w:val="21"/>
          <w:szCs w:val="21"/>
          <w:u w:val="none" w:color="auto"/>
          <w:lang w:val="zh-CN" w:eastAsia="zh-CN"/>
          <w14:textFill>
            <w14:solidFill>
              <w14:schemeClr w14:val="tx1"/>
            </w14:solidFill>
          </w14:textFill>
        </w:rPr>
        <w:sectPr>
          <w:pgSz w:w="16838" w:h="11905" w:orient="landscape"/>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3" w:charSpace="0"/>
        </w:sectPr>
      </w:pPr>
    </w:p>
    <w:p>
      <w:pPr>
        <w:pStyle w:val="457"/>
        <w:ind w:firstLine="643"/>
        <w:rPr>
          <w:rFonts w:ascii="Times New Roman" w:cs="Times New Roman"/>
          <w:color w:val="000000" w:themeColor="text1"/>
          <w:u w:val="none" w:color="auto"/>
          <w14:textFill>
            <w14:solidFill>
              <w14:schemeClr w14:val="tx1"/>
            </w14:solidFill>
          </w14:textFill>
        </w:rPr>
      </w:pPr>
      <w:bookmarkStart w:id="26" w:name="_Toc15379"/>
      <w:r>
        <w:rPr>
          <w:rFonts w:ascii="Times New Roman" w:cs="Times New Roman"/>
          <w:color w:val="000000" w:themeColor="text1"/>
          <w:u w:val="none" w:color="auto"/>
          <w14:textFill>
            <w14:solidFill>
              <w14:schemeClr w14:val="tx1"/>
            </w14:solidFill>
          </w14:textFill>
        </w:rPr>
        <w:t>评价工作程序</w:t>
      </w:r>
      <w:bookmarkEnd w:id="26"/>
    </w:p>
    <w:p>
      <w:pPr>
        <w:ind w:firstLine="480"/>
        <w:rPr>
          <w:color w:val="000000" w:themeColor="text1"/>
          <w:u w:val="none" w:color="auto"/>
          <w:lang w:val="zh-CN"/>
          <w14:textFill>
            <w14:solidFill>
              <w14:schemeClr w14:val="tx1"/>
            </w14:solidFill>
          </w14:textFill>
        </w:rPr>
      </w:pPr>
      <w:r>
        <w:rPr>
          <w:color w:val="000000" w:themeColor="text1"/>
          <w:u w:val="none" w:color="auto"/>
          <w:lang w:val="zh-CN"/>
          <w14:textFill>
            <w14:solidFill>
              <w14:schemeClr w14:val="tx1"/>
            </w14:solidFill>
          </w14:textFill>
        </w:rPr>
        <w:t>按照《建设项目环境保护管理条例》和《环境影响评价技术导则》的要求，本项目环境影响评价工作分以下三个阶段。本项目环境影响评价程序框图如下：</w:t>
      </w:r>
    </w:p>
    <w:p>
      <w:pPr>
        <w:ind w:firstLine="480"/>
        <w:jc w:val="center"/>
        <w:rPr>
          <w:b/>
          <w:bCs/>
          <w:color w:val="000000" w:themeColor="text1"/>
          <w:sz w:val="32"/>
          <w:szCs w:val="32"/>
          <w:u w:val="none" w:color="auto"/>
          <w14:textFill>
            <w14:solidFill>
              <w14:schemeClr w14:val="tx1"/>
            </w14:solidFill>
          </w14:textFill>
        </w:rPr>
      </w:pPr>
      <w:r>
        <w:rPr>
          <w:color w:val="000000" w:themeColor="text1"/>
          <w:u w:val="none" w:color="auto"/>
          <w14:textFill>
            <w14:solidFill>
              <w14:schemeClr w14:val="tx1"/>
            </w14:solidFill>
          </w14:textFill>
        </w:rPr>
        <w:drawing>
          <wp:inline distT="0" distB="0" distL="0" distR="0">
            <wp:extent cx="5274945" cy="5056505"/>
            <wp:effectExtent l="0" t="0" r="0" b="0"/>
            <wp:docPr id="3"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24"/>
                    <pic:cNvPicPr>
                      <a:picLocks noChangeAspect="true" noChangeArrowheads="true"/>
                    </pic:cNvPicPr>
                  </pic:nvPicPr>
                  <pic:blipFill>
                    <a:blip r:embed="rId14">
                      <a:extLst>
                        <a:ext uri="{28A0092B-C50C-407E-A947-70E740481C1C}">
                          <a14:useLocalDpi xmlns:a14="http://schemas.microsoft.com/office/drawing/2010/main" val="false"/>
                        </a:ext>
                      </a:extLst>
                    </a:blip>
                    <a:srcRect/>
                    <a:stretch>
                      <a:fillRect/>
                    </a:stretch>
                  </pic:blipFill>
                  <pic:spPr>
                    <a:xfrm>
                      <a:off x="0" y="0"/>
                      <a:ext cx="5274945" cy="5056505"/>
                    </a:xfrm>
                    <a:prstGeom prst="rect">
                      <a:avLst/>
                    </a:prstGeom>
                    <a:noFill/>
                    <a:ln>
                      <a:noFill/>
                    </a:ln>
                  </pic:spPr>
                </pic:pic>
              </a:graphicData>
            </a:graphic>
          </wp:inline>
        </w:drawing>
      </w:r>
    </w:p>
    <w:p>
      <w:pPr>
        <w:widowControl/>
        <w:ind w:firstLine="422"/>
        <w:jc w:val="center"/>
        <w:rPr>
          <w:color w:val="000000" w:themeColor="text1"/>
          <w:sz w:val="21"/>
          <w:szCs w:val="21"/>
          <w:u w:val="none" w:color="auto"/>
          <w14:textFill>
            <w14:solidFill>
              <w14:schemeClr w14:val="tx1"/>
            </w14:solidFill>
          </w14:textFill>
        </w:rPr>
      </w:pPr>
      <w:r>
        <w:rPr>
          <w:b/>
          <w:color w:val="000000" w:themeColor="text1"/>
          <w:sz w:val="21"/>
          <w:szCs w:val="21"/>
          <w:u w:val="none" w:color="auto"/>
          <w14:textFill>
            <w14:solidFill>
              <w14:schemeClr w14:val="tx1"/>
            </w14:solidFill>
          </w14:textFill>
        </w:rPr>
        <w:t>图1-1 环境影响评价工作程序图</w:t>
      </w:r>
    </w:p>
    <w:p>
      <w:pPr>
        <w:ind w:firstLine="480"/>
        <w:rPr>
          <w:color w:val="000000" w:themeColor="text1"/>
          <w:u w:val="none" w:color="auto"/>
          <w14:textFill>
            <w14:solidFill>
              <w14:schemeClr w14:val="tx1"/>
            </w14:solidFill>
          </w14:textFill>
        </w:rPr>
      </w:pPr>
    </w:p>
    <w:p>
      <w:pPr>
        <w:ind w:firstLine="480"/>
        <w:rPr>
          <w:color w:val="000000" w:themeColor="text1"/>
          <w:u w:val="none" w:color="auto"/>
          <w:lang w:val="zh-CN"/>
          <w14:textFill>
            <w14:solidFill>
              <w14:schemeClr w14:val="tx1"/>
            </w14:solidFill>
          </w14:textFill>
        </w:rPr>
        <w:sectPr>
          <w:pgSz w:w="11905"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3" w:charSpace="0"/>
        </w:sectPr>
      </w:pPr>
    </w:p>
    <w:p>
      <w:pPr>
        <w:pStyle w:val="461"/>
        <w:bidi w:val="0"/>
      </w:pPr>
      <w:bookmarkStart w:id="27" w:name="_Toc12953623"/>
      <w:bookmarkStart w:id="28" w:name="_Toc12959548"/>
      <w:bookmarkStart w:id="29" w:name="_Toc18773477"/>
      <w:bookmarkStart w:id="30" w:name="_Toc13022374"/>
      <w:bookmarkStart w:id="31" w:name="_Toc12960113"/>
      <w:bookmarkStart w:id="32" w:name="_Toc12960214"/>
      <w:bookmarkStart w:id="33" w:name="_Toc12959067"/>
      <w:r>
        <w:rPr>
          <w:rFonts w:hint="eastAsia"/>
          <w:lang w:val="en-US" w:eastAsia="zh-CN"/>
        </w:rPr>
        <w:t xml:space="preserve">  </w:t>
      </w:r>
      <w:bookmarkStart w:id="34" w:name="_Toc11794"/>
      <w:r>
        <w:rPr>
          <w:rFonts w:hint="eastAsia"/>
          <w:lang w:val="en-US" w:eastAsia="zh-CN"/>
        </w:rPr>
        <w:t>项目概况与工程分析</w:t>
      </w:r>
      <w:bookmarkEnd w:id="34"/>
    </w:p>
    <w:p>
      <w:pPr>
        <w:pStyle w:val="457"/>
        <w:ind w:firstLine="643"/>
        <w:rPr>
          <w:rFonts w:ascii="Times New Roman" w:cs="Times New Roman"/>
          <w:color w:val="000000" w:themeColor="text1"/>
          <w:u w:val="none" w:color="auto"/>
          <w14:textFill>
            <w14:solidFill>
              <w14:schemeClr w14:val="tx1"/>
            </w14:solidFill>
          </w14:textFill>
        </w:rPr>
      </w:pPr>
      <w:bookmarkStart w:id="35" w:name="_Toc32262"/>
      <w:r>
        <w:rPr>
          <w:rFonts w:hint="eastAsia" w:ascii="Times New Roman" w:cs="Times New Roman"/>
          <w:color w:val="000000" w:themeColor="text1"/>
          <w:u w:val="none" w:color="auto"/>
          <w:lang w:val="en-US" w:eastAsia="zh-CN"/>
          <w14:textFill>
            <w14:solidFill>
              <w14:schemeClr w14:val="tx1"/>
            </w14:solidFill>
          </w14:textFill>
        </w:rPr>
        <w:t>原环评</w:t>
      </w:r>
      <w:r>
        <w:rPr>
          <w:rFonts w:ascii="Times New Roman" w:cs="Times New Roman"/>
          <w:color w:val="000000" w:themeColor="text1"/>
          <w:u w:val="none" w:color="auto"/>
          <w14:textFill>
            <w14:solidFill>
              <w14:schemeClr w14:val="tx1"/>
            </w14:solidFill>
          </w14:textFill>
        </w:rPr>
        <w:t>概况</w:t>
      </w:r>
      <w:bookmarkEnd w:id="35"/>
    </w:p>
    <w:p>
      <w:pPr>
        <w:pStyle w:val="458"/>
        <w:ind w:firstLine="602"/>
        <w:rPr>
          <w:color w:val="000000" w:themeColor="text1"/>
          <w:u w:val="none" w:color="auto"/>
          <w14:textFill>
            <w14:solidFill>
              <w14:schemeClr w14:val="tx1"/>
            </w14:solidFill>
          </w14:textFill>
        </w:rPr>
      </w:pPr>
      <w:r>
        <w:rPr>
          <w:rFonts w:hint="eastAsia"/>
          <w:color w:val="000000" w:themeColor="text1"/>
          <w:u w:val="none" w:color="auto"/>
          <w:lang w:eastAsia="zh-CN"/>
          <w14:textFill>
            <w14:solidFill>
              <w14:schemeClr w14:val="tx1"/>
            </w14:solidFill>
          </w14:textFill>
        </w:rPr>
        <w:t>项目基本情况</w:t>
      </w:r>
    </w:p>
    <w:p>
      <w:pPr>
        <w:bidi w:val="0"/>
        <w:rPr>
          <w:rFonts w:hint="default"/>
        </w:rPr>
      </w:pPr>
      <w:r>
        <w:rPr>
          <w:rFonts w:hint="default"/>
        </w:rPr>
        <w:t>项目名称：</w:t>
      </w:r>
      <w:r>
        <w:rPr>
          <w:rFonts w:hint="eastAsia"/>
        </w:rPr>
        <w:t>湖南华电永州蓝山大源风电项目</w:t>
      </w:r>
    </w:p>
    <w:p>
      <w:pPr>
        <w:bidi w:val="0"/>
        <w:rPr>
          <w:rFonts w:hint="default"/>
        </w:rPr>
      </w:pPr>
      <w:r>
        <w:rPr>
          <w:rFonts w:hint="default"/>
        </w:rPr>
        <w:t>建设性质：新建</w:t>
      </w:r>
    </w:p>
    <w:p>
      <w:pPr>
        <w:bidi w:val="0"/>
        <w:rPr>
          <w:rFonts w:hint="default"/>
        </w:rPr>
      </w:pPr>
      <w:r>
        <w:rPr>
          <w:rFonts w:hint="default"/>
        </w:rPr>
        <w:t>建设单位：</w:t>
      </w:r>
      <w:r>
        <w:rPr>
          <w:rFonts w:hint="eastAsia"/>
        </w:rPr>
        <w:t>湖南华电蓝山新能源有限公司</w:t>
      </w:r>
    </w:p>
    <w:p>
      <w:pPr>
        <w:bidi w:val="0"/>
        <w:rPr>
          <w:rFonts w:hint="default"/>
          <w:lang w:val="en-US" w:eastAsia="zh-CN"/>
        </w:rPr>
      </w:pPr>
      <w:r>
        <w:rPr>
          <w:rFonts w:hint="default"/>
        </w:rPr>
        <w:t>建设地点：</w:t>
      </w:r>
      <w:r>
        <w:rPr>
          <w:rFonts w:hint="eastAsia"/>
        </w:rPr>
        <w:t>永州市蓝山县汇源瑶族乡</w:t>
      </w:r>
      <w:r>
        <w:rPr>
          <w:rFonts w:hint="eastAsia"/>
          <w:lang w:eastAsia="zh-CN"/>
        </w:rPr>
        <w:t>、</w:t>
      </w:r>
      <w:r>
        <w:rPr>
          <w:rFonts w:hint="eastAsia"/>
          <w:lang w:val="en-US" w:eastAsia="zh-CN"/>
        </w:rPr>
        <w:t>所城镇</w:t>
      </w:r>
    </w:p>
    <w:p>
      <w:pPr>
        <w:bidi w:val="0"/>
        <w:rPr>
          <w:rFonts w:hint="default"/>
        </w:rPr>
      </w:pPr>
      <w:r>
        <w:rPr>
          <w:rFonts w:hint="default"/>
        </w:rPr>
        <w:t>建设</w:t>
      </w:r>
      <w:r>
        <w:rPr>
          <w:rFonts w:hint="eastAsia"/>
          <w:lang w:val="en-US" w:eastAsia="zh-CN"/>
        </w:rPr>
        <w:t>内容与</w:t>
      </w:r>
      <w:r>
        <w:rPr>
          <w:rFonts w:hint="default"/>
        </w:rPr>
        <w:t>规模：</w:t>
      </w:r>
      <w:r>
        <w:rPr>
          <w:rFonts w:hint="eastAsia" w:cs="Times New Roman"/>
          <w:sz w:val="24"/>
          <w:szCs w:val="24"/>
          <w:u w:val="none" w:color="auto"/>
          <w:lang w:val="en-US" w:eastAsia="zh-CN"/>
        </w:rPr>
        <w:t>项目设计安装15</w:t>
      </w:r>
      <w:r>
        <w:rPr>
          <w:rFonts w:hint="default" w:ascii="Times New Roman" w:hAnsi="Times New Roman" w:cs="Times New Roman"/>
          <w:sz w:val="24"/>
          <w:u w:val="none" w:color="auto"/>
        </w:rPr>
        <w:t>台单机容量为</w:t>
      </w:r>
      <w:r>
        <w:rPr>
          <w:rFonts w:hint="eastAsia" w:cs="Times New Roman"/>
          <w:sz w:val="24"/>
          <w:u w:val="none" w:color="auto"/>
          <w:lang w:val="en-US" w:eastAsia="zh-CN"/>
        </w:rPr>
        <w:t>5.0</w:t>
      </w:r>
      <w:r>
        <w:rPr>
          <w:rFonts w:hint="default" w:ascii="Times New Roman" w:hAnsi="Times New Roman" w:cs="Times New Roman"/>
          <w:sz w:val="24"/>
          <w:u w:val="none" w:color="auto"/>
        </w:rPr>
        <w:t>MW</w:t>
      </w:r>
      <w:r>
        <w:rPr>
          <w:rFonts w:hint="eastAsia" w:ascii="Times New Roman" w:hAnsi="Times New Roman" w:cs="Times New Roman"/>
          <w:sz w:val="24"/>
          <w:u w:val="none" w:color="auto"/>
          <w:lang w:val="en-US" w:eastAsia="zh-CN"/>
        </w:rPr>
        <w:t>的风力发电机组，</w:t>
      </w:r>
      <w:r>
        <w:rPr>
          <w:rFonts w:hint="default" w:ascii="Times New Roman" w:hAnsi="Times New Roman" w:cs="Times New Roman"/>
          <w:sz w:val="24"/>
          <w:u w:val="none" w:color="auto"/>
        </w:rPr>
        <w:t>总装机</w:t>
      </w:r>
      <w:r>
        <w:rPr>
          <w:rFonts w:hint="eastAsia" w:ascii="Times New Roman" w:hAnsi="Times New Roman" w:cs="Times New Roman"/>
          <w:sz w:val="24"/>
          <w:u w:val="none" w:color="auto"/>
          <w:lang w:val="en-US" w:eastAsia="zh-CN"/>
        </w:rPr>
        <w:t>规模</w:t>
      </w:r>
      <w:r>
        <w:rPr>
          <w:rFonts w:hint="default" w:ascii="Times New Roman" w:hAnsi="Times New Roman" w:cs="Times New Roman"/>
          <w:sz w:val="24"/>
          <w:u w:val="none" w:color="auto"/>
        </w:rPr>
        <w:t>为</w:t>
      </w:r>
      <w:r>
        <w:rPr>
          <w:rFonts w:hint="eastAsia" w:cs="Times New Roman"/>
          <w:sz w:val="24"/>
          <w:u w:val="none" w:color="auto"/>
          <w:lang w:val="en-US" w:eastAsia="zh-CN"/>
        </w:rPr>
        <w:t>75</w:t>
      </w:r>
      <w:r>
        <w:rPr>
          <w:rFonts w:hint="default" w:ascii="Times New Roman" w:hAnsi="Times New Roman" w:cs="Times New Roman"/>
          <w:sz w:val="24"/>
          <w:u w:val="none" w:color="auto"/>
        </w:rPr>
        <w:t>MW</w:t>
      </w:r>
      <w:r>
        <w:rPr>
          <w:rFonts w:hint="eastAsia" w:ascii="Times New Roman" w:hAnsi="Times New Roman" w:cs="Times New Roman"/>
          <w:sz w:val="24"/>
          <w:u w:val="none" w:color="auto"/>
          <w:lang w:eastAsia="zh-CN"/>
        </w:rPr>
        <w:t>；</w:t>
      </w:r>
      <w:r>
        <w:rPr>
          <w:rFonts w:hint="eastAsia" w:ascii="Times New Roman" w:hAnsi="Times New Roman" w:cs="Times New Roman"/>
          <w:sz w:val="24"/>
          <w:u w:val="none" w:color="auto"/>
          <w:lang w:val="en-US" w:eastAsia="zh-CN"/>
        </w:rPr>
        <w:t>新建一座220</w:t>
      </w:r>
      <w:r>
        <w:rPr>
          <w:rFonts w:hint="eastAsia" w:cs="Times New Roman"/>
          <w:sz w:val="24"/>
          <w:u w:val="none" w:color="auto"/>
          <w:lang w:val="en-US" w:eastAsia="zh-CN"/>
        </w:rPr>
        <w:t>kV</w:t>
      </w:r>
      <w:r>
        <w:rPr>
          <w:rFonts w:hint="eastAsia" w:ascii="Times New Roman" w:hAnsi="Times New Roman" w:cs="Times New Roman"/>
          <w:sz w:val="24"/>
          <w:u w:val="none" w:color="auto"/>
          <w:lang w:val="en-US" w:eastAsia="zh-CN"/>
        </w:rPr>
        <w:t>汇集站，集电线路长度19.3km；新建场内道路约21.3km</w:t>
      </w:r>
      <w:r>
        <w:rPr>
          <w:rFonts w:hint="eastAsia" w:ascii="Times New Roman" w:hAnsi="Times New Roman" w:cs="Times New Roman"/>
          <w:sz w:val="24"/>
          <w:szCs w:val="24"/>
          <w:u w:val="none" w:color="auto"/>
          <w:lang w:eastAsia="zh-CN"/>
        </w:rPr>
        <w:t>。</w:t>
      </w:r>
    </w:p>
    <w:p>
      <w:pPr>
        <w:bidi w:val="0"/>
        <w:rPr>
          <w:rFonts w:hint="default"/>
        </w:rPr>
      </w:pPr>
      <w:r>
        <w:rPr>
          <w:rFonts w:hint="default"/>
        </w:rPr>
        <w:t>建设工期：12个月。</w:t>
      </w:r>
    </w:p>
    <w:p>
      <w:pPr>
        <w:bidi w:val="0"/>
        <w:rPr>
          <w:rFonts w:hint="eastAsia"/>
          <w:lang w:val="en-US" w:eastAsia="zh-CN"/>
        </w:rPr>
      </w:pPr>
      <w:r>
        <w:rPr>
          <w:rFonts w:hint="eastAsia"/>
          <w:lang w:eastAsia="zh-CN"/>
        </w:rPr>
        <w:t>环评手续：</w:t>
      </w:r>
      <w:r>
        <w:rPr>
          <w:rFonts w:hint="eastAsia"/>
          <w:lang w:val="en-US" w:eastAsia="zh-CN"/>
        </w:rPr>
        <w:t>2022年，建设单位委托</w:t>
      </w:r>
      <w:r>
        <w:rPr>
          <w:rFonts w:hint="default"/>
        </w:rPr>
        <w:t>湖南天瑶环境技术有限公司</w:t>
      </w:r>
      <w:r>
        <w:rPr>
          <w:rFonts w:hint="eastAsia"/>
          <w:lang w:eastAsia="zh-CN"/>
        </w:rPr>
        <w:t>编制了《</w:t>
      </w:r>
      <w:r>
        <w:rPr>
          <w:rFonts w:hint="eastAsia"/>
        </w:rPr>
        <w:t>湖南华电永州蓝山大源风电项目</w:t>
      </w:r>
      <w:r>
        <w:rPr>
          <w:rFonts w:hint="default"/>
        </w:rPr>
        <w:t>环境影响报告表</w:t>
      </w:r>
      <w:r>
        <w:rPr>
          <w:rFonts w:hint="eastAsia"/>
          <w:lang w:eastAsia="zh-CN"/>
        </w:rPr>
        <w:t>》，并获得永州市生态环境局批复（永</w:t>
      </w:r>
      <w:r>
        <w:rPr>
          <w:rFonts w:hint="default"/>
        </w:rPr>
        <w:t>环评</w:t>
      </w:r>
      <w:r>
        <w:rPr>
          <w:rFonts w:hint="eastAsia"/>
          <w:lang w:eastAsia="zh-CN"/>
        </w:rPr>
        <w:t>[20</w:t>
      </w:r>
      <w:r>
        <w:rPr>
          <w:rFonts w:hint="eastAsia"/>
          <w:lang w:val="en-US" w:eastAsia="zh-CN"/>
        </w:rPr>
        <w:t>22</w:t>
      </w:r>
      <w:r>
        <w:rPr>
          <w:rFonts w:hint="eastAsia"/>
          <w:lang w:eastAsia="zh-CN"/>
        </w:rPr>
        <w:t>]</w:t>
      </w:r>
      <w:r>
        <w:rPr>
          <w:rFonts w:hint="eastAsia"/>
          <w:lang w:val="en-US" w:eastAsia="zh-CN"/>
        </w:rPr>
        <w:t>21</w:t>
      </w:r>
      <w:r>
        <w:rPr>
          <w:rFonts w:hint="eastAsia"/>
          <w:lang w:eastAsia="zh-CN"/>
        </w:rPr>
        <w:t>号）。项目于</w:t>
      </w:r>
      <w:r>
        <w:rPr>
          <w:rFonts w:hint="eastAsia"/>
          <w:lang w:val="en-US" w:eastAsia="zh-CN"/>
        </w:rPr>
        <w:t>2024年2月开工建设，目前已建设完成，尚未验收。</w:t>
      </w:r>
    </w:p>
    <w:p>
      <w:pPr>
        <w:pStyle w:val="458"/>
        <w:ind w:firstLine="602"/>
        <w:rPr>
          <w:color w:val="000000" w:themeColor="text1"/>
          <w:u w:val="none" w:color="auto"/>
          <w14:textFill>
            <w14:solidFill>
              <w14:schemeClr w14:val="tx1"/>
            </w14:solidFill>
          </w14:textFill>
        </w:rPr>
      </w:pPr>
      <w:r>
        <w:rPr>
          <w:rFonts w:hint="eastAsia"/>
          <w:color w:val="000000" w:themeColor="text1"/>
          <w:u w:val="none" w:color="auto"/>
          <w:lang w:eastAsia="zh-CN"/>
          <w14:textFill>
            <w14:solidFill>
              <w14:schemeClr w14:val="tx1"/>
            </w14:solidFill>
          </w14:textFill>
        </w:rPr>
        <w:t>建设内容</w:t>
      </w:r>
    </w:p>
    <w:p>
      <w:pPr>
        <w:bidi w:val="0"/>
        <w:rPr>
          <w:rFonts w:hint="default"/>
        </w:rPr>
      </w:pPr>
      <w:r>
        <w:rPr>
          <w:rFonts w:hint="default"/>
        </w:rPr>
        <w:t>本工程由风机基础工程、</w:t>
      </w:r>
      <w:r>
        <w:rPr>
          <w:rFonts w:hint="eastAsia"/>
          <w:lang w:val="en-US" w:eastAsia="zh-CN"/>
        </w:rPr>
        <w:t>汇集站、</w:t>
      </w:r>
      <w:r>
        <w:rPr>
          <w:rFonts w:hint="default"/>
        </w:rPr>
        <w:t>集电线路工程、道路工程、施工生产区、弃渣场等组成。项目组成详见表</w:t>
      </w:r>
      <w:r>
        <w:rPr>
          <w:rFonts w:hint="eastAsia"/>
          <w:lang w:val="en-US" w:eastAsia="zh-CN"/>
        </w:rPr>
        <w:t>2-1</w:t>
      </w:r>
      <w:r>
        <w:rPr>
          <w:rFonts w:hint="default"/>
        </w:rPr>
        <w:t>。</w:t>
      </w:r>
    </w:p>
    <w:p>
      <w:pPr>
        <w:pStyle w:val="2289"/>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pPr>
      <w:r>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t>项目组成一览表</w:t>
      </w:r>
    </w:p>
    <w:tbl>
      <w:tblPr>
        <w:tblStyle w:val="88"/>
        <w:tblW w:w="921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8"/>
        <w:gridCol w:w="1292"/>
        <w:gridCol w:w="71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70" w:type="dxa"/>
            <w:gridSpan w:val="2"/>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spacing w:val="6"/>
                <w:sz w:val="21"/>
                <w:szCs w:val="21"/>
                <w:u w:val="none" w:color="auto"/>
              </w:rPr>
            </w:pPr>
            <w:r>
              <w:rPr>
                <w:rFonts w:hint="default" w:ascii="Times New Roman" w:hAnsi="Times New Roman" w:cs="Times New Roman"/>
                <w:b/>
                <w:bCs/>
                <w:spacing w:val="6"/>
                <w:sz w:val="21"/>
                <w:szCs w:val="21"/>
                <w:u w:val="none" w:color="auto"/>
              </w:rPr>
              <w:t>项目组成</w:t>
            </w:r>
          </w:p>
        </w:tc>
        <w:tc>
          <w:tcPr>
            <w:tcW w:w="7143"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spacing w:val="6"/>
                <w:sz w:val="21"/>
                <w:szCs w:val="21"/>
                <w:u w:val="none" w:color="auto"/>
              </w:rPr>
            </w:pPr>
            <w:r>
              <w:rPr>
                <w:rFonts w:hint="default" w:ascii="Times New Roman" w:hAnsi="Times New Roman" w:cs="Times New Roman"/>
                <w:b/>
                <w:bCs/>
                <w:spacing w:val="6"/>
                <w:sz w:val="21"/>
                <w:szCs w:val="21"/>
                <w:u w:val="none" w:color="auto"/>
              </w:rPr>
              <w:t>建设内容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778" w:type="dxa"/>
            <w:vMerge w:val="restart"/>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主体工程</w:t>
            </w:r>
          </w:p>
        </w:tc>
        <w:tc>
          <w:tcPr>
            <w:tcW w:w="1292" w:type="dxa"/>
            <w:noWrap w:val="0"/>
            <w:vAlign w:val="center"/>
          </w:tcPr>
          <w:p>
            <w:pPr>
              <w:pStyle w:val="3672"/>
              <w:tabs>
                <w:tab w:val="left" w:pos="480"/>
              </w:tabs>
              <w:ind w:firstLine="0" w:firstLineChars="0"/>
              <w:jc w:val="center"/>
              <w:rPr>
                <w:rFonts w:hint="default"/>
                <w:color w:val="auto"/>
              </w:rPr>
            </w:pPr>
            <w:r>
              <w:rPr>
                <w:color w:val="auto"/>
              </w:rPr>
              <w:t>风电机组</w:t>
            </w:r>
          </w:p>
        </w:tc>
        <w:tc>
          <w:tcPr>
            <w:tcW w:w="7143" w:type="dxa"/>
            <w:noWrap w:val="0"/>
            <w:vAlign w:val="center"/>
          </w:tcPr>
          <w:p>
            <w:pPr>
              <w:pStyle w:val="3672"/>
              <w:tabs>
                <w:tab w:val="left" w:pos="480"/>
              </w:tabs>
              <w:ind w:firstLine="0" w:firstLineChars="0"/>
              <w:jc w:val="center"/>
              <w:rPr>
                <w:rFonts w:hint="default"/>
                <w:color w:val="auto"/>
              </w:rPr>
            </w:pPr>
            <w:r>
              <w:rPr>
                <w:color w:val="auto"/>
                <w:lang w:eastAsia="zh-CN"/>
              </w:rPr>
              <w:t>设计安装</w:t>
            </w:r>
            <w:r>
              <w:rPr>
                <w:rFonts w:hint="eastAsia"/>
                <w:color w:val="auto"/>
                <w:lang w:val="en-US" w:eastAsia="zh-CN"/>
              </w:rPr>
              <w:t>15台</w:t>
            </w:r>
            <w:r>
              <w:rPr>
                <w:color w:val="auto"/>
                <w:lang w:eastAsia="zh-CN"/>
              </w:rPr>
              <w:t>单机容量</w:t>
            </w:r>
            <w:r>
              <w:rPr>
                <w:rFonts w:hint="eastAsia"/>
                <w:color w:val="auto"/>
                <w:lang w:val="en-US" w:eastAsia="zh-CN"/>
              </w:rPr>
              <w:t>为</w:t>
            </w:r>
            <w:r>
              <w:rPr>
                <w:color w:val="auto"/>
                <w:lang w:eastAsia="zh-CN"/>
              </w:rPr>
              <w:t>5.0MW</w:t>
            </w:r>
            <w:r>
              <w:rPr>
                <w:rFonts w:hint="eastAsia"/>
                <w:color w:val="auto"/>
                <w:lang w:val="en-US" w:eastAsia="zh-CN"/>
              </w:rPr>
              <w:t>的</w:t>
            </w:r>
            <w:r>
              <w:rPr>
                <w:color w:val="auto"/>
                <w:lang w:eastAsia="zh-CN"/>
              </w:rPr>
              <w:t>风力发电机，</w:t>
            </w:r>
            <w:r>
              <w:rPr>
                <w:rFonts w:hint="eastAsia"/>
                <w:color w:val="auto"/>
                <w:lang w:val="en-US" w:eastAsia="zh-CN"/>
              </w:rPr>
              <w:t>总</w:t>
            </w:r>
            <w:r>
              <w:rPr>
                <w:color w:val="auto"/>
                <w:lang w:eastAsia="zh-CN"/>
              </w:rPr>
              <w:t>装机容量</w:t>
            </w:r>
            <w:r>
              <w:rPr>
                <w:rFonts w:hint="eastAsia"/>
                <w:color w:val="auto"/>
                <w:lang w:val="en-US" w:eastAsia="zh-CN"/>
              </w:rPr>
              <w:t>75</w:t>
            </w:r>
            <w:r>
              <w:rPr>
                <w:color w:val="auto"/>
                <w:lang w:eastAsia="zh-CN"/>
              </w:rPr>
              <w:t>MW，3叶片，风机轮毂高度约为 110m，风机叶片直径195m。</w:t>
            </w:r>
            <w:r>
              <w:rPr>
                <w:rFonts w:hint="eastAsia"/>
                <w:color w:val="auto"/>
              </w:rPr>
              <w:t>每台风机配套安装1台容量为5500</w:t>
            </w:r>
            <w:r>
              <w:rPr>
                <w:rFonts w:hint="eastAsia"/>
                <w:color w:val="auto"/>
                <w:lang w:eastAsia="zh-CN"/>
              </w:rPr>
              <w:t>kV</w:t>
            </w:r>
            <w:r>
              <w:rPr>
                <w:rFonts w:hint="eastAsia"/>
                <w:color w:val="auto"/>
              </w:rPr>
              <w:t>A的</w:t>
            </w:r>
            <w:r>
              <w:rPr>
                <w:rFonts w:hint="eastAsia"/>
                <w:color w:val="auto"/>
                <w:lang w:val="en-US" w:eastAsia="zh-CN"/>
              </w:rPr>
              <w:t>箱式变压器，</w:t>
            </w:r>
            <w:r>
              <w:rPr>
                <w:color w:val="auto"/>
                <w:lang w:eastAsia="zh-CN"/>
              </w:rPr>
              <w:t>箱变布置在风力发电机附近。箱变高压35</w:t>
            </w:r>
            <w:r>
              <w:rPr>
                <w:rFonts w:hint="eastAsia"/>
                <w:color w:val="auto"/>
                <w:lang w:eastAsia="zh-CN"/>
              </w:rPr>
              <w:t>kV</w:t>
            </w:r>
            <w:r>
              <w:rPr>
                <w:color w:val="auto"/>
                <w:lang w:eastAsia="zh-CN"/>
              </w:rPr>
              <w:t>侧采用并联接线方式</w:t>
            </w:r>
            <w:r>
              <w:rPr>
                <w:rFonts w:hint="eastAsia"/>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8" w:hRule="atLeast"/>
          <w:jc w:val="center"/>
        </w:trPr>
        <w:tc>
          <w:tcPr>
            <w:tcW w:w="778" w:type="dxa"/>
            <w:vMerge w:val="continue"/>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p>
        </w:tc>
        <w:tc>
          <w:tcPr>
            <w:tcW w:w="1292"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pacing w:val="6"/>
                <w:sz w:val="21"/>
                <w:szCs w:val="21"/>
                <w:u w:val="none" w:color="auto"/>
                <w:lang w:eastAsia="zh-CN"/>
              </w:rPr>
            </w:pPr>
            <w:r>
              <w:rPr>
                <w:rFonts w:hint="eastAsia" w:cs="Times New Roman"/>
                <w:spacing w:val="6"/>
                <w:sz w:val="21"/>
                <w:szCs w:val="21"/>
                <w:u w:val="none" w:color="auto"/>
                <w:lang w:eastAsia="zh-CN"/>
              </w:rPr>
              <w:t>汇集站</w:t>
            </w:r>
          </w:p>
        </w:tc>
        <w:tc>
          <w:tcPr>
            <w:tcW w:w="7143" w:type="dxa"/>
            <w:noWrap w:val="0"/>
            <w:vAlign w:val="center"/>
          </w:tcPr>
          <w:p>
            <w:pPr>
              <w:pStyle w:val="3672"/>
              <w:tabs>
                <w:tab w:val="left" w:pos="480"/>
              </w:tabs>
              <w:ind w:firstLine="0" w:firstLineChars="0"/>
              <w:jc w:val="center"/>
              <w:rPr>
                <w:rFonts w:hint="default" w:ascii="Times New Roman" w:hAnsi="Times New Roman" w:cs="Times New Roman"/>
                <w:spacing w:val="6"/>
                <w:sz w:val="21"/>
                <w:szCs w:val="21"/>
                <w:u w:val="none" w:color="auto"/>
              </w:rPr>
            </w:pPr>
            <w:r>
              <w:rPr>
                <w:color w:val="auto"/>
                <w:sz w:val="21"/>
                <w:szCs w:val="21"/>
                <w:lang w:eastAsia="zh-CN"/>
              </w:rPr>
              <w:t>新建1座</w:t>
            </w:r>
            <w:r>
              <w:rPr>
                <w:rFonts w:hint="eastAsia"/>
                <w:color w:val="auto"/>
                <w:lang w:val="en-US" w:eastAsia="zh-CN"/>
              </w:rPr>
              <w:t>220</w:t>
            </w:r>
            <w:r>
              <w:rPr>
                <w:rFonts w:hint="eastAsia"/>
                <w:color w:val="auto"/>
                <w:lang w:eastAsia="zh-CN"/>
              </w:rPr>
              <w:t>kV</w:t>
            </w:r>
            <w:r>
              <w:rPr>
                <w:rFonts w:hint="eastAsia"/>
                <w:color w:val="auto"/>
                <w:sz w:val="21"/>
                <w:szCs w:val="21"/>
                <w:lang w:val="en-US" w:eastAsia="zh-CN"/>
              </w:rPr>
              <w:t>汇集站，汇集站主变容量近期2×240MVA，远期3×240MVA，本项目以35kV输电线路接入汇集站。全站建筑物包括：生产综合楼、35kV配电装置室。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78" w:type="dxa"/>
            <w:vMerge w:val="restart"/>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辅助工程</w:t>
            </w:r>
          </w:p>
        </w:tc>
        <w:tc>
          <w:tcPr>
            <w:tcW w:w="1292" w:type="dxa"/>
            <w:noWrap w:val="0"/>
            <w:vAlign w:val="center"/>
          </w:tcPr>
          <w:p>
            <w:pPr>
              <w:pStyle w:val="3672"/>
              <w:tabs>
                <w:tab w:val="left" w:pos="480"/>
              </w:tabs>
              <w:ind w:firstLine="0" w:firstLineChars="0"/>
              <w:jc w:val="center"/>
              <w:rPr>
                <w:rFonts w:hint="default"/>
                <w:color w:val="auto"/>
                <w:sz w:val="21"/>
                <w:szCs w:val="21"/>
                <w:lang w:val="en-US" w:eastAsia="zh-CN"/>
              </w:rPr>
            </w:pPr>
            <w:r>
              <w:rPr>
                <w:rFonts w:hint="default"/>
                <w:color w:val="auto"/>
                <w:sz w:val="21"/>
                <w:szCs w:val="21"/>
                <w:lang w:val="en-US" w:eastAsia="zh-CN"/>
              </w:rPr>
              <w:t>集电线路工程</w:t>
            </w:r>
          </w:p>
        </w:tc>
        <w:tc>
          <w:tcPr>
            <w:tcW w:w="7143" w:type="dxa"/>
            <w:noWrap w:val="0"/>
            <w:vAlign w:val="center"/>
          </w:tcPr>
          <w:p>
            <w:pPr>
              <w:pStyle w:val="3672"/>
              <w:tabs>
                <w:tab w:val="left" w:pos="480"/>
              </w:tabs>
              <w:ind w:firstLine="0" w:firstLineChars="0"/>
              <w:jc w:val="center"/>
              <w:rPr>
                <w:rFonts w:hint="default"/>
                <w:color w:val="auto"/>
                <w:sz w:val="21"/>
                <w:szCs w:val="21"/>
                <w:lang w:val="en-US" w:eastAsia="zh-CN"/>
              </w:rPr>
            </w:pPr>
            <w:r>
              <w:rPr>
                <w:rFonts w:hint="eastAsia"/>
                <w:color w:val="auto"/>
                <w:sz w:val="21"/>
                <w:szCs w:val="21"/>
                <w:lang w:val="en-US" w:eastAsia="zh-CN"/>
              </w:rPr>
              <w:t>35kV集电线路长度19.3km，采用直埋电缆方式沿场内道路铺设，风电场共设4回集电线路。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78" w:type="dxa"/>
            <w:vMerge w:val="continue"/>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p>
        </w:tc>
        <w:tc>
          <w:tcPr>
            <w:tcW w:w="1292"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道路工程</w:t>
            </w:r>
          </w:p>
        </w:tc>
        <w:tc>
          <w:tcPr>
            <w:tcW w:w="7143"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pacing w:val="6"/>
                <w:sz w:val="21"/>
                <w:szCs w:val="21"/>
                <w:u w:val="none" w:color="auto"/>
                <w:lang w:eastAsia="zh-CN"/>
              </w:rPr>
            </w:pPr>
            <w:r>
              <w:rPr>
                <w:rFonts w:hint="default" w:ascii="Times New Roman" w:hAnsi="Times New Roman" w:cs="Times New Roman"/>
                <w:spacing w:val="6"/>
                <w:sz w:val="21"/>
                <w:szCs w:val="21"/>
                <w:u w:val="none" w:color="auto"/>
              </w:rPr>
              <w:t>场外交通：</w:t>
            </w:r>
            <w:r>
              <w:rPr>
                <w:rFonts w:hint="eastAsia" w:cs="Times New Roman"/>
                <w:spacing w:val="6"/>
                <w:sz w:val="21"/>
                <w:szCs w:val="21"/>
                <w:u w:val="none" w:color="auto"/>
                <w:lang w:val="en-US" w:eastAsia="zh-CN"/>
              </w:rPr>
              <w:t>进场道路</w:t>
            </w:r>
            <w:r>
              <w:rPr>
                <w:rFonts w:hint="default" w:ascii="Times New Roman" w:hAnsi="Times New Roman" w:cs="Times New Roman"/>
                <w:spacing w:val="6"/>
                <w:sz w:val="21"/>
                <w:szCs w:val="21"/>
                <w:u w:val="none" w:color="auto"/>
              </w:rPr>
              <w:t>依托</w:t>
            </w:r>
            <w:r>
              <w:rPr>
                <w:rFonts w:hint="eastAsia" w:cs="Times New Roman"/>
                <w:spacing w:val="6"/>
                <w:sz w:val="21"/>
                <w:szCs w:val="21"/>
                <w:u w:val="none" w:color="auto"/>
                <w:lang w:val="en-US" w:eastAsia="zh-CN"/>
              </w:rPr>
              <w:t>现有</w:t>
            </w:r>
            <w:r>
              <w:rPr>
                <w:rFonts w:hint="default" w:ascii="Times New Roman" w:hAnsi="Times New Roman" w:cs="Times New Roman"/>
                <w:spacing w:val="6"/>
                <w:sz w:val="21"/>
                <w:szCs w:val="21"/>
                <w:u w:val="none" w:color="auto"/>
              </w:rPr>
              <w:t>防火巡护林道</w:t>
            </w:r>
            <w:r>
              <w:rPr>
                <w:rFonts w:hint="eastAsia" w:cs="Times New Roman"/>
                <w:spacing w:val="6"/>
                <w:sz w:val="21"/>
                <w:szCs w:val="21"/>
                <w:u w:val="none" w:color="auto"/>
                <w:lang w:eastAsia="zh-CN"/>
              </w:rPr>
              <w:t>。</w:t>
            </w:r>
          </w:p>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场内交通：场内新建道路总长约21.3km。新建道路路基宽5.5m，路面宽4.5m，采用20cm厚山皮石路面结构。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778" w:type="dxa"/>
            <w:vMerge w:val="restart"/>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临时工程</w:t>
            </w:r>
          </w:p>
        </w:tc>
        <w:tc>
          <w:tcPr>
            <w:tcW w:w="1292"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施工生产生活区</w:t>
            </w:r>
          </w:p>
        </w:tc>
        <w:tc>
          <w:tcPr>
            <w:tcW w:w="7143"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占地面积约5400m</w:t>
            </w:r>
            <w:r>
              <w:rPr>
                <w:rFonts w:hint="default" w:ascii="Times New Roman" w:hAnsi="Times New Roman" w:cs="Times New Roman"/>
                <w:spacing w:val="6"/>
                <w:sz w:val="21"/>
                <w:szCs w:val="21"/>
                <w:u w:val="none" w:color="auto"/>
                <w:vertAlign w:val="superscript"/>
              </w:rPr>
              <w:t>2</w:t>
            </w:r>
            <w:r>
              <w:rPr>
                <w:rFonts w:hint="default" w:ascii="Times New Roman" w:hAnsi="Times New Roman" w:cs="Times New Roman"/>
                <w:spacing w:val="6"/>
                <w:sz w:val="21"/>
                <w:szCs w:val="21"/>
                <w:u w:val="none" w:color="auto"/>
              </w:rPr>
              <w:t>，主要包括综合加工厂、综合仓库、机械停放场、临时生活办公区。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778" w:type="dxa"/>
            <w:vMerge w:val="continue"/>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p>
        </w:tc>
        <w:tc>
          <w:tcPr>
            <w:tcW w:w="1292"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弃渣场</w:t>
            </w:r>
          </w:p>
        </w:tc>
        <w:tc>
          <w:tcPr>
            <w:tcW w:w="7143"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设</w:t>
            </w:r>
            <w:r>
              <w:rPr>
                <w:rFonts w:hint="eastAsia" w:cs="Times New Roman"/>
                <w:spacing w:val="6"/>
                <w:sz w:val="21"/>
                <w:szCs w:val="21"/>
                <w:u w:val="none" w:color="auto"/>
                <w:lang w:val="en-US" w:eastAsia="zh-CN"/>
              </w:rPr>
              <w:t>11</w:t>
            </w:r>
            <w:r>
              <w:rPr>
                <w:rFonts w:hint="default" w:ascii="Times New Roman" w:hAnsi="Times New Roman" w:cs="Times New Roman"/>
                <w:spacing w:val="6"/>
                <w:sz w:val="21"/>
                <w:szCs w:val="21"/>
                <w:u w:val="none" w:color="auto"/>
              </w:rPr>
              <w:t>个弃渣场，总占地面积</w:t>
            </w:r>
            <w:r>
              <w:rPr>
                <w:rFonts w:hint="eastAsia" w:cs="Times New Roman"/>
                <w:spacing w:val="6"/>
                <w:sz w:val="21"/>
                <w:szCs w:val="21"/>
                <w:u w:val="none" w:color="auto"/>
                <w:lang w:val="en-US" w:eastAsia="zh-CN"/>
              </w:rPr>
              <w:t>4</w:t>
            </w:r>
            <w:r>
              <w:rPr>
                <w:rFonts w:hint="default" w:ascii="Times New Roman" w:hAnsi="Times New Roman" w:cs="Times New Roman"/>
                <w:spacing w:val="6"/>
                <w:sz w:val="21"/>
                <w:szCs w:val="21"/>
                <w:u w:val="none" w:color="auto"/>
              </w:rPr>
              <w:t>.13hm</w:t>
            </w:r>
            <w:r>
              <w:rPr>
                <w:rFonts w:hint="default" w:ascii="Times New Roman" w:hAnsi="Times New Roman" w:cs="Times New Roman"/>
                <w:spacing w:val="6"/>
                <w:sz w:val="21"/>
                <w:szCs w:val="21"/>
                <w:u w:val="none" w:color="auto"/>
                <w:vertAlign w:val="superscript"/>
              </w:rPr>
              <w:t>2</w:t>
            </w:r>
            <w:r>
              <w:rPr>
                <w:rFonts w:hint="default" w:ascii="Times New Roman" w:hAnsi="Times New Roman" w:cs="Times New Roman"/>
                <w:spacing w:val="6"/>
                <w:sz w:val="21"/>
                <w:szCs w:val="21"/>
                <w:u w:val="none" w:color="auto"/>
              </w:rPr>
              <w:t>，堆渣量为</w:t>
            </w:r>
            <w:r>
              <w:rPr>
                <w:rFonts w:hint="eastAsia" w:cs="Times New Roman"/>
                <w:spacing w:val="6"/>
                <w:sz w:val="21"/>
                <w:szCs w:val="21"/>
                <w:u w:val="none" w:color="auto"/>
                <w:lang w:val="en-US" w:eastAsia="zh-CN"/>
              </w:rPr>
              <w:t>37.41</w:t>
            </w:r>
            <w:r>
              <w:rPr>
                <w:rFonts w:hint="default" w:ascii="Times New Roman" w:hAnsi="Times New Roman" w:cs="Times New Roman"/>
                <w:spacing w:val="6"/>
                <w:sz w:val="21"/>
                <w:szCs w:val="21"/>
                <w:u w:val="none" w:color="auto"/>
              </w:rPr>
              <w:t>万m</w:t>
            </w:r>
            <w:r>
              <w:rPr>
                <w:rFonts w:hint="default" w:ascii="Times New Roman" w:hAnsi="Times New Roman" w:cs="Times New Roman"/>
                <w:spacing w:val="6"/>
                <w:sz w:val="21"/>
                <w:szCs w:val="21"/>
                <w:u w:val="none" w:color="auto"/>
                <w:vertAlign w:val="superscript"/>
              </w:rPr>
              <w:t>3</w:t>
            </w:r>
            <w:r>
              <w:rPr>
                <w:rFonts w:hint="default" w:ascii="Times New Roman" w:hAnsi="Times New Roman" w:cs="Times New Roman"/>
                <w:spacing w:val="6"/>
                <w:sz w:val="21"/>
                <w:szCs w:val="21"/>
                <w:u w:val="none" w:color="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778" w:type="dxa"/>
            <w:vMerge w:val="restart"/>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pacing w:val="6"/>
                <w:sz w:val="21"/>
                <w:szCs w:val="21"/>
                <w:u w:val="none" w:color="auto"/>
                <w:lang w:val="en-US" w:eastAsia="zh-CN"/>
              </w:rPr>
            </w:pPr>
            <w:r>
              <w:rPr>
                <w:rFonts w:hint="eastAsia" w:cs="Times New Roman"/>
                <w:spacing w:val="6"/>
                <w:sz w:val="21"/>
                <w:szCs w:val="21"/>
                <w:u w:val="none" w:color="auto"/>
                <w:lang w:val="en-US" w:eastAsia="zh-CN"/>
              </w:rPr>
              <w:t>公用工程</w:t>
            </w:r>
          </w:p>
        </w:tc>
        <w:tc>
          <w:tcPr>
            <w:tcW w:w="1292" w:type="dxa"/>
            <w:shd w:val="clear" w:color="auto" w:fill="auto"/>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spacing w:val="6"/>
                <w:sz w:val="21"/>
                <w:szCs w:val="21"/>
                <w:u w:val="none" w:color="auto"/>
              </w:rPr>
              <w:t>供水</w:t>
            </w:r>
          </w:p>
        </w:tc>
        <w:tc>
          <w:tcPr>
            <w:tcW w:w="7143" w:type="dxa"/>
            <w:shd w:val="clear" w:color="auto" w:fill="auto"/>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pacing w:val="6"/>
                <w:sz w:val="21"/>
                <w:szCs w:val="21"/>
                <w:u w:val="none" w:color="auto"/>
                <w:lang w:val="en-US" w:eastAsia="zh-CN"/>
              </w:rPr>
            </w:pPr>
            <w:r>
              <w:rPr>
                <w:rFonts w:hint="eastAsia" w:ascii="Times New Roman" w:hAnsi="Times New Roman" w:eastAsia="宋体" w:cs="Times New Roman"/>
                <w:spacing w:val="6"/>
                <w:sz w:val="21"/>
                <w:szCs w:val="21"/>
                <w:u w:val="none" w:color="auto"/>
                <w:lang w:val="en-US" w:eastAsia="zh-CN"/>
              </w:rPr>
              <w:t>汇集站建设一口水井供应运营期用水。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778" w:type="dxa"/>
            <w:vMerge w:val="continue"/>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p>
        </w:tc>
        <w:tc>
          <w:tcPr>
            <w:tcW w:w="1292" w:type="dxa"/>
            <w:shd w:val="clear" w:color="auto" w:fill="auto"/>
            <w:noWrap w:val="0"/>
            <w:vAlign w:val="center"/>
          </w:tcPr>
          <w:p>
            <w:pPr>
              <w:pStyle w:val="151"/>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ascii="Times New Roman" w:eastAsia="宋体" w:cs="Times New Roman"/>
                <w:color w:val="auto"/>
                <w:sz w:val="21"/>
                <w:szCs w:val="21"/>
                <w:u w:val="none"/>
              </w:rPr>
              <w:t>供电</w:t>
            </w:r>
          </w:p>
        </w:tc>
        <w:tc>
          <w:tcPr>
            <w:tcW w:w="7143" w:type="dxa"/>
            <w:shd w:val="clear" w:color="auto" w:fill="auto"/>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pacing w:val="6"/>
                <w:sz w:val="21"/>
                <w:szCs w:val="21"/>
                <w:u w:val="none" w:color="auto"/>
                <w:lang w:val="en-US" w:eastAsia="zh-CN"/>
              </w:rPr>
            </w:pPr>
            <w:r>
              <w:rPr>
                <w:rFonts w:hint="eastAsia" w:ascii="Times New Roman" w:hAnsi="Times New Roman" w:eastAsia="宋体" w:cs="Times New Roman"/>
                <w:spacing w:val="6"/>
                <w:sz w:val="21"/>
                <w:szCs w:val="21"/>
                <w:u w:val="none" w:color="auto"/>
                <w:lang w:val="en-US" w:eastAsia="zh-CN"/>
              </w:rPr>
              <w:t>汇集站用电采取就近接入原则，从附近村庄10kV线路引接，其余施工临时用电从汇集站引接。为适应风电机组分布比较散的特点，施工用电还考虑配备2台50kW移动式柴油发电机发电，远离汇集站的施工用电由柴油发电机供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8" w:type="dxa"/>
            <w:vMerge w:val="restart"/>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环保工程</w:t>
            </w:r>
          </w:p>
        </w:tc>
        <w:tc>
          <w:tcPr>
            <w:tcW w:w="1292"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废水</w:t>
            </w:r>
          </w:p>
        </w:tc>
        <w:tc>
          <w:tcPr>
            <w:tcW w:w="7143"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生活污水经一体化污水处理设施处理后，经蓄水池收集用于周边</w:t>
            </w:r>
            <w:r>
              <w:rPr>
                <w:rFonts w:hint="eastAsia" w:cs="Times New Roman"/>
                <w:spacing w:val="6"/>
                <w:sz w:val="21"/>
                <w:szCs w:val="21"/>
                <w:u w:val="none" w:color="auto"/>
                <w:lang w:val="en-US" w:eastAsia="zh-CN"/>
              </w:rPr>
              <w:t>绿化</w:t>
            </w:r>
            <w:r>
              <w:rPr>
                <w:rFonts w:hint="default" w:ascii="Times New Roman" w:hAnsi="Times New Roman" w:cs="Times New Roman"/>
                <w:spacing w:val="6"/>
                <w:sz w:val="21"/>
                <w:szCs w:val="21"/>
                <w:u w:val="none" w:color="auto"/>
              </w:rPr>
              <w:t>，不外排。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78" w:type="dxa"/>
            <w:vMerge w:val="continue"/>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p>
        </w:tc>
        <w:tc>
          <w:tcPr>
            <w:tcW w:w="1292" w:type="dxa"/>
            <w:vMerge w:val="restart"/>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固废</w:t>
            </w:r>
          </w:p>
        </w:tc>
        <w:tc>
          <w:tcPr>
            <w:tcW w:w="7143"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pacing w:val="6"/>
                <w:sz w:val="21"/>
                <w:szCs w:val="21"/>
                <w:u w:val="none" w:color="auto"/>
                <w:lang w:val="en-US" w:eastAsia="zh-CN"/>
              </w:rPr>
            </w:pPr>
            <w:r>
              <w:rPr>
                <w:rFonts w:hint="default" w:ascii="Times New Roman" w:hAnsi="Times New Roman" w:cs="Times New Roman"/>
                <w:spacing w:val="6"/>
                <w:sz w:val="21"/>
                <w:szCs w:val="21"/>
                <w:u w:val="none" w:color="auto"/>
              </w:rPr>
              <w:t>生活垃圾</w:t>
            </w:r>
            <w:r>
              <w:rPr>
                <w:rFonts w:hint="eastAsia" w:cs="Times New Roman"/>
                <w:spacing w:val="6"/>
                <w:sz w:val="21"/>
                <w:szCs w:val="21"/>
                <w:u w:val="none" w:color="auto"/>
                <w:lang w:val="en-US" w:eastAsia="zh-CN"/>
              </w:rPr>
              <w:t>交由</w:t>
            </w:r>
            <w:r>
              <w:rPr>
                <w:rFonts w:hint="default" w:ascii="Times New Roman" w:hAnsi="Times New Roman" w:cs="Times New Roman"/>
                <w:spacing w:val="6"/>
                <w:sz w:val="21"/>
                <w:szCs w:val="21"/>
                <w:u w:val="none" w:color="auto"/>
              </w:rPr>
              <w:t>环卫部门</w:t>
            </w:r>
            <w:r>
              <w:rPr>
                <w:rFonts w:hint="eastAsia" w:cs="Times New Roman"/>
                <w:spacing w:val="6"/>
                <w:sz w:val="21"/>
                <w:szCs w:val="21"/>
                <w:u w:val="none" w:color="auto"/>
                <w:lang w:val="en-US" w:eastAsia="zh-CN"/>
              </w:rPr>
              <w:t>清运、处置。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78" w:type="dxa"/>
            <w:vMerge w:val="continue"/>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p>
        </w:tc>
        <w:tc>
          <w:tcPr>
            <w:tcW w:w="1292" w:type="dxa"/>
            <w:vMerge w:val="continue"/>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p>
        </w:tc>
        <w:tc>
          <w:tcPr>
            <w:tcW w:w="7143"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危险废物（废旧蓄电池、废润滑油、废变压器油等）分类收集暂存，设危险废物暂存间，</w:t>
            </w:r>
            <w:r>
              <w:rPr>
                <w:rFonts w:hint="eastAsia" w:ascii="Times New Roman" w:hAnsi="Times New Roman" w:cs="Times New Roman"/>
                <w:spacing w:val="6"/>
                <w:sz w:val="21"/>
                <w:szCs w:val="21"/>
                <w:u w:val="none" w:color="auto"/>
              </w:rPr>
              <w:t>交由</w:t>
            </w:r>
            <w:r>
              <w:rPr>
                <w:rFonts w:hint="eastAsia" w:cs="Times New Roman"/>
                <w:spacing w:val="6"/>
                <w:sz w:val="21"/>
                <w:szCs w:val="21"/>
                <w:u w:val="none" w:color="auto"/>
                <w:lang w:val="en-US" w:eastAsia="zh-CN"/>
              </w:rPr>
              <w:t>有</w:t>
            </w:r>
            <w:r>
              <w:rPr>
                <w:rFonts w:hint="eastAsia" w:ascii="Times New Roman" w:hAnsi="Times New Roman" w:cs="Times New Roman"/>
                <w:spacing w:val="6"/>
                <w:sz w:val="21"/>
                <w:szCs w:val="21"/>
                <w:u w:val="none" w:color="auto"/>
              </w:rPr>
              <w:t>资质的单位处理</w:t>
            </w:r>
            <w:r>
              <w:rPr>
                <w:rFonts w:hint="default" w:ascii="Times New Roman" w:hAnsi="Times New Roman" w:cs="Times New Roman"/>
                <w:spacing w:val="6"/>
                <w:sz w:val="21"/>
                <w:szCs w:val="21"/>
                <w:u w:val="none" w:color="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78" w:type="dxa"/>
            <w:vMerge w:val="continue"/>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p>
        </w:tc>
        <w:tc>
          <w:tcPr>
            <w:tcW w:w="1292"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噪声</w:t>
            </w:r>
          </w:p>
        </w:tc>
        <w:tc>
          <w:tcPr>
            <w:tcW w:w="7143"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选用低噪声设备，定期检查风机机械系统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78" w:type="dxa"/>
            <w:vMerge w:val="continue"/>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p>
        </w:tc>
        <w:tc>
          <w:tcPr>
            <w:tcW w:w="1292"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生态保护和水土流失</w:t>
            </w:r>
          </w:p>
        </w:tc>
        <w:tc>
          <w:tcPr>
            <w:tcW w:w="7143"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生态保护：优化风电机组位置，减少对植物的破坏；减少施工临时占地，避免对植被的破坏；对临时占地及时采取植树种草、合理绿化，对永久性占地进行生态补偿。</w:t>
            </w:r>
          </w:p>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水土流失治理：编制水土保持方案，制定水土保持控制目标，采取工程与植物措施相结合的方式控制水土流失。</w:t>
            </w:r>
          </w:p>
        </w:tc>
      </w:tr>
    </w:tbl>
    <w:p>
      <w:pPr>
        <w:pStyle w:val="458"/>
        <w:ind w:firstLine="602"/>
        <w:rPr>
          <w:color w:val="000000" w:themeColor="text1"/>
          <w:u w:val="none" w:color="auto"/>
          <w14:textFill>
            <w14:solidFill>
              <w14:schemeClr w14:val="tx1"/>
            </w14:solidFill>
          </w14:textFill>
        </w:rPr>
      </w:pPr>
      <w:r>
        <w:rPr>
          <w:rFonts w:hint="eastAsia"/>
          <w:color w:val="000000" w:themeColor="text1"/>
          <w:u w:val="none" w:color="auto"/>
          <w:lang w:val="en-US" w:eastAsia="zh-CN"/>
          <w14:textFill>
            <w14:solidFill>
              <w14:schemeClr w14:val="tx1"/>
            </w14:solidFill>
          </w14:textFill>
        </w:rPr>
        <w:t>工程变更情况</w:t>
      </w:r>
    </w:p>
    <w:p>
      <w:pPr>
        <w:widowControl/>
        <w:adjustRightInd w:val="0"/>
        <w:snapToGrid w:val="0"/>
        <w:ind w:firstLine="480"/>
        <w:jc w:val="left"/>
        <w:rPr>
          <w:lang w:bidi="ar"/>
        </w:rPr>
      </w:pPr>
      <w:r>
        <w:rPr>
          <w:rFonts w:hint="eastAsia"/>
          <w:lang w:bidi="ar"/>
        </w:rPr>
        <w:t>本项目变更前后</w:t>
      </w:r>
      <w:r>
        <w:rPr>
          <w:rFonts w:hint="eastAsia"/>
          <w:lang w:val="en-US" w:eastAsia="zh-CN" w:bidi="ar"/>
        </w:rPr>
        <w:t>风</w:t>
      </w:r>
      <w:r>
        <w:rPr>
          <w:rFonts w:hint="eastAsia"/>
          <w:lang w:bidi="ar"/>
        </w:rPr>
        <w:t>机位台数、单机容量均</w:t>
      </w:r>
      <w:r>
        <w:rPr>
          <w:rFonts w:hint="eastAsia"/>
          <w:lang w:val="en-US" w:eastAsia="zh-CN" w:bidi="ar"/>
        </w:rPr>
        <w:t>不</w:t>
      </w:r>
      <w:r>
        <w:rPr>
          <w:rFonts w:hint="eastAsia"/>
          <w:lang w:bidi="ar"/>
        </w:rPr>
        <w:t>发生变化，部分机位有</w:t>
      </w:r>
      <w:r>
        <w:rPr>
          <w:rFonts w:hint="eastAsia"/>
          <w:lang w:val="en-US" w:eastAsia="zh-CN" w:bidi="ar"/>
        </w:rPr>
        <w:t>所</w:t>
      </w:r>
      <w:r>
        <w:rPr>
          <w:rFonts w:hint="eastAsia"/>
          <w:lang w:bidi="ar"/>
        </w:rPr>
        <w:t>偏移。工程主要变更内容有：</w:t>
      </w:r>
    </w:p>
    <w:p>
      <w:pPr>
        <w:widowControl/>
        <w:adjustRightInd w:val="0"/>
        <w:snapToGrid w:val="0"/>
        <w:ind w:firstLine="480"/>
        <w:jc w:val="left"/>
        <w:rPr>
          <w:rFonts w:hint="default" w:eastAsia="宋体"/>
          <w:u w:val="none" w:color="auto"/>
          <w:lang w:val="en-US" w:eastAsia="zh-CN" w:bidi="ar"/>
        </w:rPr>
      </w:pPr>
      <w:r>
        <w:rPr>
          <w:rFonts w:hint="eastAsia"/>
          <w:u w:val="none" w:color="auto"/>
          <w:lang w:bidi="ar"/>
        </w:rPr>
        <w:t>（1）</w:t>
      </w:r>
      <w:r>
        <w:rPr>
          <w:rFonts w:hint="eastAsia"/>
          <w:u w:val="none" w:color="auto"/>
          <w:lang w:val="en-US" w:eastAsia="zh-CN" w:bidi="ar"/>
        </w:rPr>
        <w:t>风机：取消原1号、2号风机，原7号、8号风机之间增加一台风机（L6），原15号风机东北侧800m增加一台风机（L15），部分风机位置略有偏移，风机数量仍为15台。原15号风机距蓝山县新田湾河饮用水水源保护区最近距离为679m，变更后15号风机距蓝山县新田湾河饮用水水源保护区最近距离为10m，距离变小。</w:t>
      </w:r>
    </w:p>
    <w:p>
      <w:pPr>
        <w:widowControl/>
        <w:adjustRightInd w:val="0"/>
        <w:snapToGrid w:val="0"/>
        <w:ind w:firstLine="480"/>
        <w:jc w:val="left"/>
        <w:rPr>
          <w:rFonts w:hint="eastAsia" w:ascii="Times New Roman" w:hAnsi="Times New Roman" w:eastAsia="宋体" w:cs="Times New Roman"/>
          <w:u w:val="none" w:color="auto"/>
          <w:lang w:bidi="ar"/>
        </w:rPr>
      </w:pPr>
      <w:r>
        <w:rPr>
          <w:rFonts w:hint="eastAsia"/>
          <w:u w:val="none" w:color="auto"/>
          <w:lang w:eastAsia="zh-CN" w:bidi="ar"/>
        </w:rPr>
        <w:t>（</w:t>
      </w:r>
      <w:r>
        <w:rPr>
          <w:rFonts w:hint="eastAsia"/>
          <w:u w:val="none" w:color="auto"/>
          <w:lang w:val="en-US" w:eastAsia="zh-CN" w:bidi="ar"/>
        </w:rPr>
        <w:t>2</w:t>
      </w:r>
      <w:r>
        <w:rPr>
          <w:rFonts w:hint="eastAsia"/>
          <w:u w:val="none" w:color="auto"/>
          <w:lang w:eastAsia="zh-CN" w:bidi="ar"/>
        </w:rPr>
        <w:t>）</w:t>
      </w:r>
      <w:r>
        <w:rPr>
          <w:rFonts w:hint="eastAsia"/>
          <w:u w:val="none" w:color="auto"/>
          <w:lang w:bidi="ar"/>
        </w:rPr>
        <w:t>道路：</w:t>
      </w:r>
      <w:r>
        <w:rPr>
          <w:rFonts w:hint="eastAsia"/>
          <w:u w:val="none" w:color="auto"/>
          <w:lang w:val="en-US" w:eastAsia="zh-CN" w:bidi="ar"/>
        </w:rPr>
        <w:t>变更后进场道路</w:t>
      </w:r>
      <w:r>
        <w:rPr>
          <w:rFonts w:hint="default"/>
          <w:u w:val="none" w:color="auto"/>
          <w:lang w:val="en-US" w:eastAsia="zh-CN" w:bidi="ar"/>
        </w:rPr>
        <w:t>依托</w:t>
      </w:r>
      <w:r>
        <w:rPr>
          <w:rFonts w:hint="eastAsia"/>
          <w:u w:val="none" w:color="auto"/>
          <w:lang w:val="en-US" w:eastAsia="zh-CN" w:bidi="ar"/>
        </w:rPr>
        <w:t>现有道路（</w:t>
      </w:r>
      <w:r>
        <w:rPr>
          <w:rFonts w:hint="default"/>
          <w:u w:val="none" w:color="auto"/>
          <w:lang w:val="en-US" w:eastAsia="zh-CN" w:bidi="ar"/>
        </w:rPr>
        <w:t>防火巡护林道</w:t>
      </w:r>
      <w:r>
        <w:rPr>
          <w:rFonts w:hint="eastAsia"/>
          <w:u w:val="none" w:color="auto"/>
          <w:lang w:val="en-US" w:eastAsia="zh-CN" w:bidi="ar"/>
        </w:rPr>
        <w:t>）不变。</w:t>
      </w:r>
      <w:r>
        <w:rPr>
          <w:rFonts w:hint="eastAsia"/>
          <w:u w:val="none" w:color="auto"/>
          <w:lang w:bidi="ar"/>
        </w:rPr>
        <w:t>变</w:t>
      </w:r>
      <w:r>
        <w:rPr>
          <w:rFonts w:hint="eastAsia" w:ascii="Times New Roman" w:hAnsi="Times New Roman" w:eastAsia="宋体" w:cs="Times New Roman"/>
          <w:u w:val="none" w:color="auto"/>
          <w:lang w:bidi="ar"/>
        </w:rPr>
        <w:t>更前新建</w:t>
      </w:r>
      <w:r>
        <w:rPr>
          <w:rFonts w:hint="eastAsia" w:ascii="Times New Roman" w:hAnsi="Times New Roman" w:eastAsia="宋体" w:cs="Times New Roman"/>
          <w:u w:val="none" w:color="auto"/>
          <w:lang w:val="en-US" w:eastAsia="zh-CN" w:bidi="ar"/>
        </w:rPr>
        <w:t>场内</w:t>
      </w:r>
      <w:r>
        <w:rPr>
          <w:rFonts w:hint="eastAsia" w:ascii="Times New Roman" w:hAnsi="Times New Roman" w:eastAsia="宋体" w:cs="Times New Roman"/>
          <w:u w:val="none" w:color="auto"/>
          <w:lang w:bidi="ar"/>
        </w:rPr>
        <w:t>道路总长2</w:t>
      </w:r>
      <w:r>
        <w:rPr>
          <w:rFonts w:hint="eastAsia" w:ascii="Times New Roman" w:hAnsi="Times New Roman" w:eastAsia="宋体" w:cs="Times New Roman"/>
          <w:u w:val="none" w:color="auto"/>
          <w:lang w:val="en-US" w:eastAsia="zh-CN" w:bidi="ar"/>
        </w:rPr>
        <w:t>1.3</w:t>
      </w:r>
      <w:r>
        <w:rPr>
          <w:rFonts w:hint="eastAsia" w:ascii="Times New Roman" w:hAnsi="Times New Roman" w:eastAsia="宋体" w:cs="Times New Roman"/>
          <w:u w:val="none" w:color="auto"/>
          <w:lang w:bidi="ar"/>
        </w:rPr>
        <w:t>km</w:t>
      </w:r>
      <w:r>
        <w:rPr>
          <w:rFonts w:hint="eastAsia" w:ascii="Times New Roman" w:hAnsi="Times New Roman" w:eastAsia="宋体" w:cs="Times New Roman"/>
          <w:u w:val="none" w:color="auto"/>
          <w:lang w:eastAsia="zh-CN" w:bidi="ar"/>
        </w:rPr>
        <w:t>，</w:t>
      </w:r>
      <w:r>
        <w:rPr>
          <w:rFonts w:hint="eastAsia" w:ascii="Times New Roman" w:hAnsi="Times New Roman" w:eastAsia="宋体" w:cs="Times New Roman"/>
          <w:u w:val="none" w:color="auto"/>
          <w:lang w:bidi="ar"/>
        </w:rPr>
        <w:t>变更后新建</w:t>
      </w:r>
      <w:r>
        <w:rPr>
          <w:rFonts w:hint="eastAsia" w:ascii="Times New Roman" w:hAnsi="Times New Roman" w:eastAsia="宋体" w:cs="Times New Roman"/>
          <w:u w:val="none" w:color="auto"/>
          <w:lang w:val="en-US" w:eastAsia="zh-CN" w:bidi="ar"/>
        </w:rPr>
        <w:t>场内</w:t>
      </w:r>
      <w:r>
        <w:rPr>
          <w:rFonts w:hint="eastAsia" w:ascii="Times New Roman" w:hAnsi="Times New Roman" w:eastAsia="宋体" w:cs="Times New Roman"/>
          <w:u w:val="none" w:color="auto"/>
          <w:lang w:bidi="ar"/>
        </w:rPr>
        <w:t>道路总长</w:t>
      </w:r>
      <w:r>
        <w:rPr>
          <w:rFonts w:hint="eastAsia" w:ascii="Times New Roman" w:hAnsi="Times New Roman" w:eastAsia="宋体" w:cs="Times New Roman"/>
          <w:u w:val="none" w:color="auto"/>
          <w:lang w:val="en-US" w:eastAsia="zh-CN" w:bidi="ar"/>
        </w:rPr>
        <w:t>22.5</w:t>
      </w:r>
      <w:r>
        <w:rPr>
          <w:rFonts w:hint="eastAsia" w:ascii="Times New Roman" w:hAnsi="Times New Roman" w:eastAsia="宋体" w:cs="Times New Roman"/>
          <w:u w:val="none" w:color="auto"/>
          <w:lang w:bidi="ar"/>
        </w:rPr>
        <w:t>km</w:t>
      </w:r>
      <w:r>
        <w:rPr>
          <w:rFonts w:hint="eastAsia" w:ascii="Times New Roman" w:hAnsi="Times New Roman" w:eastAsia="宋体" w:cs="Times New Roman"/>
          <w:u w:val="none" w:color="auto"/>
          <w:lang w:eastAsia="zh-CN" w:bidi="ar"/>
        </w:rPr>
        <w:t>，</w:t>
      </w:r>
      <w:r>
        <w:rPr>
          <w:rFonts w:hint="eastAsia" w:ascii="Times New Roman" w:hAnsi="Times New Roman" w:eastAsia="宋体" w:cs="Times New Roman"/>
          <w:u w:val="none" w:color="auto"/>
          <w:lang w:val="en-US" w:eastAsia="zh-CN" w:bidi="ar"/>
        </w:rPr>
        <w:t>新增一处敏感目标：蓝山县</w:t>
      </w:r>
      <w:r>
        <w:rPr>
          <w:rFonts w:hint="default" w:ascii="Times New Roman" w:hAnsi="Times New Roman" w:eastAsia="宋体" w:cs="Times New Roman"/>
          <w:u w:val="none" w:color="auto"/>
          <w:lang w:bidi="ar"/>
        </w:rPr>
        <w:t>塔峰镇岭脚村山溪水饮用水水源保护区</w:t>
      </w:r>
      <w:r>
        <w:rPr>
          <w:rFonts w:hint="eastAsia" w:ascii="Times New Roman" w:hAnsi="Times New Roman" w:eastAsia="宋体" w:cs="Times New Roman"/>
          <w:u w:val="none" w:color="auto"/>
          <w:lang w:bidi="ar"/>
        </w:rPr>
        <w:t>。</w:t>
      </w:r>
    </w:p>
    <w:p>
      <w:pPr>
        <w:widowControl/>
        <w:adjustRightInd w:val="0"/>
        <w:snapToGrid w:val="0"/>
        <w:ind w:firstLine="480"/>
        <w:jc w:val="left"/>
        <w:rPr>
          <w:u w:val="none" w:color="auto"/>
          <w:lang w:bidi="ar"/>
        </w:rPr>
      </w:pPr>
      <w:r>
        <w:rPr>
          <w:rFonts w:hint="eastAsia"/>
          <w:u w:val="none" w:color="auto"/>
          <w:lang w:bidi="ar"/>
        </w:rPr>
        <w:t>（2）施工营地：</w:t>
      </w:r>
      <w:r>
        <w:rPr>
          <w:rFonts w:hint="eastAsia"/>
          <w:u w:val="none" w:color="auto"/>
          <w:lang w:val="en-US" w:eastAsia="zh-CN" w:bidi="ar"/>
        </w:rPr>
        <w:t>不变</w:t>
      </w:r>
      <w:r>
        <w:rPr>
          <w:rFonts w:hint="eastAsia"/>
          <w:u w:val="none" w:color="auto"/>
        </w:rPr>
        <w:t>。</w:t>
      </w:r>
    </w:p>
    <w:p>
      <w:pPr>
        <w:widowControl/>
        <w:adjustRightInd w:val="0"/>
        <w:snapToGrid w:val="0"/>
        <w:ind w:firstLine="480"/>
        <w:jc w:val="left"/>
        <w:rPr>
          <w:highlight w:val="none"/>
          <w:u w:val="none" w:color="auto"/>
          <w:lang w:bidi="ar"/>
        </w:rPr>
      </w:pPr>
      <w:r>
        <w:rPr>
          <w:rFonts w:hint="eastAsia"/>
          <w:u w:val="none" w:color="auto"/>
          <w:lang w:bidi="ar"/>
        </w:rPr>
        <w:t>（3）弃渣场：变更前拟设置</w:t>
      </w:r>
      <w:r>
        <w:rPr>
          <w:rFonts w:hint="eastAsia"/>
          <w:u w:val="none" w:color="auto"/>
          <w:lang w:val="en-US" w:eastAsia="zh-CN" w:bidi="ar"/>
        </w:rPr>
        <w:t>11</w:t>
      </w:r>
      <w:r>
        <w:rPr>
          <w:rFonts w:hint="eastAsia"/>
          <w:u w:val="none" w:color="auto"/>
          <w:lang w:bidi="ar"/>
        </w:rPr>
        <w:t>个弃渣场，</w:t>
      </w:r>
      <w:r>
        <w:rPr>
          <w:u w:val="none" w:color="auto"/>
          <w:lang w:bidi="ar"/>
        </w:rPr>
        <w:t>总面积约为</w:t>
      </w:r>
      <w:r>
        <w:rPr>
          <w:rFonts w:hint="eastAsia"/>
          <w:u w:val="none" w:color="auto"/>
          <w:lang w:val="en-US" w:eastAsia="zh-CN"/>
        </w:rPr>
        <w:t>4.13</w:t>
      </w:r>
      <w:r>
        <w:rPr>
          <w:u w:val="none" w:color="auto"/>
          <w:lang w:bidi="ar"/>
        </w:rPr>
        <w:t>hm</w:t>
      </w:r>
      <w:r>
        <w:rPr>
          <w:u w:val="none" w:color="auto"/>
          <w:vertAlign w:val="superscript"/>
          <w:lang w:bidi="ar"/>
        </w:rPr>
        <w:t>2</w:t>
      </w:r>
      <w:r>
        <w:rPr>
          <w:rFonts w:hint="eastAsia"/>
          <w:u w:val="none" w:color="auto"/>
          <w:lang w:bidi="ar"/>
        </w:rPr>
        <w:t>，</w:t>
      </w:r>
      <w:r>
        <w:rPr>
          <w:u w:val="none" w:color="auto"/>
          <w:lang w:bidi="ar"/>
        </w:rPr>
        <w:t>总弃渣量约为</w:t>
      </w:r>
      <w:r>
        <w:rPr>
          <w:rFonts w:hint="eastAsia"/>
          <w:u w:val="none" w:color="auto"/>
          <w:lang w:val="en-US" w:eastAsia="zh-CN"/>
        </w:rPr>
        <w:t>37.41</w:t>
      </w:r>
      <w:r>
        <w:rPr>
          <w:u w:val="none" w:color="auto"/>
          <w:lang w:bidi="ar"/>
        </w:rPr>
        <w:t>万m</w:t>
      </w:r>
      <w:r>
        <w:rPr>
          <w:u w:val="none" w:color="auto"/>
          <w:vertAlign w:val="superscript"/>
          <w:lang w:bidi="ar"/>
        </w:rPr>
        <w:t>3</w:t>
      </w:r>
      <w:r>
        <w:rPr>
          <w:u w:val="none" w:color="auto"/>
          <w:lang w:bidi="ar"/>
        </w:rPr>
        <w:t>。</w:t>
      </w:r>
      <w:r>
        <w:rPr>
          <w:rFonts w:hint="eastAsia"/>
          <w:u w:val="none" w:color="auto"/>
          <w:lang w:bidi="ar"/>
        </w:rPr>
        <w:t>变更后</w:t>
      </w:r>
      <w:r>
        <w:rPr>
          <w:rFonts w:hint="eastAsia"/>
          <w:highlight w:val="none"/>
          <w:u w:val="none" w:color="auto"/>
          <w:lang w:val="en-US" w:eastAsia="zh-CN" w:bidi="ar"/>
        </w:rPr>
        <w:t>设7个</w:t>
      </w:r>
      <w:r>
        <w:rPr>
          <w:rFonts w:hint="eastAsia"/>
          <w:highlight w:val="none"/>
          <w:u w:val="none" w:color="auto"/>
          <w:lang w:bidi="ar"/>
        </w:rPr>
        <w:t>弃渣场</w:t>
      </w:r>
      <w:r>
        <w:rPr>
          <w:rFonts w:hint="eastAsia"/>
          <w:highlight w:val="none"/>
          <w:u w:val="none" w:color="auto"/>
          <w:lang w:eastAsia="zh-CN" w:bidi="ar"/>
        </w:rPr>
        <w:t>，</w:t>
      </w:r>
      <w:r>
        <w:rPr>
          <w:highlight w:val="none"/>
          <w:u w:val="none" w:color="auto"/>
          <w:lang w:bidi="ar"/>
        </w:rPr>
        <w:t>弃渣量约为</w:t>
      </w:r>
      <w:r>
        <w:rPr>
          <w:rFonts w:hint="eastAsia" w:eastAsia="等线"/>
          <w:szCs w:val="21"/>
          <w:highlight w:val="none"/>
          <w:u w:val="none" w:color="auto"/>
          <w:lang w:val="en-US" w:eastAsia="zh-CN"/>
        </w:rPr>
        <w:t>35.32</w:t>
      </w:r>
      <w:r>
        <w:rPr>
          <w:highlight w:val="none"/>
          <w:u w:val="none" w:color="auto"/>
          <w:lang w:bidi="ar"/>
        </w:rPr>
        <w:t>万m</w:t>
      </w:r>
      <w:r>
        <w:rPr>
          <w:highlight w:val="none"/>
          <w:u w:val="none" w:color="auto"/>
          <w:vertAlign w:val="superscript"/>
          <w:lang w:bidi="ar"/>
        </w:rPr>
        <w:t>3</w:t>
      </w:r>
      <w:r>
        <w:rPr>
          <w:rFonts w:hint="eastAsia"/>
          <w:highlight w:val="none"/>
          <w:u w:val="none" w:color="auto"/>
          <w:lang w:bidi="ar"/>
        </w:rPr>
        <w:t>，</w:t>
      </w:r>
      <w:r>
        <w:rPr>
          <w:rFonts w:hint="eastAsia"/>
          <w:highlight w:val="none"/>
          <w:u w:val="none" w:color="auto"/>
          <w:lang w:val="en-US" w:eastAsia="zh-CN" w:bidi="ar"/>
        </w:rPr>
        <w:t>占地</w:t>
      </w:r>
      <w:r>
        <w:rPr>
          <w:highlight w:val="none"/>
          <w:u w:val="none" w:color="auto"/>
          <w:lang w:bidi="ar"/>
        </w:rPr>
        <w:t>面积约为</w:t>
      </w:r>
      <w:r>
        <w:rPr>
          <w:rFonts w:hint="eastAsia"/>
          <w:highlight w:val="none"/>
          <w:u w:val="none" w:color="auto"/>
          <w:lang w:val="en-US" w:eastAsia="zh-CN"/>
        </w:rPr>
        <w:t>3.13</w:t>
      </w:r>
      <w:r>
        <w:rPr>
          <w:highlight w:val="none"/>
          <w:u w:val="none" w:color="auto"/>
          <w:lang w:bidi="ar"/>
        </w:rPr>
        <w:t>hm</w:t>
      </w:r>
      <w:r>
        <w:rPr>
          <w:highlight w:val="none"/>
          <w:u w:val="none" w:color="auto"/>
          <w:vertAlign w:val="superscript"/>
          <w:lang w:bidi="ar"/>
        </w:rPr>
        <w:t>2</w:t>
      </w:r>
      <w:r>
        <w:rPr>
          <w:rFonts w:hint="eastAsia"/>
          <w:highlight w:val="none"/>
          <w:u w:val="none" w:color="auto"/>
          <w:lang w:eastAsia="zh-CN" w:bidi="ar"/>
        </w:rPr>
        <w:t>。</w:t>
      </w:r>
      <w:r>
        <w:rPr>
          <w:highlight w:val="none"/>
          <w:u w:val="none" w:color="auto"/>
          <w:lang w:bidi="ar"/>
        </w:rPr>
        <w:t xml:space="preserve"> </w:t>
      </w:r>
    </w:p>
    <w:p>
      <w:pPr>
        <w:widowControl/>
        <w:adjustRightInd w:val="0"/>
        <w:snapToGrid w:val="0"/>
        <w:ind w:firstLine="480"/>
        <w:jc w:val="left"/>
        <w:rPr>
          <w:u w:val="none" w:color="auto"/>
        </w:rPr>
      </w:pPr>
      <w:r>
        <w:rPr>
          <w:rFonts w:hint="eastAsia"/>
          <w:u w:val="none" w:color="auto"/>
          <w:lang w:bidi="ar"/>
        </w:rPr>
        <w:t>（4）集电线路：变更前集电线路长度为</w:t>
      </w:r>
      <w:r>
        <w:rPr>
          <w:rFonts w:hint="eastAsia"/>
          <w:u w:val="none" w:color="auto"/>
          <w:lang w:val="en-US" w:eastAsia="zh-CN" w:bidi="ar"/>
        </w:rPr>
        <w:t>19.3</w:t>
      </w:r>
      <w:r>
        <w:rPr>
          <w:u w:val="none" w:color="auto"/>
          <w:lang w:bidi="ar"/>
        </w:rPr>
        <w:t>km</w:t>
      </w:r>
      <w:r>
        <w:rPr>
          <w:rFonts w:hint="eastAsia"/>
          <w:u w:val="none" w:color="auto"/>
          <w:lang w:eastAsia="zh-CN" w:bidi="ar"/>
        </w:rPr>
        <w:t>，</w:t>
      </w:r>
      <w:r>
        <w:rPr>
          <w:u w:val="none" w:color="auto"/>
          <w:lang w:bidi="ar"/>
        </w:rPr>
        <w:t>采用地埋式</w:t>
      </w:r>
      <w:r>
        <w:rPr>
          <w:rFonts w:hint="eastAsia"/>
          <w:u w:val="none" w:color="auto"/>
        </w:rPr>
        <w:t>。</w:t>
      </w:r>
      <w:r>
        <w:rPr>
          <w:rFonts w:hint="eastAsia"/>
          <w:u w:val="none" w:color="auto"/>
          <w:lang w:bidi="ar"/>
        </w:rPr>
        <w:t>变更后集电线路长度约</w:t>
      </w:r>
      <w:r>
        <w:rPr>
          <w:rFonts w:hint="eastAsia"/>
          <w:u w:val="none" w:color="auto"/>
          <w:lang w:val="en-US" w:eastAsia="zh-CN" w:bidi="ar"/>
        </w:rPr>
        <w:t>26.7</w:t>
      </w:r>
      <w:r>
        <w:rPr>
          <w:u w:val="none" w:color="auto"/>
          <w:lang w:bidi="ar"/>
        </w:rPr>
        <w:t>km</w:t>
      </w:r>
      <w:r>
        <w:rPr>
          <w:rFonts w:hint="eastAsia"/>
          <w:u w:val="none" w:color="auto"/>
          <w:lang w:eastAsia="zh-CN" w:bidi="ar"/>
        </w:rPr>
        <w:t>，</w:t>
      </w:r>
      <w:r>
        <w:rPr>
          <w:u w:val="none" w:color="auto"/>
          <w:lang w:bidi="ar"/>
        </w:rPr>
        <w:t>采用地埋式</w:t>
      </w:r>
      <w:r>
        <w:rPr>
          <w:rFonts w:hint="eastAsia"/>
          <w:u w:val="none" w:color="auto"/>
          <w:lang w:bidi="ar"/>
        </w:rPr>
        <w:t>。</w:t>
      </w:r>
    </w:p>
    <w:p>
      <w:pPr>
        <w:widowControl/>
        <w:adjustRightInd w:val="0"/>
        <w:snapToGrid w:val="0"/>
        <w:ind w:firstLine="480"/>
        <w:jc w:val="left"/>
        <w:rPr>
          <w:u w:val="none" w:color="auto"/>
          <w:lang w:bidi="ar"/>
        </w:rPr>
      </w:pPr>
      <w:r>
        <w:rPr>
          <w:rFonts w:hint="eastAsia"/>
          <w:u w:val="none" w:color="auto"/>
          <w:lang w:bidi="ar"/>
        </w:rPr>
        <w:t>（5）</w:t>
      </w:r>
      <w:r>
        <w:rPr>
          <w:rFonts w:hint="eastAsia"/>
          <w:u w:val="none" w:color="auto"/>
          <w:lang w:val="en-US" w:eastAsia="zh-CN" w:bidi="ar"/>
        </w:rPr>
        <w:t>220kV汇集</w:t>
      </w:r>
      <w:r>
        <w:rPr>
          <w:rFonts w:hint="eastAsia"/>
          <w:u w:val="none" w:color="auto"/>
          <w:lang w:bidi="ar"/>
        </w:rPr>
        <w:t>站：</w:t>
      </w:r>
      <w:r>
        <w:rPr>
          <w:rFonts w:hint="eastAsia"/>
          <w:u w:val="none" w:color="auto"/>
          <w:lang w:val="en-US" w:eastAsia="zh-CN" w:bidi="ar"/>
        </w:rPr>
        <w:t>位置不变，电压等级不变，仍为220kV，主变容量不变：</w:t>
      </w:r>
      <w:r>
        <w:rPr>
          <w:rFonts w:hint="eastAsia"/>
          <w:color w:val="auto"/>
          <w:szCs w:val="21"/>
          <w:u w:val="none"/>
          <w:lang w:eastAsia="zh-CN"/>
        </w:rPr>
        <w:t>近期</w:t>
      </w:r>
      <w:r>
        <w:rPr>
          <w:rFonts w:hint="eastAsia"/>
          <w:color w:val="auto"/>
          <w:szCs w:val="21"/>
          <w:u w:val="none"/>
        </w:rPr>
        <w:t>为2×240MVA</w:t>
      </w:r>
      <w:r>
        <w:rPr>
          <w:rFonts w:hint="eastAsia"/>
          <w:color w:val="auto"/>
          <w:szCs w:val="21"/>
          <w:u w:val="none"/>
          <w:lang w:eastAsia="zh-CN"/>
        </w:rPr>
        <w:t>，远期为</w:t>
      </w:r>
      <w:r>
        <w:rPr>
          <w:rFonts w:hint="eastAsia"/>
          <w:color w:val="auto"/>
          <w:szCs w:val="21"/>
          <w:u w:val="none"/>
          <w:lang w:val="en-US" w:eastAsia="zh-CN"/>
        </w:rPr>
        <w:t>3</w:t>
      </w:r>
      <w:r>
        <w:rPr>
          <w:rFonts w:hint="eastAsia"/>
          <w:color w:val="auto"/>
          <w:szCs w:val="21"/>
          <w:u w:val="none"/>
        </w:rPr>
        <w:t>×240MVA</w:t>
      </w:r>
      <w:r>
        <w:rPr>
          <w:rFonts w:hint="eastAsia"/>
          <w:u w:val="none" w:color="auto"/>
          <w:lang w:bidi="ar"/>
        </w:rPr>
        <w:t>。</w:t>
      </w:r>
    </w:p>
    <w:p>
      <w:pPr>
        <w:widowControl/>
        <w:adjustRightInd w:val="0"/>
        <w:snapToGrid w:val="0"/>
        <w:ind w:firstLine="480"/>
        <w:jc w:val="left"/>
        <w:rPr>
          <w:rFonts w:hint="eastAsia"/>
          <w:u w:val="none" w:color="auto"/>
          <w:lang w:bidi="ar"/>
        </w:rPr>
        <w:sectPr>
          <w:pgSz w:w="11905"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3" w:charSpace="0"/>
        </w:sectPr>
      </w:pPr>
      <w:r>
        <w:rPr>
          <w:rFonts w:hint="eastAsia"/>
          <w:u w:val="none" w:color="auto"/>
          <w:lang w:bidi="ar"/>
        </w:rPr>
        <w:t>本项目主要变更情况如下表3.3-3所示。</w:t>
      </w:r>
    </w:p>
    <w:p>
      <w:pPr>
        <w:pStyle w:val="2289"/>
        <w:rPr>
          <w:b/>
          <w:bCs/>
          <w:sz w:val="21"/>
          <w:szCs w:val="21"/>
          <w:u w:val="none" w:color="auto"/>
        </w:rPr>
      </w:pPr>
      <w:r>
        <w:rPr>
          <w:rFonts w:hint="eastAsia"/>
          <w:b/>
          <w:bCs/>
          <w:sz w:val="21"/>
          <w:szCs w:val="21"/>
          <w:u w:val="none" w:color="auto"/>
        </w:rPr>
        <w:t>本项目主要变更情况统计一览表</w:t>
      </w:r>
    </w:p>
    <w:tbl>
      <w:tblPr>
        <w:tblStyle w:val="3673"/>
        <w:tblW w:w="495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89"/>
        <w:gridCol w:w="3842"/>
        <w:gridCol w:w="4512"/>
        <w:gridCol w:w="3577"/>
        <w:gridCol w:w="117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0" w:type="pct"/>
            <w:vAlign w:val="center"/>
          </w:tcPr>
          <w:p>
            <w:pPr>
              <w:pStyle w:val="3672"/>
              <w:rPr>
                <w:color w:val="auto"/>
                <w:u w:val="none" w:color="auto"/>
              </w:rPr>
            </w:pPr>
            <w:r>
              <w:rPr>
                <w:color w:val="auto"/>
                <w:u w:val="none" w:color="auto"/>
              </w:rPr>
              <w:t>项目</w:t>
            </w:r>
          </w:p>
        </w:tc>
        <w:tc>
          <w:tcPr>
            <w:tcW w:w="1362" w:type="pct"/>
            <w:vAlign w:val="center"/>
          </w:tcPr>
          <w:p>
            <w:pPr>
              <w:pStyle w:val="3672"/>
              <w:rPr>
                <w:color w:val="auto"/>
                <w:u w:val="none" w:color="auto"/>
              </w:rPr>
            </w:pPr>
            <w:r>
              <w:rPr>
                <w:color w:val="auto"/>
                <w:u w:val="none" w:color="auto"/>
              </w:rPr>
              <w:t>工程变更前</w:t>
            </w:r>
          </w:p>
        </w:tc>
        <w:tc>
          <w:tcPr>
            <w:tcW w:w="1600" w:type="pct"/>
            <w:vAlign w:val="center"/>
          </w:tcPr>
          <w:p>
            <w:pPr>
              <w:pStyle w:val="3672"/>
              <w:rPr>
                <w:color w:val="auto"/>
                <w:u w:val="none" w:color="auto"/>
              </w:rPr>
            </w:pPr>
            <w:r>
              <w:rPr>
                <w:color w:val="auto"/>
                <w:u w:val="none" w:color="auto"/>
              </w:rPr>
              <w:t>工程变更后</w:t>
            </w:r>
          </w:p>
        </w:tc>
        <w:tc>
          <w:tcPr>
            <w:tcW w:w="1268" w:type="pct"/>
            <w:vAlign w:val="center"/>
          </w:tcPr>
          <w:p>
            <w:pPr>
              <w:pStyle w:val="3672"/>
              <w:rPr>
                <w:color w:val="auto"/>
                <w:u w:val="none" w:color="auto"/>
              </w:rPr>
            </w:pPr>
            <w:r>
              <w:rPr>
                <w:color w:val="auto"/>
                <w:u w:val="none" w:color="auto"/>
              </w:rPr>
              <w:t>变化情况</w:t>
            </w:r>
          </w:p>
        </w:tc>
        <w:tc>
          <w:tcPr>
            <w:tcW w:w="417" w:type="pct"/>
          </w:tcPr>
          <w:p>
            <w:pPr>
              <w:pStyle w:val="3672"/>
              <w:rPr>
                <w:color w:val="auto"/>
                <w:u w:val="none" w:color="auto"/>
                <w:lang w:eastAsia="zh-CN"/>
              </w:rPr>
            </w:pPr>
            <w:r>
              <w:rPr>
                <w:rFonts w:hint="eastAsia"/>
                <w:color w:val="auto"/>
                <w:u w:val="none" w:color="auto"/>
                <w:lang w:eastAsia="zh-CN"/>
              </w:rPr>
              <w:t>是否属于重大变动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0" w:type="pct"/>
            <w:vAlign w:val="center"/>
          </w:tcPr>
          <w:p>
            <w:pPr>
              <w:pStyle w:val="3672"/>
              <w:rPr>
                <w:color w:val="auto"/>
                <w:u w:val="none" w:color="auto"/>
              </w:rPr>
            </w:pPr>
            <w:r>
              <w:rPr>
                <w:color w:val="auto"/>
                <w:u w:val="none" w:color="auto"/>
              </w:rPr>
              <w:t>性质</w:t>
            </w:r>
          </w:p>
        </w:tc>
        <w:tc>
          <w:tcPr>
            <w:tcW w:w="1362" w:type="pct"/>
            <w:vAlign w:val="center"/>
          </w:tcPr>
          <w:p>
            <w:pPr>
              <w:pStyle w:val="3672"/>
              <w:rPr>
                <w:color w:val="auto"/>
                <w:u w:val="none" w:color="auto"/>
              </w:rPr>
            </w:pPr>
            <w:r>
              <w:rPr>
                <w:color w:val="auto"/>
                <w:u w:val="none" w:color="auto"/>
              </w:rPr>
              <w:t>风力发电</w:t>
            </w:r>
          </w:p>
        </w:tc>
        <w:tc>
          <w:tcPr>
            <w:tcW w:w="1600" w:type="pct"/>
            <w:vAlign w:val="center"/>
          </w:tcPr>
          <w:p>
            <w:pPr>
              <w:pStyle w:val="3672"/>
              <w:rPr>
                <w:color w:val="auto"/>
                <w:u w:val="none" w:color="auto"/>
              </w:rPr>
            </w:pPr>
            <w:r>
              <w:rPr>
                <w:color w:val="auto"/>
                <w:u w:val="none" w:color="auto"/>
              </w:rPr>
              <w:t>风力发电</w:t>
            </w:r>
          </w:p>
        </w:tc>
        <w:tc>
          <w:tcPr>
            <w:tcW w:w="1268" w:type="pct"/>
            <w:vAlign w:val="center"/>
          </w:tcPr>
          <w:p>
            <w:pPr>
              <w:pStyle w:val="3672"/>
              <w:rPr>
                <w:color w:val="auto"/>
                <w:u w:val="none" w:color="auto"/>
              </w:rPr>
            </w:pPr>
            <w:r>
              <w:rPr>
                <w:color w:val="auto"/>
                <w:u w:val="none" w:color="auto"/>
              </w:rPr>
              <w:t>不变</w:t>
            </w:r>
          </w:p>
        </w:tc>
        <w:tc>
          <w:tcPr>
            <w:tcW w:w="417" w:type="pct"/>
          </w:tcPr>
          <w:p>
            <w:pPr>
              <w:pStyle w:val="3672"/>
              <w:rPr>
                <w:color w:val="auto"/>
                <w:u w:val="none" w:color="auto"/>
              </w:rPr>
            </w:pPr>
            <w:r>
              <w:rPr>
                <w:rFonts w:hint="eastAsia"/>
                <w:color w:val="auto"/>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0" w:type="pct"/>
            <w:vMerge w:val="restart"/>
            <w:vAlign w:val="center"/>
          </w:tcPr>
          <w:p>
            <w:pPr>
              <w:pStyle w:val="3672"/>
              <w:rPr>
                <w:color w:val="auto"/>
                <w:u w:val="none" w:color="auto"/>
              </w:rPr>
            </w:pPr>
            <w:r>
              <w:rPr>
                <w:color w:val="auto"/>
                <w:u w:val="none" w:color="auto"/>
              </w:rPr>
              <w:t>规模</w:t>
            </w:r>
          </w:p>
        </w:tc>
        <w:tc>
          <w:tcPr>
            <w:tcW w:w="1362" w:type="pct"/>
            <w:vAlign w:val="center"/>
          </w:tcPr>
          <w:p>
            <w:pPr>
              <w:pStyle w:val="3672"/>
              <w:rPr>
                <w:rFonts w:hint="eastAsia"/>
                <w:color w:val="auto"/>
                <w:u w:val="none" w:color="auto"/>
                <w:lang w:eastAsia="zh-CN"/>
              </w:rPr>
            </w:pPr>
            <w:r>
              <w:rPr>
                <w:rFonts w:hint="eastAsia"/>
                <w:color w:val="auto"/>
                <w:u w:val="none" w:color="auto"/>
                <w:lang w:eastAsia="zh-CN"/>
              </w:rPr>
              <w:t>装机容量：</w:t>
            </w:r>
            <w:r>
              <w:rPr>
                <w:rFonts w:hint="eastAsia"/>
                <w:color w:val="auto"/>
                <w:u w:val="none" w:color="auto"/>
                <w:lang w:val="en-US" w:eastAsia="zh-CN"/>
              </w:rPr>
              <w:t>75</w:t>
            </w:r>
            <w:r>
              <w:rPr>
                <w:rFonts w:hint="eastAsia"/>
                <w:color w:val="auto"/>
                <w:u w:val="none" w:color="auto"/>
                <w:lang w:eastAsia="zh-CN"/>
              </w:rPr>
              <w:t>MW，预计年上网电量为16360万kW·h，年等效满负荷小时为2181h</w:t>
            </w:r>
          </w:p>
        </w:tc>
        <w:tc>
          <w:tcPr>
            <w:tcW w:w="1600" w:type="pct"/>
            <w:vAlign w:val="center"/>
          </w:tcPr>
          <w:p>
            <w:pPr>
              <w:pStyle w:val="3672"/>
              <w:rPr>
                <w:rFonts w:hint="eastAsia"/>
                <w:color w:val="auto"/>
                <w:u w:val="none" w:color="auto"/>
                <w:lang w:eastAsia="zh-CN"/>
              </w:rPr>
            </w:pPr>
            <w:r>
              <w:rPr>
                <w:rFonts w:hint="eastAsia"/>
                <w:color w:val="auto"/>
                <w:u w:val="none" w:color="auto"/>
                <w:lang w:eastAsia="zh-CN"/>
              </w:rPr>
              <w:t>装机容量：</w:t>
            </w:r>
            <w:r>
              <w:rPr>
                <w:rFonts w:hint="eastAsia"/>
                <w:color w:val="auto"/>
                <w:u w:val="none" w:color="auto"/>
                <w:lang w:val="en-US" w:eastAsia="zh-CN"/>
              </w:rPr>
              <w:t>75</w:t>
            </w:r>
            <w:r>
              <w:rPr>
                <w:rFonts w:hint="eastAsia"/>
                <w:color w:val="auto"/>
                <w:u w:val="none" w:color="auto"/>
                <w:lang w:eastAsia="zh-CN"/>
              </w:rPr>
              <w:t>MW，预计年上网电量为 15409万kW·h，相应年等效满负荷利用小时为2055h。</w:t>
            </w:r>
          </w:p>
        </w:tc>
        <w:tc>
          <w:tcPr>
            <w:tcW w:w="1268" w:type="pct"/>
            <w:vAlign w:val="center"/>
          </w:tcPr>
          <w:p>
            <w:pPr>
              <w:pStyle w:val="3672"/>
              <w:rPr>
                <w:color w:val="auto"/>
                <w:u w:val="none" w:color="auto"/>
                <w:lang w:eastAsia="zh-CN"/>
              </w:rPr>
            </w:pPr>
            <w:r>
              <w:rPr>
                <w:color w:val="auto"/>
                <w:u w:val="none" w:color="auto"/>
                <w:lang w:eastAsia="zh-CN"/>
              </w:rPr>
              <w:t>总装机容量</w:t>
            </w:r>
            <w:r>
              <w:rPr>
                <w:rFonts w:hint="eastAsia"/>
                <w:color w:val="auto"/>
                <w:u w:val="none" w:color="auto"/>
                <w:lang w:eastAsia="zh-CN"/>
              </w:rPr>
              <w:t>不变</w:t>
            </w:r>
          </w:p>
        </w:tc>
        <w:tc>
          <w:tcPr>
            <w:tcW w:w="417" w:type="pct"/>
            <w:vAlign w:val="center"/>
          </w:tcPr>
          <w:p>
            <w:pPr>
              <w:pStyle w:val="3672"/>
              <w:rPr>
                <w:color w:val="auto"/>
                <w:u w:val="none" w:color="auto"/>
                <w:lang w:eastAsia="zh-CN"/>
              </w:rPr>
            </w:pPr>
            <w:r>
              <w:rPr>
                <w:rFonts w:hint="eastAsia"/>
                <w:color w:val="auto"/>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350" w:type="pct"/>
            <w:vMerge w:val="continue"/>
            <w:vAlign w:val="center"/>
          </w:tcPr>
          <w:p>
            <w:pPr>
              <w:pStyle w:val="3672"/>
              <w:rPr>
                <w:color w:val="auto"/>
                <w:u w:val="none" w:color="auto"/>
                <w:lang w:eastAsia="zh-CN"/>
              </w:rPr>
            </w:pPr>
          </w:p>
        </w:tc>
        <w:tc>
          <w:tcPr>
            <w:tcW w:w="1362" w:type="pct"/>
            <w:vAlign w:val="center"/>
          </w:tcPr>
          <w:p>
            <w:pPr>
              <w:pStyle w:val="3672"/>
              <w:rPr>
                <w:color w:val="auto"/>
                <w:u w:val="none" w:color="auto"/>
                <w:lang w:eastAsia="zh-CN"/>
              </w:rPr>
            </w:pPr>
            <w:r>
              <w:rPr>
                <w:color w:val="auto"/>
                <w:u w:val="none" w:color="auto"/>
                <w:lang w:eastAsia="zh-CN"/>
              </w:rPr>
              <w:t>风机规模：</w:t>
            </w:r>
            <w:r>
              <w:rPr>
                <w:rFonts w:hint="eastAsia"/>
                <w:color w:val="auto"/>
                <w:u w:val="none" w:color="auto"/>
                <w:lang w:val="en-US" w:eastAsia="zh-CN"/>
              </w:rPr>
              <w:t>15</w:t>
            </w:r>
            <w:r>
              <w:rPr>
                <w:color w:val="auto"/>
                <w:u w:val="none" w:color="auto"/>
                <w:lang w:eastAsia="zh-CN"/>
              </w:rPr>
              <w:t>台单机容量</w:t>
            </w:r>
            <w:r>
              <w:rPr>
                <w:rFonts w:hint="eastAsia"/>
                <w:color w:val="auto"/>
                <w:u w:val="none" w:color="auto"/>
                <w:lang w:eastAsia="zh-CN"/>
              </w:rPr>
              <w:t>5.0</w:t>
            </w:r>
            <w:r>
              <w:rPr>
                <w:color w:val="auto"/>
                <w:u w:val="none" w:color="auto"/>
                <w:lang w:eastAsia="zh-CN"/>
              </w:rPr>
              <w:t>MW风机</w:t>
            </w:r>
          </w:p>
        </w:tc>
        <w:tc>
          <w:tcPr>
            <w:tcW w:w="1600" w:type="pct"/>
            <w:vAlign w:val="center"/>
          </w:tcPr>
          <w:p>
            <w:pPr>
              <w:pStyle w:val="3672"/>
              <w:rPr>
                <w:color w:val="auto"/>
                <w:u w:val="none" w:color="auto"/>
                <w:lang w:eastAsia="zh-CN"/>
              </w:rPr>
            </w:pPr>
            <w:r>
              <w:rPr>
                <w:color w:val="auto"/>
                <w:u w:val="none" w:color="auto"/>
                <w:lang w:eastAsia="zh-CN"/>
              </w:rPr>
              <w:t>风机规模：</w:t>
            </w:r>
            <w:r>
              <w:rPr>
                <w:rFonts w:hint="eastAsia"/>
                <w:color w:val="auto"/>
                <w:u w:val="none" w:color="auto"/>
                <w:lang w:val="en-US" w:eastAsia="zh-CN"/>
              </w:rPr>
              <w:t>15</w:t>
            </w:r>
            <w:r>
              <w:rPr>
                <w:color w:val="auto"/>
                <w:u w:val="none" w:color="auto"/>
                <w:lang w:eastAsia="zh-CN"/>
              </w:rPr>
              <w:t>台单机容量</w:t>
            </w:r>
            <w:r>
              <w:rPr>
                <w:rFonts w:hint="eastAsia"/>
                <w:color w:val="auto"/>
                <w:u w:val="none" w:color="auto"/>
                <w:lang w:eastAsia="zh-CN"/>
              </w:rPr>
              <w:t>5</w:t>
            </w:r>
            <w:r>
              <w:rPr>
                <w:color w:val="auto"/>
                <w:u w:val="none" w:color="auto"/>
                <w:lang w:eastAsia="zh-CN"/>
              </w:rPr>
              <w:t xml:space="preserve"> MW风机</w:t>
            </w:r>
          </w:p>
        </w:tc>
        <w:tc>
          <w:tcPr>
            <w:tcW w:w="1268" w:type="pct"/>
            <w:vAlign w:val="center"/>
          </w:tcPr>
          <w:p>
            <w:pPr>
              <w:pStyle w:val="3672"/>
              <w:rPr>
                <w:color w:val="auto"/>
                <w:u w:val="none" w:color="auto"/>
                <w:lang w:eastAsia="zh-CN"/>
              </w:rPr>
            </w:pPr>
            <w:r>
              <w:rPr>
                <w:rFonts w:hint="eastAsia"/>
                <w:color w:val="auto"/>
                <w:u w:val="none" w:color="auto"/>
                <w:lang w:eastAsia="zh-CN"/>
              </w:rPr>
              <w:t>不变</w:t>
            </w:r>
          </w:p>
        </w:tc>
        <w:tc>
          <w:tcPr>
            <w:tcW w:w="417" w:type="pct"/>
          </w:tcPr>
          <w:p>
            <w:pPr>
              <w:pStyle w:val="3672"/>
              <w:rPr>
                <w:color w:val="auto"/>
                <w:u w:val="none" w:color="auto"/>
                <w:lang w:eastAsia="zh-CN"/>
              </w:rPr>
            </w:pPr>
            <w:r>
              <w:rPr>
                <w:rFonts w:hint="eastAsia"/>
                <w:color w:val="auto"/>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0" w:type="pct"/>
            <w:vMerge w:val="continue"/>
            <w:vAlign w:val="center"/>
          </w:tcPr>
          <w:p>
            <w:pPr>
              <w:pStyle w:val="3672"/>
              <w:rPr>
                <w:color w:val="auto"/>
                <w:u w:val="none" w:color="auto"/>
                <w:lang w:eastAsia="zh-CN"/>
              </w:rPr>
            </w:pPr>
          </w:p>
        </w:tc>
        <w:tc>
          <w:tcPr>
            <w:tcW w:w="1362" w:type="pct"/>
            <w:vAlign w:val="center"/>
          </w:tcPr>
          <w:p>
            <w:pPr>
              <w:pStyle w:val="3672"/>
              <w:rPr>
                <w:color w:val="auto"/>
                <w:u w:val="none" w:color="auto"/>
                <w:lang w:eastAsia="zh-CN"/>
              </w:rPr>
            </w:pPr>
            <w:r>
              <w:rPr>
                <w:rFonts w:hint="eastAsia"/>
                <w:color w:val="auto"/>
                <w:u w:val="none" w:color="auto"/>
                <w:lang w:val="en-US" w:eastAsia="zh-CN"/>
              </w:rPr>
              <w:t>汇集</w:t>
            </w:r>
            <w:r>
              <w:rPr>
                <w:color w:val="auto"/>
                <w:u w:val="none" w:color="auto"/>
                <w:lang w:eastAsia="zh-CN"/>
              </w:rPr>
              <w:t>站：</w:t>
            </w:r>
            <w:r>
              <w:rPr>
                <w:rFonts w:hint="eastAsia"/>
                <w:color w:val="auto"/>
                <w:u w:val="none" w:color="auto"/>
                <w:lang w:eastAsia="zh-CN"/>
              </w:rPr>
              <w:t>新建一座</w:t>
            </w:r>
            <w:r>
              <w:rPr>
                <w:rFonts w:hint="eastAsia"/>
                <w:color w:val="auto"/>
                <w:u w:val="none" w:color="auto"/>
                <w:lang w:val="en-US" w:eastAsia="zh-CN"/>
              </w:rPr>
              <w:t>22</w:t>
            </w:r>
            <w:r>
              <w:rPr>
                <w:rFonts w:hint="eastAsia"/>
                <w:color w:val="auto"/>
                <w:u w:val="none" w:color="auto"/>
                <w:lang w:eastAsia="zh-CN"/>
              </w:rPr>
              <w:t>0kV</w:t>
            </w:r>
            <w:r>
              <w:rPr>
                <w:rFonts w:hint="eastAsia"/>
                <w:color w:val="auto"/>
                <w:u w:val="none" w:color="auto"/>
                <w:lang w:val="en-US" w:eastAsia="zh-CN"/>
              </w:rPr>
              <w:t>汇集</w:t>
            </w:r>
            <w:r>
              <w:rPr>
                <w:rFonts w:hint="eastAsia"/>
                <w:color w:val="auto"/>
                <w:u w:val="none" w:color="auto"/>
                <w:lang w:eastAsia="zh-CN"/>
              </w:rPr>
              <w:t>站，主变压器</w:t>
            </w:r>
            <w:r>
              <w:rPr>
                <w:rFonts w:hint="eastAsia"/>
                <w:color w:val="auto"/>
                <w:szCs w:val="21"/>
                <w:u w:val="none"/>
                <w:lang w:eastAsia="zh-CN"/>
              </w:rPr>
              <w:t>近期</w:t>
            </w:r>
            <w:r>
              <w:rPr>
                <w:rFonts w:hint="eastAsia"/>
                <w:color w:val="auto"/>
                <w:szCs w:val="21"/>
                <w:u w:val="none"/>
              </w:rPr>
              <w:t>为2×240MVA</w:t>
            </w:r>
            <w:r>
              <w:rPr>
                <w:rFonts w:hint="eastAsia"/>
                <w:color w:val="auto"/>
                <w:szCs w:val="21"/>
                <w:u w:val="none"/>
                <w:lang w:eastAsia="zh-CN"/>
              </w:rPr>
              <w:t>，远期为</w:t>
            </w:r>
            <w:r>
              <w:rPr>
                <w:rFonts w:hint="eastAsia"/>
                <w:color w:val="auto"/>
                <w:szCs w:val="21"/>
                <w:u w:val="none"/>
                <w:lang w:val="en-US" w:eastAsia="zh-CN"/>
              </w:rPr>
              <w:t>3</w:t>
            </w:r>
            <w:r>
              <w:rPr>
                <w:rFonts w:hint="eastAsia"/>
                <w:color w:val="auto"/>
                <w:szCs w:val="21"/>
                <w:u w:val="none"/>
              </w:rPr>
              <w:t>×240MVA</w:t>
            </w:r>
            <w:r>
              <w:rPr>
                <w:rFonts w:hint="eastAsia"/>
                <w:color w:val="auto"/>
                <w:u w:val="none" w:color="auto"/>
                <w:lang w:eastAsia="zh-CN"/>
              </w:rPr>
              <w:t>。</w:t>
            </w:r>
          </w:p>
        </w:tc>
        <w:tc>
          <w:tcPr>
            <w:tcW w:w="1600" w:type="pct"/>
            <w:vAlign w:val="center"/>
          </w:tcPr>
          <w:p>
            <w:pPr>
              <w:pStyle w:val="3672"/>
              <w:rPr>
                <w:color w:val="auto"/>
                <w:u w:val="none" w:color="auto"/>
                <w:lang w:eastAsia="zh-CN"/>
              </w:rPr>
            </w:pPr>
            <w:r>
              <w:rPr>
                <w:rFonts w:hint="eastAsia"/>
                <w:color w:val="auto"/>
                <w:u w:val="none" w:color="auto"/>
                <w:lang w:val="en-US" w:eastAsia="zh-CN"/>
              </w:rPr>
              <w:t>汇集</w:t>
            </w:r>
            <w:r>
              <w:rPr>
                <w:color w:val="auto"/>
                <w:u w:val="none" w:color="auto"/>
                <w:lang w:eastAsia="zh-CN"/>
              </w:rPr>
              <w:t>站：</w:t>
            </w:r>
            <w:r>
              <w:rPr>
                <w:rFonts w:hint="eastAsia"/>
                <w:color w:val="auto"/>
                <w:u w:val="none" w:color="auto"/>
                <w:lang w:eastAsia="zh-CN"/>
              </w:rPr>
              <w:t>新建一座</w:t>
            </w:r>
            <w:r>
              <w:rPr>
                <w:rFonts w:hint="eastAsia"/>
                <w:color w:val="auto"/>
                <w:u w:val="none" w:color="auto"/>
                <w:lang w:val="en-US" w:eastAsia="zh-CN"/>
              </w:rPr>
              <w:t>22</w:t>
            </w:r>
            <w:r>
              <w:rPr>
                <w:rFonts w:hint="eastAsia"/>
                <w:color w:val="auto"/>
                <w:u w:val="none" w:color="auto"/>
                <w:lang w:eastAsia="zh-CN"/>
              </w:rPr>
              <w:t>0kV</w:t>
            </w:r>
            <w:r>
              <w:rPr>
                <w:rFonts w:hint="eastAsia"/>
                <w:color w:val="auto"/>
                <w:u w:val="none" w:color="auto"/>
                <w:lang w:val="en-US" w:eastAsia="zh-CN"/>
              </w:rPr>
              <w:t>汇集</w:t>
            </w:r>
            <w:r>
              <w:rPr>
                <w:rFonts w:hint="eastAsia"/>
                <w:color w:val="auto"/>
                <w:u w:val="none" w:color="auto"/>
                <w:lang w:eastAsia="zh-CN"/>
              </w:rPr>
              <w:t>站，主变压器</w:t>
            </w:r>
            <w:r>
              <w:rPr>
                <w:rFonts w:hint="eastAsia"/>
                <w:color w:val="auto"/>
                <w:szCs w:val="21"/>
                <w:u w:val="none"/>
                <w:lang w:eastAsia="zh-CN"/>
              </w:rPr>
              <w:t>近期</w:t>
            </w:r>
            <w:r>
              <w:rPr>
                <w:rFonts w:hint="eastAsia"/>
                <w:color w:val="auto"/>
                <w:szCs w:val="21"/>
                <w:u w:val="none"/>
              </w:rPr>
              <w:t>为2×240MVA</w:t>
            </w:r>
            <w:r>
              <w:rPr>
                <w:rFonts w:hint="eastAsia"/>
                <w:color w:val="auto"/>
                <w:szCs w:val="21"/>
                <w:u w:val="none"/>
                <w:lang w:eastAsia="zh-CN"/>
              </w:rPr>
              <w:t>，远期为</w:t>
            </w:r>
            <w:r>
              <w:rPr>
                <w:rFonts w:hint="eastAsia"/>
                <w:color w:val="auto"/>
                <w:szCs w:val="21"/>
                <w:u w:val="none"/>
                <w:lang w:val="en-US" w:eastAsia="zh-CN"/>
              </w:rPr>
              <w:t>3</w:t>
            </w:r>
            <w:r>
              <w:rPr>
                <w:rFonts w:hint="eastAsia"/>
                <w:color w:val="auto"/>
                <w:szCs w:val="21"/>
                <w:u w:val="none"/>
              </w:rPr>
              <w:t>×240MVA</w:t>
            </w:r>
            <w:r>
              <w:rPr>
                <w:rFonts w:hint="eastAsia"/>
                <w:color w:val="auto"/>
                <w:u w:val="none" w:color="auto"/>
                <w:lang w:eastAsia="zh-CN"/>
              </w:rPr>
              <w:t>。</w:t>
            </w:r>
          </w:p>
        </w:tc>
        <w:tc>
          <w:tcPr>
            <w:tcW w:w="1268" w:type="pct"/>
            <w:vAlign w:val="center"/>
          </w:tcPr>
          <w:p>
            <w:pPr>
              <w:pStyle w:val="3672"/>
              <w:rPr>
                <w:color w:val="auto"/>
                <w:u w:val="none" w:color="auto"/>
                <w:lang w:eastAsia="zh-CN"/>
              </w:rPr>
            </w:pPr>
            <w:r>
              <w:rPr>
                <w:color w:val="auto"/>
                <w:u w:val="none" w:color="auto"/>
              </w:rPr>
              <w:t>不变</w:t>
            </w:r>
          </w:p>
        </w:tc>
        <w:tc>
          <w:tcPr>
            <w:tcW w:w="417" w:type="pct"/>
            <w:vAlign w:val="center"/>
          </w:tcPr>
          <w:p>
            <w:pPr>
              <w:pStyle w:val="3672"/>
              <w:rPr>
                <w:color w:val="auto"/>
                <w:u w:val="none" w:color="auto"/>
                <w:lang w:eastAsia="zh-CN"/>
              </w:rPr>
            </w:pPr>
            <w:r>
              <w:rPr>
                <w:rFonts w:hint="eastAsia"/>
                <w:color w:val="auto"/>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0" w:type="pct"/>
            <w:vMerge w:val="continue"/>
            <w:vAlign w:val="center"/>
          </w:tcPr>
          <w:p>
            <w:pPr>
              <w:pStyle w:val="3672"/>
              <w:rPr>
                <w:color w:val="auto"/>
                <w:u w:val="none" w:color="auto"/>
                <w:lang w:eastAsia="zh-CN"/>
              </w:rPr>
            </w:pPr>
          </w:p>
        </w:tc>
        <w:tc>
          <w:tcPr>
            <w:tcW w:w="1362" w:type="pct"/>
            <w:vAlign w:val="center"/>
          </w:tcPr>
          <w:p>
            <w:pPr>
              <w:pStyle w:val="3672"/>
              <w:rPr>
                <w:rFonts w:hint="eastAsia" w:eastAsia="宋体"/>
                <w:color w:val="auto"/>
                <w:u w:val="none" w:color="auto"/>
                <w:lang w:eastAsia="zh-CN"/>
              </w:rPr>
            </w:pPr>
            <w:r>
              <w:rPr>
                <w:color w:val="auto"/>
                <w:u w:val="none" w:color="auto"/>
                <w:lang w:eastAsia="zh-CN"/>
              </w:rPr>
              <w:t>道路工程：</w:t>
            </w:r>
            <w:r>
              <w:rPr>
                <w:rFonts w:hint="eastAsia"/>
                <w:color w:val="auto"/>
                <w:u w:val="none" w:color="auto"/>
                <w:lang w:val="en-US" w:eastAsia="zh-CN"/>
              </w:rPr>
              <w:t>进场道路</w:t>
            </w:r>
            <w:r>
              <w:rPr>
                <w:rFonts w:hint="default"/>
                <w:u w:val="none" w:color="auto"/>
                <w:lang w:val="en-US" w:eastAsia="zh-CN" w:bidi="ar"/>
              </w:rPr>
              <w:t>依托</w:t>
            </w:r>
            <w:r>
              <w:rPr>
                <w:rFonts w:hint="eastAsia"/>
                <w:u w:val="none" w:color="auto"/>
                <w:lang w:val="en-US" w:eastAsia="zh-CN" w:bidi="ar"/>
              </w:rPr>
              <w:t>现有道路（</w:t>
            </w:r>
            <w:r>
              <w:rPr>
                <w:rFonts w:hint="default"/>
                <w:u w:val="none" w:color="auto"/>
                <w:lang w:val="en-US" w:eastAsia="zh-CN" w:bidi="ar"/>
              </w:rPr>
              <w:t>防火巡护林道</w:t>
            </w:r>
            <w:r>
              <w:rPr>
                <w:rFonts w:hint="eastAsia"/>
                <w:u w:val="none" w:color="auto"/>
                <w:lang w:val="en-US" w:eastAsia="zh-CN" w:bidi="ar"/>
              </w:rPr>
              <w:t>）；</w:t>
            </w:r>
            <w:r>
              <w:rPr>
                <w:rFonts w:hint="eastAsia"/>
                <w:u w:val="none" w:color="auto"/>
                <w:lang w:bidi="ar"/>
              </w:rPr>
              <w:t>新建</w:t>
            </w:r>
            <w:r>
              <w:rPr>
                <w:rFonts w:hint="eastAsia"/>
                <w:u w:val="none" w:color="auto"/>
                <w:lang w:val="en-US" w:eastAsia="zh-CN" w:bidi="ar"/>
              </w:rPr>
              <w:t>场内</w:t>
            </w:r>
            <w:r>
              <w:rPr>
                <w:rFonts w:hint="eastAsia"/>
                <w:u w:val="none" w:color="auto"/>
                <w:lang w:bidi="ar"/>
              </w:rPr>
              <w:t>道路总长</w:t>
            </w:r>
            <w:r>
              <w:rPr>
                <w:u w:val="none" w:color="auto"/>
              </w:rPr>
              <w:t>2</w:t>
            </w:r>
            <w:r>
              <w:rPr>
                <w:rFonts w:hint="eastAsia"/>
                <w:u w:val="none" w:color="auto"/>
                <w:lang w:val="en-US" w:eastAsia="zh-CN"/>
              </w:rPr>
              <w:t>1.3</w:t>
            </w:r>
            <w:r>
              <w:rPr>
                <w:rFonts w:hint="eastAsia"/>
                <w:u w:val="none" w:color="auto"/>
                <w:lang w:bidi="ar"/>
              </w:rPr>
              <w:t>km</w:t>
            </w:r>
            <w:r>
              <w:rPr>
                <w:rFonts w:hint="eastAsia"/>
                <w:u w:val="none" w:color="auto"/>
                <w:lang w:eastAsia="zh-CN" w:bidi="ar"/>
              </w:rPr>
              <w:t>。</w:t>
            </w:r>
          </w:p>
        </w:tc>
        <w:tc>
          <w:tcPr>
            <w:tcW w:w="1600" w:type="pct"/>
            <w:vAlign w:val="center"/>
          </w:tcPr>
          <w:p>
            <w:pPr>
              <w:pStyle w:val="3672"/>
              <w:rPr>
                <w:rFonts w:hint="eastAsia" w:eastAsia="宋体"/>
                <w:color w:val="auto"/>
                <w:u w:val="none" w:color="auto"/>
                <w:lang w:eastAsia="zh-CN"/>
              </w:rPr>
            </w:pPr>
            <w:r>
              <w:rPr>
                <w:color w:val="auto"/>
                <w:u w:val="none" w:color="auto"/>
                <w:lang w:eastAsia="zh-CN"/>
              </w:rPr>
              <w:t>道路工程：</w:t>
            </w:r>
            <w:r>
              <w:rPr>
                <w:rFonts w:hint="eastAsia"/>
                <w:color w:val="auto"/>
                <w:u w:val="none" w:color="auto"/>
                <w:lang w:val="en-US" w:eastAsia="zh-CN"/>
              </w:rPr>
              <w:t>进场道路</w:t>
            </w:r>
            <w:r>
              <w:rPr>
                <w:rFonts w:hint="default"/>
                <w:u w:val="none" w:color="auto"/>
                <w:lang w:val="en-US" w:eastAsia="zh-CN" w:bidi="ar"/>
              </w:rPr>
              <w:t>依托</w:t>
            </w:r>
            <w:r>
              <w:rPr>
                <w:rFonts w:hint="eastAsia"/>
                <w:u w:val="none" w:color="auto"/>
                <w:lang w:val="en-US" w:eastAsia="zh-CN" w:bidi="ar"/>
              </w:rPr>
              <w:t>现有道路（</w:t>
            </w:r>
            <w:r>
              <w:rPr>
                <w:rFonts w:hint="default"/>
                <w:u w:val="none" w:color="auto"/>
                <w:lang w:val="en-US" w:eastAsia="zh-CN" w:bidi="ar"/>
              </w:rPr>
              <w:t>防火巡护林道</w:t>
            </w:r>
            <w:r>
              <w:rPr>
                <w:rFonts w:hint="eastAsia"/>
                <w:u w:val="none" w:color="auto"/>
                <w:lang w:val="en-US" w:eastAsia="zh-CN" w:bidi="ar"/>
              </w:rPr>
              <w:t>）；</w:t>
            </w:r>
            <w:r>
              <w:rPr>
                <w:rFonts w:hint="eastAsia"/>
                <w:u w:val="none" w:color="auto"/>
                <w:lang w:bidi="ar"/>
              </w:rPr>
              <w:t>新建</w:t>
            </w:r>
            <w:r>
              <w:rPr>
                <w:rFonts w:hint="eastAsia"/>
                <w:u w:val="none" w:color="auto"/>
                <w:lang w:val="en-US" w:eastAsia="zh-CN" w:bidi="ar"/>
              </w:rPr>
              <w:t>场内</w:t>
            </w:r>
            <w:r>
              <w:rPr>
                <w:rFonts w:hint="eastAsia"/>
                <w:u w:val="none" w:color="auto"/>
                <w:lang w:bidi="ar"/>
              </w:rPr>
              <w:t>道路总长</w:t>
            </w:r>
            <w:r>
              <w:rPr>
                <w:rFonts w:hint="eastAsia"/>
                <w:u w:val="none" w:color="auto"/>
                <w:lang w:val="en-US" w:eastAsia="zh-CN" w:bidi="ar"/>
              </w:rPr>
              <w:t>22.5</w:t>
            </w:r>
            <w:r>
              <w:rPr>
                <w:rFonts w:hint="eastAsia"/>
                <w:u w:val="none" w:color="auto"/>
                <w:lang w:bidi="ar"/>
              </w:rPr>
              <w:t>km</w:t>
            </w:r>
            <w:r>
              <w:rPr>
                <w:rFonts w:hint="eastAsia"/>
                <w:u w:val="none" w:color="auto"/>
                <w:lang w:eastAsia="zh-CN" w:bidi="ar"/>
              </w:rPr>
              <w:t>。</w:t>
            </w:r>
          </w:p>
        </w:tc>
        <w:tc>
          <w:tcPr>
            <w:tcW w:w="1268" w:type="pct"/>
            <w:vAlign w:val="center"/>
          </w:tcPr>
          <w:p>
            <w:pPr>
              <w:pStyle w:val="3672"/>
              <w:rPr>
                <w:rFonts w:hint="default"/>
                <w:color w:val="auto"/>
                <w:sz w:val="21"/>
                <w:szCs w:val="21"/>
                <w:u w:val="none" w:color="auto"/>
                <w:lang w:val="en-US" w:eastAsia="zh-CN"/>
              </w:rPr>
            </w:pPr>
            <w:r>
              <w:rPr>
                <w:rFonts w:hint="eastAsia"/>
                <w:sz w:val="21"/>
                <w:szCs w:val="21"/>
                <w:u w:val="none" w:color="auto"/>
                <w:lang w:bidi="ar"/>
              </w:rPr>
              <w:t>场内道路</w:t>
            </w:r>
            <w:r>
              <w:rPr>
                <w:rFonts w:hint="eastAsia"/>
                <w:sz w:val="21"/>
                <w:szCs w:val="21"/>
                <w:u w:val="none" w:color="auto"/>
                <w:lang w:val="en-US" w:eastAsia="zh-CN" w:bidi="ar"/>
              </w:rPr>
              <w:t>增加1.2km。</w:t>
            </w:r>
          </w:p>
        </w:tc>
        <w:tc>
          <w:tcPr>
            <w:tcW w:w="417" w:type="pct"/>
            <w:vAlign w:val="center"/>
          </w:tcPr>
          <w:p>
            <w:pPr>
              <w:pStyle w:val="3672"/>
              <w:rPr>
                <w:color w:val="auto"/>
                <w:u w:val="none" w:color="auto"/>
                <w:lang w:eastAsia="zh-CN" w:bidi="ar"/>
              </w:rPr>
            </w:pPr>
            <w:r>
              <w:rPr>
                <w:rFonts w:hint="eastAsia"/>
                <w:color w:val="auto"/>
                <w:u w:val="none" w:color="auto"/>
                <w:lang w:eastAsia="zh-CN"/>
              </w:rPr>
              <w:t>不属于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0" w:type="pct"/>
            <w:vMerge w:val="continue"/>
            <w:vAlign w:val="center"/>
          </w:tcPr>
          <w:p>
            <w:pPr>
              <w:pStyle w:val="3672"/>
              <w:rPr>
                <w:color w:val="auto"/>
                <w:u w:val="none" w:color="auto"/>
                <w:lang w:eastAsia="zh-CN"/>
              </w:rPr>
            </w:pPr>
          </w:p>
        </w:tc>
        <w:tc>
          <w:tcPr>
            <w:tcW w:w="1362" w:type="pct"/>
            <w:vAlign w:val="center"/>
          </w:tcPr>
          <w:p>
            <w:pPr>
              <w:pStyle w:val="3672"/>
              <w:rPr>
                <w:color w:val="auto"/>
                <w:u w:val="none" w:color="auto"/>
                <w:lang w:eastAsia="zh-CN"/>
              </w:rPr>
            </w:pPr>
            <w:r>
              <w:rPr>
                <w:rFonts w:hint="eastAsia"/>
                <w:color w:val="auto"/>
                <w:u w:val="none" w:color="auto"/>
                <w:lang w:eastAsia="zh-CN"/>
              </w:rPr>
              <w:t>集电线路：</w:t>
            </w:r>
            <w:r>
              <w:rPr>
                <w:color w:val="auto"/>
                <w:u w:val="none" w:color="auto"/>
                <w:lang w:eastAsia="zh-CN"/>
              </w:rPr>
              <w:t>新建电缆线路长度</w:t>
            </w:r>
            <w:r>
              <w:rPr>
                <w:rFonts w:hint="eastAsia"/>
                <w:color w:val="auto"/>
                <w:u w:val="none" w:color="auto"/>
                <w:lang w:val="en-US" w:eastAsia="zh-CN" w:bidi="ar"/>
              </w:rPr>
              <w:t>19.3</w:t>
            </w:r>
            <w:r>
              <w:rPr>
                <w:color w:val="auto"/>
                <w:u w:val="none" w:color="auto"/>
                <w:lang w:eastAsia="zh-CN"/>
              </w:rPr>
              <w:t>km，全线采用电缆直埋敷设</w:t>
            </w:r>
          </w:p>
        </w:tc>
        <w:tc>
          <w:tcPr>
            <w:tcW w:w="1600" w:type="pct"/>
            <w:vAlign w:val="center"/>
          </w:tcPr>
          <w:p>
            <w:pPr>
              <w:pStyle w:val="3672"/>
              <w:rPr>
                <w:color w:val="auto"/>
                <w:u w:val="none" w:color="auto"/>
                <w:lang w:eastAsia="zh-CN"/>
              </w:rPr>
            </w:pPr>
            <w:r>
              <w:rPr>
                <w:rFonts w:hint="eastAsia"/>
                <w:color w:val="auto"/>
                <w:u w:val="none" w:color="auto"/>
                <w:lang w:eastAsia="zh-CN"/>
              </w:rPr>
              <w:t>集电线路：</w:t>
            </w:r>
            <w:r>
              <w:rPr>
                <w:color w:val="auto"/>
                <w:u w:val="none" w:color="auto"/>
                <w:lang w:eastAsia="zh-CN"/>
              </w:rPr>
              <w:t>新建电缆线路长度</w:t>
            </w:r>
            <w:r>
              <w:rPr>
                <w:rFonts w:hint="eastAsia"/>
                <w:color w:val="auto"/>
                <w:u w:val="none" w:color="auto"/>
                <w:lang w:val="en-US" w:eastAsia="zh-CN" w:bidi="ar"/>
              </w:rPr>
              <w:t>26.7</w:t>
            </w:r>
            <w:r>
              <w:rPr>
                <w:color w:val="auto"/>
                <w:u w:val="none" w:color="auto"/>
                <w:lang w:eastAsia="zh-CN"/>
              </w:rPr>
              <w:t>km，全线采用电缆直埋敷设</w:t>
            </w:r>
          </w:p>
        </w:tc>
        <w:tc>
          <w:tcPr>
            <w:tcW w:w="1268" w:type="pct"/>
            <w:vAlign w:val="center"/>
          </w:tcPr>
          <w:p>
            <w:pPr>
              <w:pStyle w:val="3672"/>
              <w:rPr>
                <w:color w:val="auto"/>
                <w:u w:val="none" w:color="auto"/>
                <w:lang w:eastAsia="zh-CN"/>
              </w:rPr>
            </w:pPr>
            <w:r>
              <w:rPr>
                <w:rFonts w:hint="eastAsia"/>
                <w:color w:val="auto"/>
                <w:u w:val="none" w:color="auto"/>
                <w:lang w:eastAsia="zh-CN"/>
              </w:rPr>
              <w:t>集电线路总</w:t>
            </w:r>
            <w:r>
              <w:rPr>
                <w:color w:val="auto"/>
                <w:u w:val="none" w:color="auto"/>
                <w:lang w:eastAsia="zh-CN"/>
              </w:rPr>
              <w:t>长</w:t>
            </w:r>
            <w:r>
              <w:rPr>
                <w:rFonts w:hint="eastAsia"/>
                <w:color w:val="auto"/>
                <w:u w:val="none" w:color="auto"/>
                <w:lang w:eastAsia="zh-CN"/>
              </w:rPr>
              <w:t>度</w:t>
            </w:r>
            <w:r>
              <w:rPr>
                <w:rFonts w:hint="eastAsia"/>
                <w:color w:val="auto"/>
                <w:u w:val="none" w:color="auto"/>
                <w:lang w:val="en-US" w:eastAsia="zh-CN"/>
              </w:rPr>
              <w:t>增加</w:t>
            </w:r>
            <w:r>
              <w:rPr>
                <w:rFonts w:hint="eastAsia"/>
                <w:color w:val="auto"/>
                <w:u w:val="none" w:color="auto"/>
                <w:lang w:eastAsia="zh-CN"/>
              </w:rPr>
              <w:t>约</w:t>
            </w:r>
            <w:r>
              <w:rPr>
                <w:rFonts w:hint="eastAsia"/>
                <w:color w:val="auto"/>
                <w:u w:val="none" w:color="auto"/>
                <w:lang w:val="en-US" w:eastAsia="zh-CN"/>
              </w:rPr>
              <w:t>7.4</w:t>
            </w:r>
            <w:r>
              <w:rPr>
                <w:color w:val="auto"/>
                <w:u w:val="none" w:color="auto"/>
                <w:lang w:eastAsia="zh-CN"/>
              </w:rPr>
              <w:t>km</w:t>
            </w:r>
            <w:r>
              <w:rPr>
                <w:rFonts w:hint="eastAsia"/>
                <w:u w:val="none" w:color="auto"/>
                <w:lang w:val="en-US" w:eastAsia="zh-CN" w:bidi="ar"/>
              </w:rPr>
              <w:t>，未新增敏感目标。</w:t>
            </w:r>
            <w:r>
              <w:rPr>
                <w:color w:val="auto"/>
                <w:u w:val="none" w:color="auto"/>
                <w:lang w:eastAsia="zh-CN"/>
              </w:rPr>
              <w:t xml:space="preserve"> </w:t>
            </w:r>
          </w:p>
        </w:tc>
        <w:tc>
          <w:tcPr>
            <w:tcW w:w="417" w:type="pct"/>
            <w:vAlign w:val="center"/>
          </w:tcPr>
          <w:p>
            <w:pPr>
              <w:pStyle w:val="3672"/>
              <w:rPr>
                <w:color w:val="auto"/>
                <w:u w:val="none" w:color="auto"/>
                <w:lang w:eastAsia="zh-CN"/>
              </w:rPr>
            </w:pPr>
            <w:r>
              <w:rPr>
                <w:rFonts w:hint="eastAsia"/>
                <w:color w:val="auto"/>
                <w:u w:val="none" w:color="auto"/>
                <w:lang w:eastAsia="zh-CN"/>
              </w:rPr>
              <w:t>不属于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350" w:type="pct"/>
            <w:vMerge w:val="continue"/>
            <w:vAlign w:val="center"/>
          </w:tcPr>
          <w:p>
            <w:pPr>
              <w:pStyle w:val="3672"/>
              <w:rPr>
                <w:color w:val="auto"/>
                <w:u w:val="none" w:color="auto"/>
              </w:rPr>
            </w:pPr>
          </w:p>
        </w:tc>
        <w:tc>
          <w:tcPr>
            <w:tcW w:w="1362" w:type="pct"/>
            <w:vAlign w:val="center"/>
          </w:tcPr>
          <w:p>
            <w:pPr>
              <w:pStyle w:val="3672"/>
              <w:rPr>
                <w:color w:val="auto"/>
                <w:szCs w:val="21"/>
                <w:highlight w:val="none"/>
                <w:u w:val="none" w:color="auto"/>
                <w:lang w:eastAsia="zh-CN"/>
              </w:rPr>
            </w:pPr>
            <w:r>
              <w:rPr>
                <w:color w:val="auto"/>
                <w:szCs w:val="21"/>
                <w:highlight w:val="none"/>
                <w:u w:val="none" w:color="auto"/>
                <w:lang w:eastAsia="zh-CN"/>
              </w:rPr>
              <w:t>占地面积：</w:t>
            </w:r>
            <w:r>
              <w:rPr>
                <w:rFonts w:hint="eastAsia"/>
                <w:color w:val="auto"/>
                <w:szCs w:val="21"/>
                <w:highlight w:val="none"/>
                <w:u w:val="none" w:color="auto"/>
                <w:lang w:eastAsia="zh-CN"/>
              </w:rPr>
              <w:t>总占地面积</w:t>
            </w:r>
            <w:r>
              <w:rPr>
                <w:rFonts w:hint="eastAsia"/>
                <w:color w:val="auto"/>
                <w:szCs w:val="21"/>
                <w:highlight w:val="none"/>
                <w:u w:val="none" w:color="auto"/>
                <w:lang w:val="en-US" w:eastAsia="zh-CN"/>
              </w:rPr>
              <w:t>49.293</w:t>
            </w:r>
            <w:r>
              <w:rPr>
                <w:rFonts w:hint="eastAsia"/>
                <w:color w:val="auto"/>
                <w:szCs w:val="21"/>
                <w:highlight w:val="none"/>
                <w:u w:val="none" w:color="auto"/>
                <w:lang w:eastAsia="zh-CN"/>
              </w:rPr>
              <w:t>万m</w:t>
            </w:r>
            <w:r>
              <w:rPr>
                <w:rFonts w:hint="eastAsia"/>
                <w:color w:val="auto"/>
                <w:szCs w:val="21"/>
                <w:highlight w:val="none"/>
                <w:u w:val="none" w:color="auto"/>
                <w:vertAlign w:val="superscript"/>
                <w:lang w:eastAsia="zh-CN"/>
              </w:rPr>
              <w:t>2</w:t>
            </w:r>
            <w:r>
              <w:rPr>
                <w:rFonts w:hint="eastAsia"/>
                <w:color w:val="auto"/>
                <w:szCs w:val="21"/>
                <w:highlight w:val="none"/>
                <w:u w:val="none" w:color="auto"/>
                <w:lang w:eastAsia="zh-CN"/>
              </w:rPr>
              <w:t>，其中永久占地：</w:t>
            </w:r>
            <w:r>
              <w:rPr>
                <w:rFonts w:hint="eastAsia"/>
                <w:color w:val="auto"/>
                <w:szCs w:val="21"/>
                <w:highlight w:val="none"/>
                <w:u w:val="none" w:color="auto"/>
                <w:lang w:val="en-US" w:eastAsia="zh-CN"/>
              </w:rPr>
              <w:t>2.085</w:t>
            </w:r>
            <w:r>
              <w:rPr>
                <w:rFonts w:hint="eastAsia"/>
                <w:color w:val="auto"/>
                <w:szCs w:val="21"/>
                <w:highlight w:val="none"/>
                <w:u w:val="none" w:color="auto"/>
                <w:lang w:eastAsia="zh-CN"/>
              </w:rPr>
              <w:t>万m</w:t>
            </w:r>
            <w:r>
              <w:rPr>
                <w:rFonts w:hint="eastAsia"/>
                <w:color w:val="auto"/>
                <w:szCs w:val="21"/>
                <w:highlight w:val="none"/>
                <w:u w:val="none" w:color="auto"/>
                <w:vertAlign w:val="superscript"/>
                <w:lang w:eastAsia="zh-CN"/>
              </w:rPr>
              <w:t>2</w:t>
            </w:r>
            <w:r>
              <w:rPr>
                <w:rFonts w:hint="eastAsia"/>
                <w:color w:val="auto"/>
                <w:szCs w:val="21"/>
                <w:highlight w:val="none"/>
                <w:u w:val="none" w:color="auto"/>
                <w:lang w:eastAsia="zh-CN"/>
              </w:rPr>
              <w:t>，临时占地：</w:t>
            </w:r>
            <w:r>
              <w:rPr>
                <w:rFonts w:hint="eastAsia"/>
                <w:color w:val="auto"/>
                <w:szCs w:val="21"/>
                <w:highlight w:val="none"/>
                <w:u w:val="none" w:color="auto"/>
                <w:lang w:val="en-US" w:eastAsia="zh-CN"/>
              </w:rPr>
              <w:t>47.208</w:t>
            </w:r>
            <w:r>
              <w:rPr>
                <w:rFonts w:hint="eastAsia"/>
                <w:color w:val="auto"/>
                <w:szCs w:val="21"/>
                <w:highlight w:val="none"/>
                <w:u w:val="none" w:color="auto"/>
                <w:lang w:eastAsia="zh-CN"/>
              </w:rPr>
              <w:t>万m</w:t>
            </w:r>
            <w:r>
              <w:rPr>
                <w:rFonts w:hint="eastAsia"/>
                <w:color w:val="auto"/>
                <w:szCs w:val="21"/>
                <w:highlight w:val="none"/>
                <w:u w:val="none" w:color="auto"/>
                <w:vertAlign w:val="superscript"/>
                <w:lang w:eastAsia="zh-CN"/>
              </w:rPr>
              <w:t>2</w:t>
            </w:r>
            <w:r>
              <w:rPr>
                <w:color w:val="auto"/>
                <w:szCs w:val="21"/>
                <w:highlight w:val="none"/>
                <w:u w:val="none" w:color="auto"/>
                <w:lang w:eastAsia="zh-CN"/>
              </w:rPr>
              <w:t>。</w:t>
            </w:r>
          </w:p>
        </w:tc>
        <w:tc>
          <w:tcPr>
            <w:tcW w:w="1600" w:type="pct"/>
            <w:vAlign w:val="center"/>
          </w:tcPr>
          <w:p>
            <w:pPr>
              <w:pStyle w:val="3672"/>
              <w:rPr>
                <w:color w:val="auto"/>
                <w:szCs w:val="21"/>
                <w:highlight w:val="none"/>
                <w:u w:val="none" w:color="auto"/>
                <w:lang w:eastAsia="zh-CN"/>
              </w:rPr>
            </w:pPr>
            <w:r>
              <w:rPr>
                <w:rFonts w:hint="eastAsia"/>
                <w:color w:val="auto"/>
                <w:szCs w:val="21"/>
                <w:highlight w:val="none"/>
                <w:u w:val="none" w:color="auto"/>
                <w:lang w:eastAsia="zh-CN"/>
              </w:rPr>
              <w:t>总占地面积约</w:t>
            </w:r>
            <w:r>
              <w:rPr>
                <w:rFonts w:hint="eastAsia"/>
                <w:color w:val="auto"/>
                <w:szCs w:val="21"/>
                <w:highlight w:val="none"/>
                <w:u w:val="none" w:color="auto"/>
                <w:lang w:val="en-US" w:eastAsia="zh-CN"/>
              </w:rPr>
              <w:t>43.239</w:t>
            </w:r>
            <w:r>
              <w:rPr>
                <w:rFonts w:hint="eastAsia"/>
                <w:color w:val="auto"/>
                <w:szCs w:val="21"/>
                <w:highlight w:val="none"/>
                <w:u w:val="none" w:color="auto"/>
                <w:lang w:eastAsia="zh-CN"/>
              </w:rPr>
              <w:t>hm</w:t>
            </w:r>
            <w:r>
              <w:rPr>
                <w:rFonts w:hint="eastAsia"/>
                <w:color w:val="auto"/>
                <w:szCs w:val="21"/>
                <w:highlight w:val="none"/>
                <w:u w:val="none" w:color="auto"/>
                <w:vertAlign w:val="superscript"/>
                <w:lang w:eastAsia="zh-CN"/>
              </w:rPr>
              <w:t>2</w:t>
            </w:r>
            <w:r>
              <w:rPr>
                <w:rFonts w:hint="eastAsia"/>
                <w:color w:val="auto"/>
                <w:szCs w:val="21"/>
                <w:highlight w:val="none"/>
                <w:u w:val="none" w:color="auto"/>
                <w:lang w:eastAsia="zh-CN"/>
              </w:rPr>
              <w:t>，其中永久性占地</w:t>
            </w:r>
            <w:r>
              <w:rPr>
                <w:rFonts w:hint="eastAsia"/>
                <w:color w:val="auto"/>
                <w:szCs w:val="21"/>
                <w:highlight w:val="none"/>
                <w:u w:val="none" w:color="auto"/>
                <w:lang w:val="en-US" w:eastAsia="zh-CN"/>
              </w:rPr>
              <w:t>2.143</w:t>
            </w:r>
            <w:r>
              <w:rPr>
                <w:rFonts w:hint="eastAsia"/>
                <w:color w:val="auto"/>
                <w:szCs w:val="21"/>
                <w:highlight w:val="none"/>
                <w:u w:val="none" w:color="auto"/>
                <w:lang w:eastAsia="zh-CN"/>
              </w:rPr>
              <w:t>hm</w:t>
            </w:r>
            <w:r>
              <w:rPr>
                <w:rFonts w:hint="eastAsia"/>
                <w:color w:val="auto"/>
                <w:szCs w:val="21"/>
                <w:highlight w:val="none"/>
                <w:u w:val="none" w:color="auto"/>
                <w:vertAlign w:val="superscript"/>
                <w:lang w:eastAsia="zh-CN"/>
              </w:rPr>
              <w:t>2</w:t>
            </w:r>
            <w:r>
              <w:rPr>
                <w:rFonts w:hint="eastAsia"/>
                <w:color w:val="auto"/>
                <w:szCs w:val="21"/>
                <w:highlight w:val="none"/>
                <w:u w:val="none" w:color="auto"/>
                <w:lang w:eastAsia="zh-CN"/>
              </w:rPr>
              <w:t>，临时性用地约</w:t>
            </w:r>
            <w:r>
              <w:rPr>
                <w:rFonts w:hint="eastAsia"/>
                <w:color w:val="auto"/>
                <w:szCs w:val="21"/>
                <w:highlight w:val="none"/>
                <w:u w:val="none" w:color="auto"/>
                <w:lang w:val="en-US" w:eastAsia="zh-CN"/>
              </w:rPr>
              <w:t>41.109</w:t>
            </w:r>
            <w:r>
              <w:rPr>
                <w:rFonts w:hint="eastAsia"/>
                <w:color w:val="auto"/>
                <w:szCs w:val="21"/>
                <w:highlight w:val="none"/>
                <w:u w:val="none" w:color="auto"/>
                <w:lang w:eastAsia="zh-CN"/>
              </w:rPr>
              <w:t>hm</w:t>
            </w:r>
            <w:r>
              <w:rPr>
                <w:rFonts w:hint="eastAsia"/>
                <w:color w:val="auto"/>
                <w:szCs w:val="21"/>
                <w:highlight w:val="none"/>
                <w:u w:val="none" w:color="auto"/>
                <w:vertAlign w:val="superscript"/>
                <w:lang w:eastAsia="zh-CN"/>
              </w:rPr>
              <w:t>2</w:t>
            </w:r>
            <w:r>
              <w:rPr>
                <w:rFonts w:hint="eastAsia"/>
                <w:color w:val="auto"/>
                <w:szCs w:val="21"/>
                <w:highlight w:val="none"/>
                <w:u w:val="none" w:color="auto"/>
                <w:lang w:eastAsia="zh-CN"/>
              </w:rPr>
              <w:t>。</w:t>
            </w:r>
          </w:p>
        </w:tc>
        <w:tc>
          <w:tcPr>
            <w:tcW w:w="1268" w:type="pct"/>
            <w:vAlign w:val="center"/>
          </w:tcPr>
          <w:p>
            <w:pPr>
              <w:pStyle w:val="3672"/>
              <w:rPr>
                <w:color w:val="auto"/>
                <w:szCs w:val="21"/>
                <w:highlight w:val="yellow"/>
                <w:u w:val="none" w:color="auto"/>
                <w:lang w:eastAsia="zh-CN"/>
              </w:rPr>
            </w:pPr>
            <w:r>
              <w:rPr>
                <w:rFonts w:hint="eastAsia"/>
                <w:color w:val="auto"/>
                <w:szCs w:val="21"/>
                <w:u w:val="none" w:color="auto"/>
                <w:lang w:eastAsia="zh-CN"/>
              </w:rPr>
              <w:t>总占地面积</w:t>
            </w:r>
            <w:r>
              <w:rPr>
                <w:rFonts w:hint="eastAsia"/>
                <w:color w:val="auto"/>
                <w:szCs w:val="21"/>
                <w:u w:val="none" w:color="auto"/>
                <w:lang w:val="en-US" w:eastAsia="zh-CN"/>
              </w:rPr>
              <w:t>减少6.054</w:t>
            </w:r>
            <w:r>
              <w:rPr>
                <w:color w:val="auto"/>
                <w:szCs w:val="21"/>
                <w:u w:val="none" w:color="auto"/>
                <w:lang w:eastAsia="zh-CN"/>
              </w:rPr>
              <w:t>hm</w:t>
            </w:r>
            <w:r>
              <w:rPr>
                <w:color w:val="auto"/>
                <w:szCs w:val="21"/>
                <w:u w:val="none" w:color="auto"/>
                <w:vertAlign w:val="superscript"/>
                <w:lang w:eastAsia="zh-CN"/>
              </w:rPr>
              <w:t>2</w:t>
            </w:r>
            <w:r>
              <w:rPr>
                <w:color w:val="auto"/>
                <w:szCs w:val="21"/>
                <w:u w:val="none" w:color="auto"/>
                <w:lang w:eastAsia="zh-CN"/>
              </w:rPr>
              <w:t>，永久性占地</w:t>
            </w:r>
            <w:r>
              <w:rPr>
                <w:rFonts w:hint="eastAsia"/>
                <w:color w:val="auto"/>
                <w:szCs w:val="21"/>
                <w:u w:val="none" w:color="auto"/>
                <w:lang w:eastAsia="zh-CN"/>
              </w:rPr>
              <w:t>面积增加</w:t>
            </w:r>
            <w:r>
              <w:rPr>
                <w:color w:val="auto"/>
                <w:szCs w:val="21"/>
                <w:u w:val="none" w:color="auto"/>
                <w:lang w:eastAsia="zh-CN"/>
              </w:rPr>
              <w:t>0.0</w:t>
            </w:r>
            <w:r>
              <w:rPr>
                <w:rFonts w:hint="eastAsia"/>
                <w:color w:val="auto"/>
                <w:szCs w:val="21"/>
                <w:u w:val="none" w:color="auto"/>
                <w:lang w:val="en-US" w:eastAsia="zh-CN"/>
              </w:rPr>
              <w:t>58</w:t>
            </w:r>
            <w:r>
              <w:rPr>
                <w:color w:val="auto"/>
                <w:szCs w:val="21"/>
                <w:u w:val="none" w:color="auto"/>
                <w:lang w:eastAsia="zh-CN"/>
              </w:rPr>
              <w:t>hm</w:t>
            </w:r>
            <w:r>
              <w:rPr>
                <w:color w:val="auto"/>
                <w:szCs w:val="21"/>
                <w:u w:val="none" w:color="auto"/>
                <w:vertAlign w:val="superscript"/>
                <w:lang w:eastAsia="zh-CN"/>
              </w:rPr>
              <w:t>2</w:t>
            </w:r>
            <w:r>
              <w:rPr>
                <w:color w:val="auto"/>
                <w:szCs w:val="21"/>
                <w:u w:val="none" w:color="auto"/>
                <w:lang w:eastAsia="zh-CN"/>
              </w:rPr>
              <w:t>，临时性用地</w:t>
            </w:r>
            <w:r>
              <w:rPr>
                <w:rFonts w:hint="eastAsia"/>
                <w:color w:val="auto"/>
                <w:szCs w:val="21"/>
                <w:u w:val="none" w:color="auto"/>
                <w:lang w:val="en-US" w:eastAsia="zh-CN"/>
              </w:rPr>
              <w:t>减少6.099</w:t>
            </w:r>
            <w:r>
              <w:rPr>
                <w:color w:val="auto"/>
                <w:szCs w:val="21"/>
                <w:u w:val="none" w:color="auto"/>
                <w:lang w:eastAsia="zh-CN"/>
              </w:rPr>
              <w:t>hm</w:t>
            </w:r>
            <w:r>
              <w:rPr>
                <w:color w:val="auto"/>
                <w:szCs w:val="21"/>
                <w:u w:val="none" w:color="auto"/>
                <w:vertAlign w:val="superscript"/>
                <w:lang w:eastAsia="zh-CN"/>
              </w:rPr>
              <w:t>2</w:t>
            </w:r>
          </w:p>
        </w:tc>
        <w:tc>
          <w:tcPr>
            <w:tcW w:w="417" w:type="pct"/>
            <w:vAlign w:val="center"/>
          </w:tcPr>
          <w:p>
            <w:pPr>
              <w:pStyle w:val="3672"/>
              <w:rPr>
                <w:color w:val="auto"/>
                <w:u w:val="none" w:color="auto"/>
                <w:lang w:eastAsia="zh-CN"/>
              </w:rPr>
            </w:pPr>
            <w:r>
              <w:rPr>
                <w:rFonts w:hint="eastAsia"/>
                <w:color w:val="auto"/>
                <w:u w:val="none" w:color="auto"/>
                <w:lang w:eastAsia="zh-CN"/>
              </w:rPr>
              <w:t>不属于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0" w:type="pct"/>
            <w:vAlign w:val="center"/>
          </w:tcPr>
          <w:p>
            <w:pPr>
              <w:pStyle w:val="3672"/>
              <w:rPr>
                <w:color w:val="auto"/>
                <w:szCs w:val="21"/>
                <w:u w:val="none" w:color="auto"/>
              </w:rPr>
            </w:pPr>
            <w:r>
              <w:rPr>
                <w:color w:val="auto"/>
                <w:szCs w:val="21"/>
                <w:u w:val="none" w:color="auto"/>
              </w:rPr>
              <w:t>地点</w:t>
            </w:r>
          </w:p>
        </w:tc>
        <w:tc>
          <w:tcPr>
            <w:tcW w:w="1362" w:type="pct"/>
            <w:vAlign w:val="center"/>
          </w:tcPr>
          <w:p>
            <w:pPr>
              <w:pStyle w:val="3672"/>
              <w:rPr>
                <w:color w:val="auto"/>
                <w:szCs w:val="21"/>
                <w:u w:val="none" w:color="auto"/>
                <w:lang w:eastAsia="zh-CN"/>
              </w:rPr>
            </w:pPr>
            <w:r>
              <w:rPr>
                <w:color w:val="auto"/>
                <w:szCs w:val="21"/>
                <w:u w:val="none" w:color="auto"/>
                <w:lang w:eastAsia="zh-CN"/>
              </w:rPr>
              <w:t>风电场范围：</w:t>
            </w:r>
            <w:r>
              <w:rPr>
                <w:rFonts w:hint="eastAsia"/>
                <w:color w:val="auto"/>
                <w:szCs w:val="21"/>
              </w:rPr>
              <w:t>E</w:t>
            </w:r>
            <w:r>
              <w:rPr>
                <w:color w:val="auto"/>
                <w:szCs w:val="21"/>
              </w:rPr>
              <w:t>11</w:t>
            </w:r>
            <w:r>
              <w:rPr>
                <w:rFonts w:hint="eastAsia"/>
                <w:color w:val="auto"/>
                <w:szCs w:val="21"/>
              </w:rPr>
              <w:t>2</w:t>
            </w:r>
            <w:r>
              <w:rPr>
                <w:color w:val="auto"/>
                <w:szCs w:val="21"/>
              </w:rPr>
              <w:t>°</w:t>
            </w:r>
            <w:r>
              <w:rPr>
                <w:rFonts w:hint="eastAsia"/>
                <w:color w:val="auto"/>
                <w:szCs w:val="21"/>
              </w:rPr>
              <w:t>4</w:t>
            </w:r>
            <w:r>
              <w:rPr>
                <w:color w:val="auto"/>
                <w:szCs w:val="21"/>
              </w:rPr>
              <w:t>′</w:t>
            </w:r>
            <w:r>
              <w:rPr>
                <w:rFonts w:hint="eastAsia"/>
                <w:color w:val="auto"/>
                <w:szCs w:val="21"/>
              </w:rPr>
              <w:t>42.583</w:t>
            </w:r>
            <w:r>
              <w:rPr>
                <w:color w:val="auto"/>
                <w:szCs w:val="21"/>
              </w:rPr>
              <w:t>″~</w:t>
            </w:r>
            <w:r>
              <w:rPr>
                <w:rFonts w:hint="eastAsia"/>
                <w:color w:val="auto"/>
                <w:szCs w:val="21"/>
              </w:rPr>
              <w:t>E</w:t>
            </w:r>
            <w:r>
              <w:rPr>
                <w:color w:val="auto"/>
                <w:szCs w:val="21"/>
              </w:rPr>
              <w:t>11</w:t>
            </w:r>
            <w:r>
              <w:rPr>
                <w:rFonts w:hint="eastAsia"/>
                <w:color w:val="auto"/>
                <w:szCs w:val="21"/>
              </w:rPr>
              <w:t>2</w:t>
            </w:r>
            <w:r>
              <w:rPr>
                <w:color w:val="auto"/>
                <w:szCs w:val="21"/>
              </w:rPr>
              <w:t>°</w:t>
            </w:r>
            <w:r>
              <w:rPr>
                <w:rFonts w:hint="eastAsia"/>
                <w:color w:val="auto"/>
                <w:szCs w:val="21"/>
              </w:rPr>
              <w:t>7</w:t>
            </w:r>
            <w:r>
              <w:rPr>
                <w:color w:val="auto"/>
                <w:szCs w:val="21"/>
              </w:rPr>
              <w:t>′</w:t>
            </w:r>
            <w:r>
              <w:rPr>
                <w:rFonts w:hint="eastAsia"/>
                <w:color w:val="auto"/>
                <w:szCs w:val="21"/>
              </w:rPr>
              <w:t>53.539</w:t>
            </w:r>
            <w:r>
              <w:rPr>
                <w:color w:val="auto"/>
                <w:szCs w:val="21"/>
              </w:rPr>
              <w:t>″</w:t>
            </w:r>
            <w:r>
              <w:rPr>
                <w:rFonts w:hint="eastAsia"/>
                <w:color w:val="auto"/>
                <w:szCs w:val="21"/>
              </w:rPr>
              <w:t>，N25</w:t>
            </w:r>
            <w:r>
              <w:rPr>
                <w:color w:val="auto"/>
                <w:szCs w:val="21"/>
              </w:rPr>
              <w:t>°</w:t>
            </w:r>
            <w:r>
              <w:rPr>
                <w:rFonts w:hint="eastAsia"/>
                <w:color w:val="auto"/>
                <w:szCs w:val="21"/>
              </w:rPr>
              <w:t>18</w:t>
            </w:r>
            <w:r>
              <w:rPr>
                <w:color w:val="auto"/>
                <w:szCs w:val="21"/>
              </w:rPr>
              <w:t>′</w:t>
            </w:r>
            <w:r>
              <w:rPr>
                <w:rFonts w:hint="eastAsia"/>
                <w:color w:val="auto"/>
                <w:szCs w:val="21"/>
              </w:rPr>
              <w:t>3.934</w:t>
            </w:r>
            <w:r>
              <w:rPr>
                <w:color w:val="auto"/>
                <w:szCs w:val="21"/>
              </w:rPr>
              <w:t>″~</w:t>
            </w:r>
            <w:r>
              <w:rPr>
                <w:rFonts w:hint="eastAsia"/>
                <w:color w:val="auto"/>
                <w:szCs w:val="21"/>
              </w:rPr>
              <w:t>N</w:t>
            </w:r>
            <w:r>
              <w:rPr>
                <w:color w:val="auto"/>
                <w:szCs w:val="21"/>
              </w:rPr>
              <w:t>2</w:t>
            </w:r>
            <w:r>
              <w:rPr>
                <w:rFonts w:hint="eastAsia"/>
                <w:color w:val="auto"/>
                <w:szCs w:val="21"/>
              </w:rPr>
              <w:t>5</w:t>
            </w:r>
            <w:r>
              <w:rPr>
                <w:color w:val="auto"/>
                <w:szCs w:val="21"/>
              </w:rPr>
              <w:t>°</w:t>
            </w:r>
            <w:r>
              <w:rPr>
                <w:rFonts w:hint="eastAsia"/>
                <w:color w:val="auto"/>
                <w:szCs w:val="21"/>
              </w:rPr>
              <w:t>21</w:t>
            </w:r>
            <w:r>
              <w:rPr>
                <w:color w:val="auto"/>
                <w:szCs w:val="21"/>
              </w:rPr>
              <w:t>′</w:t>
            </w:r>
            <w:r>
              <w:rPr>
                <w:rFonts w:hint="eastAsia"/>
                <w:color w:val="auto"/>
                <w:szCs w:val="21"/>
              </w:rPr>
              <w:t>22.370</w:t>
            </w:r>
            <w:r>
              <w:rPr>
                <w:color w:val="auto"/>
                <w:szCs w:val="21"/>
              </w:rPr>
              <w:t>″</w:t>
            </w:r>
            <w:r>
              <w:rPr>
                <w:color w:val="auto"/>
                <w:szCs w:val="21"/>
                <w:u w:val="none" w:color="auto"/>
                <w:lang w:eastAsia="zh-CN"/>
              </w:rPr>
              <w:t>。</w:t>
            </w:r>
          </w:p>
        </w:tc>
        <w:tc>
          <w:tcPr>
            <w:tcW w:w="1600" w:type="pct"/>
            <w:vAlign w:val="center"/>
          </w:tcPr>
          <w:p>
            <w:pPr>
              <w:pStyle w:val="3672"/>
              <w:rPr>
                <w:color w:val="auto"/>
                <w:szCs w:val="21"/>
                <w:u w:val="none" w:color="auto"/>
                <w:lang w:eastAsia="zh-CN"/>
              </w:rPr>
            </w:pPr>
            <w:r>
              <w:rPr>
                <w:color w:val="auto"/>
                <w:szCs w:val="21"/>
                <w:u w:val="none" w:color="auto"/>
                <w:lang w:eastAsia="zh-CN"/>
              </w:rPr>
              <w:t>风电场范围：</w:t>
            </w:r>
            <w:r>
              <w:rPr>
                <w:rFonts w:hint="eastAsia"/>
                <w:color w:val="auto"/>
                <w:szCs w:val="21"/>
              </w:rPr>
              <w:t>E</w:t>
            </w:r>
            <w:r>
              <w:rPr>
                <w:color w:val="auto"/>
                <w:szCs w:val="21"/>
              </w:rPr>
              <w:t>11</w:t>
            </w:r>
            <w:r>
              <w:rPr>
                <w:rFonts w:hint="eastAsia"/>
                <w:color w:val="auto"/>
                <w:szCs w:val="21"/>
              </w:rPr>
              <w:t>2</w:t>
            </w:r>
            <w:r>
              <w:rPr>
                <w:color w:val="auto"/>
                <w:szCs w:val="21"/>
              </w:rPr>
              <w:t>°</w:t>
            </w:r>
            <w:r>
              <w:rPr>
                <w:rFonts w:hint="eastAsia"/>
                <w:color w:val="auto"/>
                <w:szCs w:val="21"/>
              </w:rPr>
              <w:t>4</w:t>
            </w:r>
            <w:r>
              <w:rPr>
                <w:color w:val="auto"/>
                <w:szCs w:val="21"/>
              </w:rPr>
              <w:t>′</w:t>
            </w:r>
            <w:r>
              <w:rPr>
                <w:rFonts w:hint="eastAsia"/>
                <w:color w:val="auto"/>
                <w:szCs w:val="21"/>
              </w:rPr>
              <w:t>42.583</w:t>
            </w:r>
            <w:r>
              <w:rPr>
                <w:color w:val="auto"/>
                <w:szCs w:val="21"/>
              </w:rPr>
              <w:t>″~</w:t>
            </w:r>
            <w:r>
              <w:rPr>
                <w:rFonts w:hint="eastAsia"/>
                <w:color w:val="auto"/>
                <w:szCs w:val="21"/>
              </w:rPr>
              <w:t>E</w:t>
            </w:r>
            <w:r>
              <w:rPr>
                <w:color w:val="auto"/>
                <w:szCs w:val="21"/>
              </w:rPr>
              <w:t>11</w:t>
            </w:r>
            <w:r>
              <w:rPr>
                <w:rFonts w:hint="eastAsia"/>
                <w:color w:val="auto"/>
                <w:szCs w:val="21"/>
              </w:rPr>
              <w:t>2</w:t>
            </w:r>
            <w:r>
              <w:rPr>
                <w:color w:val="auto"/>
                <w:szCs w:val="21"/>
              </w:rPr>
              <w:t>°</w:t>
            </w:r>
            <w:r>
              <w:rPr>
                <w:rFonts w:hint="eastAsia"/>
                <w:color w:val="auto"/>
                <w:szCs w:val="21"/>
              </w:rPr>
              <w:t>7</w:t>
            </w:r>
            <w:r>
              <w:rPr>
                <w:color w:val="auto"/>
                <w:szCs w:val="21"/>
              </w:rPr>
              <w:t>′</w:t>
            </w:r>
            <w:r>
              <w:rPr>
                <w:rFonts w:hint="eastAsia"/>
                <w:color w:val="auto"/>
                <w:szCs w:val="21"/>
              </w:rPr>
              <w:t>53.539</w:t>
            </w:r>
            <w:r>
              <w:rPr>
                <w:color w:val="auto"/>
                <w:szCs w:val="21"/>
              </w:rPr>
              <w:t>″</w:t>
            </w:r>
            <w:r>
              <w:rPr>
                <w:rFonts w:hint="eastAsia"/>
                <w:color w:val="auto"/>
                <w:szCs w:val="21"/>
              </w:rPr>
              <w:t>，N25</w:t>
            </w:r>
            <w:r>
              <w:rPr>
                <w:color w:val="auto"/>
                <w:szCs w:val="21"/>
              </w:rPr>
              <w:t>°</w:t>
            </w:r>
            <w:r>
              <w:rPr>
                <w:rFonts w:hint="eastAsia"/>
                <w:color w:val="auto"/>
                <w:szCs w:val="21"/>
              </w:rPr>
              <w:t>18</w:t>
            </w:r>
            <w:r>
              <w:rPr>
                <w:color w:val="auto"/>
                <w:szCs w:val="21"/>
              </w:rPr>
              <w:t>′</w:t>
            </w:r>
            <w:r>
              <w:rPr>
                <w:rFonts w:hint="eastAsia"/>
                <w:color w:val="auto"/>
                <w:szCs w:val="21"/>
              </w:rPr>
              <w:t>3.934</w:t>
            </w:r>
            <w:r>
              <w:rPr>
                <w:color w:val="auto"/>
                <w:szCs w:val="21"/>
              </w:rPr>
              <w:t>″~</w:t>
            </w:r>
            <w:r>
              <w:rPr>
                <w:rFonts w:hint="eastAsia"/>
                <w:color w:val="auto"/>
                <w:szCs w:val="21"/>
              </w:rPr>
              <w:t>N</w:t>
            </w:r>
            <w:r>
              <w:rPr>
                <w:color w:val="auto"/>
                <w:szCs w:val="21"/>
              </w:rPr>
              <w:t>2</w:t>
            </w:r>
            <w:r>
              <w:rPr>
                <w:rFonts w:hint="eastAsia"/>
                <w:color w:val="auto"/>
                <w:szCs w:val="21"/>
              </w:rPr>
              <w:t>5</w:t>
            </w:r>
            <w:r>
              <w:rPr>
                <w:color w:val="auto"/>
                <w:szCs w:val="21"/>
              </w:rPr>
              <w:t>°</w:t>
            </w:r>
            <w:r>
              <w:rPr>
                <w:rFonts w:hint="eastAsia"/>
                <w:color w:val="auto"/>
                <w:szCs w:val="21"/>
              </w:rPr>
              <w:t>21</w:t>
            </w:r>
            <w:r>
              <w:rPr>
                <w:color w:val="auto"/>
                <w:szCs w:val="21"/>
              </w:rPr>
              <w:t>′</w:t>
            </w:r>
            <w:r>
              <w:rPr>
                <w:rFonts w:hint="eastAsia"/>
                <w:color w:val="auto"/>
                <w:szCs w:val="21"/>
              </w:rPr>
              <w:t>22.370</w:t>
            </w:r>
            <w:r>
              <w:rPr>
                <w:color w:val="auto"/>
                <w:szCs w:val="21"/>
              </w:rPr>
              <w:t>″</w:t>
            </w:r>
            <w:r>
              <w:rPr>
                <w:color w:val="auto"/>
                <w:szCs w:val="21"/>
                <w:u w:val="none" w:color="auto"/>
                <w:lang w:eastAsia="zh-CN"/>
              </w:rPr>
              <w:t>。</w:t>
            </w:r>
          </w:p>
        </w:tc>
        <w:tc>
          <w:tcPr>
            <w:tcW w:w="1268" w:type="pct"/>
            <w:vAlign w:val="center"/>
          </w:tcPr>
          <w:p>
            <w:pPr>
              <w:pStyle w:val="3672"/>
              <w:rPr>
                <w:color w:val="auto"/>
                <w:szCs w:val="21"/>
                <w:u w:val="none" w:color="auto"/>
                <w:lang w:eastAsia="zh-CN"/>
              </w:rPr>
            </w:pPr>
            <w:r>
              <w:rPr>
                <w:color w:val="auto"/>
                <w:u w:val="none" w:color="auto"/>
              </w:rPr>
              <w:t>不变</w:t>
            </w:r>
          </w:p>
        </w:tc>
        <w:tc>
          <w:tcPr>
            <w:tcW w:w="417" w:type="pct"/>
            <w:vAlign w:val="center"/>
          </w:tcPr>
          <w:p>
            <w:pPr>
              <w:pStyle w:val="3672"/>
              <w:rPr>
                <w:color w:val="auto"/>
                <w:szCs w:val="21"/>
                <w:u w:val="none" w:color="auto"/>
              </w:rPr>
            </w:pPr>
            <w:r>
              <w:rPr>
                <w:rFonts w:hint="eastAsia"/>
                <w:color w:val="auto"/>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0" w:type="pct"/>
            <w:vMerge w:val="restart"/>
            <w:vAlign w:val="center"/>
          </w:tcPr>
          <w:p>
            <w:pPr>
              <w:pStyle w:val="3672"/>
              <w:rPr>
                <w:color w:val="auto"/>
                <w:u w:val="none" w:color="auto"/>
              </w:rPr>
            </w:pPr>
            <w:r>
              <w:rPr>
                <w:rFonts w:hint="eastAsia"/>
                <w:color w:val="auto"/>
                <w:u w:val="none" w:color="auto"/>
              </w:rPr>
              <w:t>敏感目标情况</w:t>
            </w:r>
          </w:p>
        </w:tc>
        <w:tc>
          <w:tcPr>
            <w:tcW w:w="1362" w:type="pct"/>
            <w:vAlign w:val="center"/>
          </w:tcPr>
          <w:p>
            <w:pPr>
              <w:pStyle w:val="3672"/>
              <w:rPr>
                <w:rFonts w:hint="default"/>
                <w:color w:val="auto"/>
                <w:u w:val="none" w:color="auto"/>
                <w:lang w:val="en-US" w:eastAsia="zh-CN"/>
              </w:rPr>
            </w:pPr>
            <w:r>
              <w:rPr>
                <w:rFonts w:hint="eastAsia"/>
                <w:color w:val="auto"/>
                <w:u w:val="none" w:color="auto"/>
                <w:lang w:val="en-US" w:eastAsia="zh-CN"/>
              </w:rPr>
              <w:t>不涉及生态敏感区</w:t>
            </w:r>
          </w:p>
        </w:tc>
        <w:tc>
          <w:tcPr>
            <w:tcW w:w="1600" w:type="pct"/>
            <w:vAlign w:val="center"/>
          </w:tcPr>
          <w:p>
            <w:pPr>
              <w:pStyle w:val="3672"/>
              <w:rPr>
                <w:color w:val="auto"/>
                <w:u w:val="none" w:color="auto"/>
                <w:lang w:eastAsia="zh-CN"/>
              </w:rPr>
            </w:pPr>
            <w:r>
              <w:rPr>
                <w:rFonts w:hint="eastAsia"/>
                <w:color w:val="auto"/>
                <w:u w:val="none" w:color="auto"/>
                <w:lang w:val="en-US" w:eastAsia="zh-CN"/>
              </w:rPr>
              <w:t>不涉及生态敏感</w:t>
            </w:r>
            <w:r>
              <w:rPr>
                <w:rFonts w:hint="eastAsia"/>
                <w:color w:val="auto"/>
                <w:sz w:val="21"/>
                <w:szCs w:val="21"/>
                <w:u w:val="none" w:color="auto"/>
                <w:lang w:val="en-US" w:eastAsia="zh-CN"/>
              </w:rPr>
              <w:t>区</w:t>
            </w:r>
          </w:p>
        </w:tc>
        <w:tc>
          <w:tcPr>
            <w:tcW w:w="1268" w:type="pct"/>
            <w:vAlign w:val="center"/>
          </w:tcPr>
          <w:p>
            <w:pPr>
              <w:pStyle w:val="3672"/>
              <w:rPr>
                <w:color w:val="auto"/>
                <w:u w:val="none" w:color="auto"/>
                <w:lang w:eastAsia="zh-CN"/>
              </w:rPr>
            </w:pPr>
            <w:r>
              <w:rPr>
                <w:color w:val="auto"/>
                <w:u w:val="none" w:color="auto"/>
              </w:rPr>
              <w:t>不变</w:t>
            </w:r>
          </w:p>
        </w:tc>
        <w:tc>
          <w:tcPr>
            <w:tcW w:w="417" w:type="pct"/>
            <w:vAlign w:val="center"/>
          </w:tcPr>
          <w:p>
            <w:pPr>
              <w:pStyle w:val="3672"/>
              <w:rPr>
                <w:color w:val="auto"/>
                <w:u w:val="none" w:color="auto"/>
              </w:rPr>
            </w:pPr>
            <w:r>
              <w:rPr>
                <w:rFonts w:hint="eastAsia"/>
                <w:color w:val="auto"/>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0" w:type="pct"/>
            <w:vMerge w:val="continue"/>
            <w:vAlign w:val="center"/>
          </w:tcPr>
          <w:p>
            <w:pPr>
              <w:pStyle w:val="3672"/>
              <w:rPr>
                <w:rFonts w:hint="eastAsia"/>
                <w:color w:val="auto"/>
                <w:u w:val="none" w:color="auto"/>
              </w:rPr>
            </w:pPr>
          </w:p>
        </w:tc>
        <w:tc>
          <w:tcPr>
            <w:tcW w:w="1362" w:type="pct"/>
            <w:vAlign w:val="center"/>
          </w:tcPr>
          <w:p>
            <w:pPr>
              <w:pStyle w:val="3672"/>
              <w:rPr>
                <w:rFonts w:hint="eastAsia"/>
                <w:color w:val="auto"/>
                <w:u w:val="none" w:color="auto"/>
                <w:lang w:val="en-US" w:eastAsia="zh-CN"/>
              </w:rPr>
            </w:pPr>
            <w:r>
              <w:rPr>
                <w:rFonts w:hint="eastAsia"/>
                <w:color w:val="auto"/>
                <w:u w:val="none" w:color="auto"/>
                <w:lang w:val="en-US" w:eastAsia="zh-CN"/>
              </w:rPr>
              <w:t>风机周边有1处声环境保护目标，汇集站周边有2处声环境保护目标</w:t>
            </w:r>
          </w:p>
        </w:tc>
        <w:tc>
          <w:tcPr>
            <w:tcW w:w="4512" w:type="dxa"/>
            <w:vAlign w:val="center"/>
          </w:tcPr>
          <w:p>
            <w:pPr>
              <w:pStyle w:val="3672"/>
              <w:ind w:firstLine="0" w:firstLineChars="0"/>
              <w:rPr>
                <w:rFonts w:hint="eastAsia"/>
                <w:color w:val="auto"/>
                <w:u w:val="none" w:color="auto"/>
                <w:lang w:val="en-US" w:eastAsia="zh-CN"/>
              </w:rPr>
            </w:pPr>
            <w:r>
              <w:rPr>
                <w:rFonts w:hint="eastAsia"/>
                <w:color w:val="auto"/>
                <w:u w:val="none" w:color="auto"/>
                <w:lang w:val="en-US" w:eastAsia="zh-CN"/>
              </w:rPr>
              <w:t>风机周边有1处声环境保护目标，汇集站周边有2处声环境保护目标</w:t>
            </w:r>
          </w:p>
        </w:tc>
        <w:tc>
          <w:tcPr>
            <w:tcW w:w="1268" w:type="pct"/>
            <w:vAlign w:val="center"/>
          </w:tcPr>
          <w:p>
            <w:pPr>
              <w:pStyle w:val="3672"/>
              <w:rPr>
                <w:rFonts w:hint="eastAsia"/>
                <w:color w:val="auto"/>
                <w:kern w:val="2"/>
                <w:sz w:val="21"/>
                <w:szCs w:val="21"/>
                <w:lang w:val="en-US" w:eastAsia="zh-CN"/>
              </w:rPr>
            </w:pPr>
            <w:r>
              <w:rPr>
                <w:rFonts w:hint="eastAsia"/>
                <w:color w:val="auto"/>
                <w:u w:val="none" w:color="auto"/>
              </w:rPr>
              <w:t>不变</w:t>
            </w:r>
          </w:p>
        </w:tc>
        <w:tc>
          <w:tcPr>
            <w:tcW w:w="417" w:type="pct"/>
            <w:vAlign w:val="center"/>
          </w:tcPr>
          <w:p>
            <w:pPr>
              <w:pStyle w:val="3672"/>
              <w:rPr>
                <w:rFonts w:hint="eastAsia"/>
                <w:color w:val="auto"/>
                <w:u w:val="none" w:color="auto"/>
                <w:lang w:eastAsia="zh-CN"/>
              </w:rPr>
            </w:pPr>
            <w:r>
              <w:rPr>
                <w:rFonts w:hint="eastAsia"/>
                <w:color w:val="auto"/>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350" w:type="pct"/>
            <w:vMerge w:val="continue"/>
            <w:vAlign w:val="center"/>
          </w:tcPr>
          <w:p>
            <w:pPr>
              <w:pStyle w:val="3672"/>
              <w:rPr>
                <w:rFonts w:hint="eastAsia"/>
                <w:color w:val="auto"/>
                <w:u w:val="none" w:color="auto"/>
              </w:rPr>
            </w:pPr>
          </w:p>
        </w:tc>
        <w:tc>
          <w:tcPr>
            <w:tcW w:w="1362" w:type="pct"/>
            <w:vAlign w:val="center"/>
          </w:tcPr>
          <w:p>
            <w:pPr>
              <w:pStyle w:val="3672"/>
              <w:rPr>
                <w:rFonts w:hint="eastAsia"/>
                <w:color w:val="auto"/>
                <w:u w:val="none" w:color="auto"/>
                <w:lang w:val="en-US" w:eastAsia="zh-CN"/>
              </w:rPr>
            </w:pPr>
            <w:r>
              <w:rPr>
                <w:rFonts w:hint="eastAsia"/>
                <w:color w:val="auto"/>
                <w:szCs w:val="21"/>
                <w:lang w:val="en-US" w:eastAsia="zh-CN"/>
              </w:rPr>
              <w:t>15号风机</w:t>
            </w:r>
            <w:r>
              <w:rPr>
                <w:rFonts w:hint="eastAsia"/>
                <w:color w:val="auto"/>
                <w:szCs w:val="21"/>
                <w:lang w:eastAsia="zh-CN"/>
              </w:rPr>
              <w:t>距蓝山县新田湾河饮用水水源保护区</w:t>
            </w:r>
            <w:r>
              <w:rPr>
                <w:rFonts w:hint="eastAsia"/>
                <w:color w:val="auto"/>
                <w:szCs w:val="21"/>
              </w:rPr>
              <w:t>最近距离为679m</w:t>
            </w:r>
          </w:p>
        </w:tc>
        <w:tc>
          <w:tcPr>
            <w:tcW w:w="4512" w:type="dxa"/>
            <w:vAlign w:val="center"/>
          </w:tcPr>
          <w:p>
            <w:pPr>
              <w:pStyle w:val="3672"/>
              <w:ind w:firstLine="0" w:firstLineChars="0"/>
              <w:rPr>
                <w:rFonts w:hint="default"/>
                <w:color w:val="auto"/>
                <w:u w:val="none" w:color="auto"/>
                <w:lang w:val="en-US" w:eastAsia="zh-CN"/>
              </w:rPr>
            </w:pPr>
            <w:r>
              <w:rPr>
                <w:rFonts w:hint="eastAsia"/>
                <w:color w:val="auto"/>
                <w:u w:val="none" w:color="auto"/>
                <w:lang w:val="en-US" w:eastAsia="zh-CN"/>
              </w:rPr>
              <w:t>15</w:t>
            </w:r>
            <w:r>
              <w:rPr>
                <w:rFonts w:hint="eastAsia"/>
                <w:color w:val="auto"/>
                <w:szCs w:val="21"/>
                <w:lang w:val="en-US" w:eastAsia="zh-CN"/>
              </w:rPr>
              <w:t>号风机</w:t>
            </w:r>
            <w:r>
              <w:rPr>
                <w:rFonts w:hint="eastAsia"/>
                <w:color w:val="auto"/>
                <w:szCs w:val="21"/>
                <w:lang w:eastAsia="zh-CN"/>
              </w:rPr>
              <w:t>距蓝山县新田湾河饮用水水源保护区</w:t>
            </w:r>
            <w:r>
              <w:rPr>
                <w:rFonts w:hint="eastAsia"/>
                <w:color w:val="auto"/>
                <w:szCs w:val="21"/>
              </w:rPr>
              <w:t>最近距离为</w:t>
            </w:r>
            <w:r>
              <w:rPr>
                <w:rFonts w:hint="eastAsia"/>
                <w:color w:val="auto"/>
                <w:szCs w:val="21"/>
                <w:lang w:val="en-US" w:eastAsia="zh-CN"/>
              </w:rPr>
              <w:t>10</w:t>
            </w:r>
            <w:r>
              <w:rPr>
                <w:rFonts w:hint="eastAsia"/>
                <w:color w:val="auto"/>
                <w:szCs w:val="21"/>
              </w:rPr>
              <w:t>m</w:t>
            </w:r>
          </w:p>
        </w:tc>
        <w:tc>
          <w:tcPr>
            <w:tcW w:w="1268" w:type="pct"/>
            <w:vAlign w:val="center"/>
          </w:tcPr>
          <w:p>
            <w:pPr>
              <w:pStyle w:val="3672"/>
              <w:rPr>
                <w:rFonts w:hint="default" w:eastAsia="宋体"/>
                <w:color w:val="auto"/>
                <w:u w:val="none" w:color="auto"/>
                <w:lang w:val="en-US" w:eastAsia="zh-CN"/>
              </w:rPr>
            </w:pPr>
            <w:r>
              <w:rPr>
                <w:rFonts w:hint="eastAsia"/>
                <w:color w:val="auto"/>
                <w:u w:val="none" w:color="auto"/>
                <w:lang w:val="en-US" w:eastAsia="zh-CN"/>
              </w:rPr>
              <w:t>距离变小</w:t>
            </w:r>
          </w:p>
        </w:tc>
        <w:tc>
          <w:tcPr>
            <w:tcW w:w="417" w:type="pct"/>
            <w:vAlign w:val="center"/>
          </w:tcPr>
          <w:p>
            <w:pPr>
              <w:pStyle w:val="3672"/>
              <w:rPr>
                <w:rFonts w:hint="eastAsia"/>
                <w:color w:val="auto"/>
                <w:u w:val="none" w:color="auto"/>
                <w:lang w:eastAsia="zh-CN"/>
              </w:rPr>
            </w:pPr>
            <w:r>
              <w:rPr>
                <w:rFonts w:hint="eastAsia"/>
                <w:color w:val="auto"/>
                <w:u w:val="none" w:color="auto"/>
                <w:lang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0" w:type="pct"/>
            <w:vMerge w:val="continue"/>
            <w:vAlign w:val="center"/>
          </w:tcPr>
          <w:p>
            <w:pPr>
              <w:pStyle w:val="3672"/>
              <w:rPr>
                <w:rFonts w:hint="eastAsia"/>
                <w:color w:val="auto"/>
                <w:u w:val="none" w:color="auto"/>
              </w:rPr>
            </w:pPr>
          </w:p>
        </w:tc>
        <w:tc>
          <w:tcPr>
            <w:tcW w:w="1362" w:type="pct"/>
            <w:vAlign w:val="center"/>
          </w:tcPr>
          <w:p>
            <w:pPr>
              <w:pStyle w:val="3672"/>
              <w:rPr>
                <w:rFonts w:hint="default"/>
                <w:color w:val="auto"/>
                <w:u w:val="none" w:color="auto"/>
                <w:lang w:val="en-US" w:eastAsia="zh-CN"/>
              </w:rPr>
            </w:pPr>
            <w:r>
              <w:rPr>
                <w:rFonts w:hint="eastAsia"/>
                <w:color w:val="auto"/>
                <w:u w:val="none" w:color="auto"/>
                <w:lang w:val="en-US" w:eastAsia="zh-CN"/>
              </w:rPr>
              <w:t>/</w:t>
            </w:r>
          </w:p>
        </w:tc>
        <w:tc>
          <w:tcPr>
            <w:tcW w:w="1600" w:type="pct"/>
            <w:shd w:val="clear" w:color="auto" w:fill="auto"/>
            <w:vAlign w:val="center"/>
          </w:tcPr>
          <w:p>
            <w:pPr>
              <w:pStyle w:val="3672"/>
              <w:ind w:firstLine="0" w:firstLineChars="0"/>
              <w:rPr>
                <w:rFonts w:hint="eastAsia" w:ascii="Times New Roman" w:hAnsi="Times New Roman" w:eastAsia="宋体" w:cs="ArialMT"/>
                <w:bCs/>
                <w:color w:val="auto"/>
                <w:kern w:val="0"/>
                <w:sz w:val="21"/>
                <w:szCs w:val="28"/>
                <w:u w:val="none" w:color="auto"/>
                <w:lang w:val="en-US" w:eastAsia="zh-CN" w:bidi="en-US"/>
              </w:rPr>
            </w:pPr>
            <w:r>
              <w:rPr>
                <w:rFonts w:hint="eastAsia" w:cs="Times New Roman"/>
                <w:sz w:val="21"/>
                <w:szCs w:val="21"/>
                <w:u w:val="none" w:color="auto"/>
                <w:lang w:val="en-US" w:eastAsia="zh-CN"/>
              </w:rPr>
              <w:t>12、13号风机之间场内道路中有40m长度紧邻</w:t>
            </w:r>
            <w:r>
              <w:rPr>
                <w:rFonts w:hint="eastAsia" w:ascii="Times New Roman" w:hAnsi="Times New Roman" w:cs="Times New Roman"/>
                <w:sz w:val="21"/>
                <w:szCs w:val="21"/>
                <w:u w:val="none" w:color="auto"/>
                <w:lang w:val="en-US" w:eastAsia="zh-CN"/>
              </w:rPr>
              <w:t>蓝山县</w:t>
            </w:r>
            <w:r>
              <w:rPr>
                <w:rFonts w:hint="default" w:ascii="Times New Roman" w:hAnsi="Times New Roman" w:eastAsia="宋体" w:cs="Times New Roman"/>
                <w:sz w:val="21"/>
                <w:szCs w:val="21"/>
                <w:u w:val="none" w:color="auto"/>
              </w:rPr>
              <w:t>塔峰镇岭脚村山溪水饮用水水源保护区</w:t>
            </w:r>
            <w:r>
              <w:rPr>
                <w:rFonts w:hint="eastAsia" w:cs="Times New Roman"/>
                <w:sz w:val="21"/>
                <w:szCs w:val="21"/>
                <w:u w:val="none" w:color="auto"/>
                <w:lang w:val="en-US" w:eastAsia="zh-CN"/>
              </w:rPr>
              <w:t>二级陆域保护区</w:t>
            </w:r>
          </w:p>
        </w:tc>
        <w:tc>
          <w:tcPr>
            <w:tcW w:w="1268" w:type="pct"/>
            <w:shd w:val="clear" w:color="auto" w:fill="auto"/>
            <w:vAlign w:val="center"/>
          </w:tcPr>
          <w:p>
            <w:pPr>
              <w:pStyle w:val="3672"/>
              <w:ind w:firstLine="0" w:firstLineChars="0"/>
              <w:rPr>
                <w:rFonts w:hint="eastAsia" w:ascii="Times New Roman" w:hAnsi="Times New Roman" w:eastAsia="宋体" w:cs="ArialMT"/>
                <w:bCs/>
                <w:color w:val="auto"/>
                <w:kern w:val="2"/>
                <w:sz w:val="21"/>
                <w:szCs w:val="21"/>
                <w:u w:val="none" w:color="auto"/>
                <w:lang w:val="en-US" w:eastAsia="zh-CN" w:bidi="en-US"/>
              </w:rPr>
            </w:pPr>
            <w:r>
              <w:rPr>
                <w:rFonts w:hint="eastAsia"/>
                <w:color w:val="auto"/>
                <w:kern w:val="2"/>
                <w:sz w:val="21"/>
                <w:szCs w:val="21"/>
                <w:lang w:val="en-US" w:eastAsia="zh-CN"/>
              </w:rPr>
              <w:t>新增</w:t>
            </w:r>
            <w:r>
              <w:rPr>
                <w:rFonts w:hint="eastAsia" w:ascii="Times New Roman" w:hAnsi="Times New Roman" w:cs="Times New Roman"/>
                <w:sz w:val="21"/>
                <w:szCs w:val="21"/>
                <w:u w:val="none" w:color="auto"/>
                <w:lang w:val="en-US" w:eastAsia="zh-CN"/>
              </w:rPr>
              <w:t>蓝山县</w:t>
            </w:r>
            <w:r>
              <w:rPr>
                <w:rFonts w:hint="default" w:ascii="Times New Roman" w:hAnsi="Times New Roman" w:eastAsia="宋体" w:cs="Times New Roman"/>
                <w:sz w:val="21"/>
                <w:szCs w:val="21"/>
                <w:u w:val="none" w:color="auto"/>
              </w:rPr>
              <w:t>塔峰镇岭脚村山溪水饮用水水源保护区</w:t>
            </w:r>
            <w:r>
              <w:rPr>
                <w:rFonts w:hint="eastAsia" w:cs="Times New Roman"/>
                <w:sz w:val="21"/>
                <w:szCs w:val="21"/>
                <w:u w:val="none" w:color="auto"/>
                <w:lang w:val="en-US" w:eastAsia="zh-CN"/>
              </w:rPr>
              <w:t>二级陆域保护区</w:t>
            </w:r>
          </w:p>
        </w:tc>
        <w:tc>
          <w:tcPr>
            <w:tcW w:w="417" w:type="pct"/>
            <w:vAlign w:val="center"/>
          </w:tcPr>
          <w:p>
            <w:pPr>
              <w:pStyle w:val="3672"/>
              <w:rPr>
                <w:rFonts w:hint="eastAsia"/>
                <w:color w:val="auto"/>
                <w:u w:val="none" w:color="auto"/>
                <w:lang w:eastAsia="zh-CN"/>
              </w:rPr>
            </w:pPr>
            <w:r>
              <w:rPr>
                <w:rFonts w:hint="eastAsia"/>
                <w:color w:val="auto"/>
                <w:u w:val="none" w:color="auto"/>
                <w:lang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0" w:type="pct"/>
            <w:vMerge w:val="restart"/>
            <w:vAlign w:val="center"/>
          </w:tcPr>
          <w:p>
            <w:pPr>
              <w:pStyle w:val="3672"/>
              <w:rPr>
                <w:color w:val="auto"/>
                <w:u w:val="none" w:color="auto"/>
              </w:rPr>
            </w:pPr>
            <w:r>
              <w:rPr>
                <w:rFonts w:hint="eastAsia"/>
                <w:color w:val="auto"/>
                <w:u w:val="none" w:color="auto"/>
              </w:rPr>
              <w:t>临时工程</w:t>
            </w:r>
          </w:p>
        </w:tc>
        <w:tc>
          <w:tcPr>
            <w:tcW w:w="1362" w:type="pct"/>
            <w:vAlign w:val="center"/>
          </w:tcPr>
          <w:p>
            <w:pPr>
              <w:pStyle w:val="3672"/>
              <w:rPr>
                <w:color w:val="auto"/>
                <w:u w:val="none" w:color="auto"/>
                <w:lang w:eastAsia="zh-CN"/>
              </w:rPr>
            </w:pPr>
            <w:r>
              <w:rPr>
                <w:color w:val="auto"/>
                <w:u w:val="none" w:color="auto"/>
                <w:lang w:eastAsia="zh-CN"/>
              </w:rPr>
              <w:t>占地面积 5400m</w:t>
            </w:r>
            <w:r>
              <w:rPr>
                <w:color w:val="auto"/>
                <w:u w:val="none" w:color="auto"/>
                <w:vertAlign w:val="superscript"/>
                <w:lang w:eastAsia="zh-CN"/>
              </w:rPr>
              <w:t>2</w:t>
            </w:r>
            <w:r>
              <w:rPr>
                <w:color w:val="auto"/>
                <w:u w:val="none" w:color="auto"/>
                <w:lang w:eastAsia="zh-CN"/>
              </w:rPr>
              <w:t>，主要布置有砂石料堆场、综合加工厂、综合仓库、机械停放场及临时生活办公区等。</w:t>
            </w:r>
          </w:p>
        </w:tc>
        <w:tc>
          <w:tcPr>
            <w:tcW w:w="1600" w:type="pct"/>
            <w:vAlign w:val="center"/>
          </w:tcPr>
          <w:p>
            <w:pPr>
              <w:pStyle w:val="3672"/>
              <w:ind w:firstLine="0" w:firstLineChars="0"/>
              <w:rPr>
                <w:color w:val="auto"/>
                <w:u w:val="none" w:color="auto"/>
                <w:lang w:eastAsia="zh-CN"/>
              </w:rPr>
            </w:pPr>
            <w:r>
              <w:rPr>
                <w:color w:val="auto"/>
                <w:u w:val="none" w:color="auto"/>
                <w:lang w:eastAsia="zh-CN"/>
              </w:rPr>
              <w:t>占地面积 5400m</w:t>
            </w:r>
            <w:r>
              <w:rPr>
                <w:color w:val="auto"/>
                <w:u w:val="none" w:color="auto"/>
                <w:vertAlign w:val="superscript"/>
                <w:lang w:eastAsia="zh-CN"/>
              </w:rPr>
              <w:t>2</w:t>
            </w:r>
            <w:r>
              <w:rPr>
                <w:color w:val="auto"/>
                <w:u w:val="none" w:color="auto"/>
                <w:lang w:eastAsia="zh-CN"/>
              </w:rPr>
              <w:t>，主要布置有砂石料堆场、综合加工厂、综合仓库、机械停放场及临时生活办公区等。</w:t>
            </w:r>
          </w:p>
        </w:tc>
        <w:tc>
          <w:tcPr>
            <w:tcW w:w="1268" w:type="pct"/>
            <w:vAlign w:val="center"/>
          </w:tcPr>
          <w:p>
            <w:pPr>
              <w:pStyle w:val="3672"/>
              <w:rPr>
                <w:color w:val="auto"/>
                <w:u w:val="none" w:color="auto"/>
                <w:lang w:eastAsia="zh-CN"/>
              </w:rPr>
            </w:pPr>
            <w:r>
              <w:rPr>
                <w:rFonts w:hint="eastAsia"/>
                <w:color w:val="auto"/>
                <w:u w:val="none" w:color="auto"/>
              </w:rPr>
              <w:t>不变</w:t>
            </w:r>
          </w:p>
        </w:tc>
        <w:tc>
          <w:tcPr>
            <w:tcW w:w="417" w:type="pct"/>
            <w:vAlign w:val="center"/>
          </w:tcPr>
          <w:p>
            <w:pPr>
              <w:pStyle w:val="3672"/>
              <w:rPr>
                <w:color w:val="auto"/>
                <w:u w:val="none" w:color="auto"/>
              </w:rPr>
            </w:pPr>
            <w:r>
              <w:rPr>
                <w:rFonts w:hint="eastAsia"/>
                <w:color w:val="auto"/>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0" w:type="pct"/>
            <w:vMerge w:val="continue"/>
            <w:vAlign w:val="center"/>
          </w:tcPr>
          <w:p>
            <w:pPr>
              <w:pStyle w:val="3672"/>
              <w:rPr>
                <w:color w:val="auto"/>
                <w:u w:val="none" w:color="auto"/>
              </w:rPr>
            </w:pPr>
          </w:p>
        </w:tc>
        <w:tc>
          <w:tcPr>
            <w:tcW w:w="1362" w:type="pct"/>
            <w:vAlign w:val="center"/>
          </w:tcPr>
          <w:p>
            <w:pPr>
              <w:pStyle w:val="3672"/>
              <w:rPr>
                <w:color w:val="auto"/>
                <w:u w:val="none" w:color="auto"/>
                <w:lang w:eastAsia="zh-CN"/>
              </w:rPr>
            </w:pPr>
            <w:r>
              <w:rPr>
                <w:color w:val="auto"/>
                <w:u w:val="none" w:color="auto"/>
                <w:lang w:eastAsia="zh-CN"/>
              </w:rPr>
              <w:t>拟设置</w:t>
            </w:r>
            <w:r>
              <w:rPr>
                <w:rFonts w:hint="eastAsia"/>
                <w:color w:val="auto"/>
                <w:u w:val="none" w:color="auto"/>
                <w:lang w:val="en-US" w:eastAsia="zh-CN"/>
              </w:rPr>
              <w:t>11</w:t>
            </w:r>
            <w:r>
              <w:rPr>
                <w:color w:val="auto"/>
                <w:u w:val="none" w:color="auto"/>
                <w:lang w:eastAsia="zh-CN"/>
              </w:rPr>
              <w:t xml:space="preserve">个弃渣场，总占地面积约为 </w:t>
            </w:r>
            <w:r>
              <w:rPr>
                <w:rFonts w:hint="eastAsia"/>
                <w:color w:val="auto"/>
                <w:u w:val="none" w:color="auto"/>
                <w:lang w:val="en-US" w:eastAsia="zh-CN"/>
              </w:rPr>
              <w:t>4.13</w:t>
            </w:r>
            <w:r>
              <w:rPr>
                <w:color w:val="auto"/>
                <w:u w:val="none" w:color="auto"/>
                <w:lang w:eastAsia="zh-CN"/>
              </w:rPr>
              <w:t>hm</w:t>
            </w:r>
            <w:r>
              <w:rPr>
                <w:color w:val="auto"/>
                <w:u w:val="none" w:color="auto"/>
                <w:vertAlign w:val="superscript"/>
                <w:lang w:eastAsia="zh-CN"/>
              </w:rPr>
              <w:t>2</w:t>
            </w:r>
            <w:r>
              <w:rPr>
                <w:color w:val="auto"/>
                <w:u w:val="none" w:color="auto"/>
                <w:lang w:eastAsia="zh-CN"/>
              </w:rPr>
              <w:t>。</w:t>
            </w:r>
            <w:r>
              <w:rPr>
                <w:rFonts w:hint="eastAsia"/>
                <w:color w:val="auto"/>
                <w:u w:val="none" w:color="auto"/>
                <w:lang w:eastAsia="zh-CN"/>
              </w:rPr>
              <w:t>弃渣量</w:t>
            </w:r>
            <w:r>
              <w:rPr>
                <w:rFonts w:hint="eastAsia"/>
                <w:color w:val="auto"/>
                <w:u w:val="none" w:color="auto"/>
                <w:lang w:val="en-US" w:eastAsia="zh-CN"/>
              </w:rPr>
              <w:t>37.41</w:t>
            </w:r>
            <w:r>
              <w:rPr>
                <w:color w:val="auto"/>
                <w:u w:val="none" w:color="auto"/>
                <w:lang w:eastAsia="zh-CN"/>
              </w:rPr>
              <w:t>万m</w:t>
            </w:r>
            <w:r>
              <w:rPr>
                <w:color w:val="auto"/>
                <w:u w:val="none" w:color="auto"/>
                <w:vertAlign w:val="superscript"/>
                <w:lang w:eastAsia="zh-CN"/>
              </w:rPr>
              <w:t>3</w:t>
            </w:r>
            <w:r>
              <w:rPr>
                <w:color w:val="auto"/>
                <w:u w:val="none" w:color="auto"/>
                <w:lang w:eastAsia="zh-CN"/>
              </w:rPr>
              <w:t>。</w:t>
            </w:r>
          </w:p>
        </w:tc>
        <w:tc>
          <w:tcPr>
            <w:tcW w:w="1600" w:type="pct"/>
            <w:vAlign w:val="center"/>
          </w:tcPr>
          <w:p>
            <w:pPr>
              <w:pStyle w:val="3672"/>
              <w:rPr>
                <w:color w:val="auto"/>
                <w:highlight w:val="none"/>
                <w:u w:val="none" w:color="auto"/>
                <w:lang w:eastAsia="zh-CN"/>
              </w:rPr>
            </w:pPr>
            <w:r>
              <w:rPr>
                <w:rFonts w:hint="eastAsia"/>
                <w:color w:val="auto"/>
                <w:highlight w:val="none"/>
                <w:u w:val="none" w:color="auto"/>
                <w:lang w:eastAsia="zh-CN" w:bidi="ar"/>
              </w:rPr>
              <w:t>实际</w:t>
            </w:r>
            <w:r>
              <w:rPr>
                <w:color w:val="auto"/>
                <w:highlight w:val="none"/>
                <w:u w:val="none" w:color="auto"/>
                <w:lang w:eastAsia="zh-CN"/>
              </w:rPr>
              <w:t>设置</w:t>
            </w:r>
            <w:r>
              <w:rPr>
                <w:rFonts w:hint="eastAsia"/>
                <w:color w:val="auto"/>
                <w:highlight w:val="none"/>
                <w:u w:val="none" w:color="auto"/>
                <w:lang w:val="en-US" w:eastAsia="zh-CN"/>
              </w:rPr>
              <w:t>7</w:t>
            </w:r>
            <w:r>
              <w:rPr>
                <w:color w:val="auto"/>
                <w:highlight w:val="none"/>
                <w:u w:val="none" w:color="auto"/>
                <w:lang w:eastAsia="zh-CN"/>
              </w:rPr>
              <w:t>个弃渣场，</w:t>
            </w:r>
            <w:r>
              <w:rPr>
                <w:color w:val="auto"/>
                <w:highlight w:val="none"/>
                <w:u w:val="none" w:color="auto"/>
                <w:lang w:eastAsia="zh-CN" w:bidi="ar"/>
              </w:rPr>
              <w:t>弃渣量约为</w:t>
            </w:r>
            <w:r>
              <w:rPr>
                <w:rFonts w:hint="eastAsia" w:eastAsia="等线"/>
                <w:color w:val="auto"/>
                <w:szCs w:val="21"/>
                <w:highlight w:val="none"/>
                <w:u w:val="none" w:color="auto"/>
                <w:lang w:val="en-US" w:eastAsia="zh-CN"/>
              </w:rPr>
              <w:t>35.32</w:t>
            </w:r>
            <w:r>
              <w:rPr>
                <w:color w:val="auto"/>
                <w:highlight w:val="none"/>
                <w:u w:val="none" w:color="auto"/>
                <w:lang w:eastAsia="zh-CN" w:bidi="ar"/>
              </w:rPr>
              <w:t>万m</w:t>
            </w:r>
            <w:r>
              <w:rPr>
                <w:color w:val="auto"/>
                <w:highlight w:val="none"/>
                <w:u w:val="none" w:color="auto"/>
                <w:vertAlign w:val="superscript"/>
                <w:lang w:eastAsia="zh-CN" w:bidi="ar"/>
              </w:rPr>
              <w:t>3</w:t>
            </w:r>
            <w:r>
              <w:rPr>
                <w:rFonts w:hint="eastAsia"/>
                <w:color w:val="auto"/>
                <w:highlight w:val="none"/>
                <w:u w:val="none" w:color="auto"/>
                <w:lang w:eastAsia="zh-CN" w:bidi="ar"/>
              </w:rPr>
              <w:t>，</w:t>
            </w:r>
            <w:r>
              <w:rPr>
                <w:color w:val="auto"/>
                <w:highlight w:val="none"/>
                <w:u w:val="none" w:color="auto"/>
                <w:lang w:eastAsia="zh-CN"/>
              </w:rPr>
              <w:t>总面积约为</w:t>
            </w:r>
            <w:r>
              <w:rPr>
                <w:rFonts w:hint="eastAsia" w:eastAsiaTheme="minorEastAsia"/>
                <w:color w:val="auto"/>
                <w:spacing w:val="-10"/>
                <w:szCs w:val="18"/>
                <w:highlight w:val="none"/>
                <w:u w:val="none" w:color="auto"/>
                <w:lang w:val="en-US" w:eastAsia="zh-CN"/>
              </w:rPr>
              <w:t>3.13</w:t>
            </w:r>
            <w:r>
              <w:rPr>
                <w:color w:val="auto"/>
                <w:highlight w:val="none"/>
                <w:u w:val="none" w:color="auto"/>
                <w:lang w:eastAsia="zh-CN"/>
              </w:rPr>
              <w:t>hm</w:t>
            </w:r>
            <w:r>
              <w:rPr>
                <w:color w:val="auto"/>
                <w:highlight w:val="none"/>
                <w:u w:val="none" w:color="auto"/>
                <w:vertAlign w:val="superscript"/>
                <w:lang w:eastAsia="zh-CN"/>
              </w:rPr>
              <w:t>2</w:t>
            </w:r>
            <w:r>
              <w:rPr>
                <w:color w:val="auto"/>
                <w:highlight w:val="none"/>
                <w:u w:val="none" w:color="auto"/>
                <w:lang w:eastAsia="zh-CN"/>
              </w:rPr>
              <w:t>。</w:t>
            </w:r>
          </w:p>
        </w:tc>
        <w:tc>
          <w:tcPr>
            <w:tcW w:w="1268" w:type="pct"/>
            <w:vAlign w:val="center"/>
          </w:tcPr>
          <w:p>
            <w:pPr>
              <w:pStyle w:val="3672"/>
              <w:rPr>
                <w:color w:val="auto"/>
                <w:highlight w:val="none"/>
                <w:u w:val="none" w:color="auto"/>
                <w:lang w:eastAsia="zh-CN"/>
              </w:rPr>
            </w:pPr>
            <w:r>
              <w:rPr>
                <w:rFonts w:hint="eastAsia"/>
                <w:color w:val="auto"/>
                <w:highlight w:val="none"/>
                <w:u w:val="none" w:color="auto"/>
                <w:lang w:eastAsia="zh-CN"/>
              </w:rPr>
              <w:t>弃渣场</w:t>
            </w:r>
            <w:r>
              <w:rPr>
                <w:rFonts w:hint="eastAsia"/>
                <w:color w:val="auto"/>
                <w:highlight w:val="none"/>
                <w:u w:val="none" w:color="auto"/>
                <w:lang w:val="en-US" w:eastAsia="zh-CN"/>
              </w:rPr>
              <w:t>减少4</w:t>
            </w:r>
            <w:r>
              <w:rPr>
                <w:rFonts w:hint="eastAsia"/>
                <w:color w:val="auto"/>
                <w:highlight w:val="none"/>
                <w:u w:val="none" w:color="auto"/>
                <w:lang w:eastAsia="zh-CN"/>
              </w:rPr>
              <w:t>个，总面积减少</w:t>
            </w:r>
            <w:r>
              <w:rPr>
                <w:rFonts w:hint="eastAsia"/>
                <w:color w:val="auto"/>
                <w:highlight w:val="none"/>
                <w:u w:val="none" w:color="auto"/>
                <w:lang w:val="en-US" w:eastAsia="zh-CN"/>
              </w:rPr>
              <w:t>1.0</w:t>
            </w:r>
            <w:r>
              <w:rPr>
                <w:color w:val="auto"/>
                <w:highlight w:val="none"/>
                <w:u w:val="none" w:color="auto"/>
                <w:lang w:eastAsia="zh-CN"/>
              </w:rPr>
              <w:t>hm</w:t>
            </w:r>
            <w:r>
              <w:rPr>
                <w:color w:val="auto"/>
                <w:highlight w:val="none"/>
                <w:u w:val="none" w:color="auto"/>
                <w:vertAlign w:val="superscript"/>
                <w:lang w:eastAsia="zh-CN"/>
              </w:rPr>
              <w:t>2</w:t>
            </w:r>
            <w:r>
              <w:rPr>
                <w:rFonts w:hint="eastAsia"/>
                <w:color w:val="auto"/>
                <w:highlight w:val="none"/>
                <w:u w:val="none" w:color="auto"/>
                <w:lang w:eastAsia="zh-CN"/>
              </w:rPr>
              <w:t>。</w:t>
            </w:r>
          </w:p>
        </w:tc>
        <w:tc>
          <w:tcPr>
            <w:tcW w:w="417" w:type="pct"/>
            <w:vAlign w:val="center"/>
          </w:tcPr>
          <w:p>
            <w:pPr>
              <w:pStyle w:val="3672"/>
              <w:rPr>
                <w:color w:val="auto"/>
                <w:u w:val="none" w:color="auto"/>
                <w:lang w:eastAsia="zh-CN"/>
              </w:rPr>
            </w:pPr>
            <w:r>
              <w:rPr>
                <w:rFonts w:hint="eastAsia"/>
                <w:color w:val="auto"/>
                <w:u w:val="none" w:color="auto"/>
                <w:lang w:eastAsia="zh-CN"/>
              </w:rPr>
              <w:t>不属于</w:t>
            </w:r>
          </w:p>
        </w:tc>
      </w:tr>
    </w:tbl>
    <w:p>
      <w:pPr>
        <w:pStyle w:val="74"/>
        <w:sectPr>
          <w:pgSz w:w="16838" w:h="11905" w:orient="landscape"/>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3" w:charSpace="0"/>
        </w:sectPr>
      </w:pPr>
    </w:p>
    <w:p>
      <w:pPr>
        <w:pStyle w:val="458"/>
        <w:ind w:firstLine="602"/>
        <w:rPr>
          <w:color w:val="000000" w:themeColor="text1"/>
          <w:u w:val="none" w:color="auto"/>
          <w14:textFill>
            <w14:solidFill>
              <w14:schemeClr w14:val="tx1"/>
            </w14:solidFill>
          </w14:textFill>
        </w:rPr>
      </w:pPr>
      <w:r>
        <w:rPr>
          <w:rFonts w:hint="eastAsia"/>
          <w:color w:val="000000" w:themeColor="text1"/>
          <w:u w:val="none" w:color="auto"/>
          <w:lang w:val="en-US" w:eastAsia="zh-CN"/>
          <w14:textFill>
            <w14:solidFill>
              <w14:schemeClr w14:val="tx1"/>
            </w14:solidFill>
          </w14:textFill>
        </w:rPr>
        <w:t>工程现状调查</w:t>
      </w:r>
    </w:p>
    <w:p>
      <w:pPr>
        <w:bidi w:val="0"/>
        <w:rPr>
          <w:color w:val="auto"/>
        </w:rPr>
      </w:pPr>
      <w:r>
        <w:rPr>
          <w:rFonts w:hint="eastAsia"/>
          <w:color w:val="auto"/>
          <w:lang w:val="en-US" w:eastAsia="zh-CN"/>
        </w:rPr>
        <w:t>1、</w:t>
      </w:r>
      <w:r>
        <w:rPr>
          <w:color w:val="auto"/>
        </w:rPr>
        <w:t>工程建设情况</w:t>
      </w:r>
    </w:p>
    <w:p>
      <w:pPr>
        <w:bidi w:val="0"/>
        <w:rPr>
          <w:color w:val="auto"/>
        </w:rPr>
      </w:pPr>
      <w:r>
        <w:rPr>
          <w:rFonts w:hint="eastAsia"/>
          <w:color w:val="auto"/>
        </w:rPr>
        <w:t>本工程于2023年12月</w:t>
      </w:r>
      <w:r>
        <w:rPr>
          <w:rFonts w:hint="eastAsia"/>
          <w:color w:val="auto"/>
          <w:lang w:val="en-US" w:eastAsia="zh-CN"/>
        </w:rPr>
        <w:t>开工建设</w:t>
      </w:r>
      <w:r>
        <w:rPr>
          <w:rFonts w:hint="eastAsia"/>
          <w:color w:val="auto"/>
        </w:rPr>
        <w:t>，2024年</w:t>
      </w:r>
      <w:r>
        <w:rPr>
          <w:rFonts w:hint="eastAsia"/>
          <w:color w:val="auto"/>
          <w:lang w:val="en-US" w:eastAsia="zh-CN"/>
        </w:rPr>
        <w:t>12</w:t>
      </w:r>
      <w:r>
        <w:rPr>
          <w:rFonts w:hint="eastAsia"/>
          <w:color w:val="auto"/>
        </w:rPr>
        <w:t>月底</w:t>
      </w:r>
      <w:r>
        <w:rPr>
          <w:rFonts w:hint="eastAsia"/>
          <w:color w:val="auto"/>
          <w:lang w:val="en-US" w:eastAsia="zh-CN"/>
        </w:rPr>
        <w:t>主体工程建成</w:t>
      </w:r>
      <w:r>
        <w:rPr>
          <w:rFonts w:hint="eastAsia"/>
          <w:color w:val="auto"/>
        </w:rPr>
        <w:t>，</w:t>
      </w:r>
      <w:r>
        <w:rPr>
          <w:rFonts w:hint="eastAsia"/>
          <w:color w:val="auto"/>
          <w:lang w:val="en-US" w:eastAsia="zh-CN"/>
        </w:rPr>
        <w:t>15台</w:t>
      </w:r>
      <w:r>
        <w:rPr>
          <w:rFonts w:hint="eastAsia"/>
          <w:color w:val="auto"/>
        </w:rPr>
        <w:t>风机已完成吊装</w:t>
      </w:r>
      <w:r>
        <w:rPr>
          <w:rFonts w:hint="eastAsia"/>
          <w:color w:val="auto"/>
          <w:lang w:eastAsia="zh-CN"/>
        </w:rPr>
        <w:t>，</w:t>
      </w:r>
      <w:r>
        <w:rPr>
          <w:rFonts w:hint="eastAsia"/>
          <w:color w:val="auto"/>
          <w:lang w:val="en-US" w:eastAsia="zh-CN"/>
        </w:rPr>
        <w:t>220kV汇集站已建成，进场道路和</w:t>
      </w:r>
      <w:r>
        <w:rPr>
          <w:rFonts w:hint="eastAsia"/>
          <w:color w:val="auto"/>
        </w:rPr>
        <w:t>场内道路</w:t>
      </w:r>
      <w:r>
        <w:rPr>
          <w:rFonts w:hint="eastAsia"/>
          <w:color w:val="auto"/>
          <w:lang w:val="en-US" w:eastAsia="zh-CN"/>
        </w:rPr>
        <w:t>和已</w:t>
      </w:r>
      <w:r>
        <w:rPr>
          <w:rFonts w:hint="eastAsia"/>
          <w:color w:val="auto"/>
        </w:rPr>
        <w:t>建设完成，集电线路已完成敷设，</w:t>
      </w:r>
      <w:r>
        <w:rPr>
          <w:rFonts w:hint="eastAsia"/>
          <w:color w:val="auto"/>
          <w:lang w:val="en-US" w:eastAsia="zh-CN"/>
        </w:rPr>
        <w:t>目前正在进行风机平台和道路边坡的生态复绿工作，汇集站已安装1台</w:t>
      </w:r>
      <w:r>
        <w:rPr>
          <w:rFonts w:hint="eastAsia"/>
        </w:rPr>
        <w:t>240MVA</w:t>
      </w:r>
      <w:r>
        <w:rPr>
          <w:rFonts w:hint="eastAsia"/>
          <w:color w:val="auto"/>
          <w:lang w:val="en-US" w:eastAsia="zh-CN"/>
        </w:rPr>
        <w:t>主变压器和配电装置，目前正在试运行</w:t>
      </w:r>
      <w:r>
        <w:rPr>
          <w:rFonts w:hint="eastAsia"/>
          <w:color w:val="auto"/>
        </w:rPr>
        <w:t>。</w:t>
      </w:r>
    </w:p>
    <w:tbl>
      <w:tblPr>
        <w:tblStyle w:val="89"/>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643"/>
        <w:gridCol w:w="204"/>
        <w:gridCol w:w="44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287" w:type="dxa"/>
            <w:gridSpan w:val="3"/>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pPr>
            <w:r>
              <w:drawing>
                <wp:inline distT="0" distB="0" distL="114300" distR="114300">
                  <wp:extent cx="5759450" cy="4169410"/>
                  <wp:effectExtent l="0" t="0" r="12700" b="2540"/>
                  <wp:docPr id="142"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2" name="图片 20"/>
                          <pic:cNvPicPr>
                            <a:picLocks noChangeAspect="true"/>
                          </pic:cNvPicPr>
                        </pic:nvPicPr>
                        <pic:blipFill>
                          <a:blip r:embed="rId15"/>
                          <a:stretch>
                            <a:fillRect/>
                          </a:stretch>
                        </pic:blipFill>
                        <pic:spPr>
                          <a:xfrm>
                            <a:off x="0" y="0"/>
                            <a:ext cx="5759450" cy="41694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lang w:val="en-US" w:eastAsia="zh-CN"/>
              </w:rPr>
            </w:pPr>
            <w:r>
              <w:rPr>
                <w:rFonts w:hint="eastAsia"/>
                <w:lang w:val="en-US" w:eastAsia="zh-CN"/>
              </w:rPr>
              <w:t>1~10号风机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287" w:type="dxa"/>
            <w:gridSpan w:val="3"/>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287" w:type="dxa"/>
            <w:gridSpan w:val="3"/>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pPr>
            <w:r>
              <w:drawing>
                <wp:inline distT="0" distB="0" distL="114300" distR="114300">
                  <wp:extent cx="5755640" cy="4178935"/>
                  <wp:effectExtent l="0" t="0" r="16510" b="12065"/>
                  <wp:docPr id="140"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0" name="图片 18"/>
                          <pic:cNvPicPr>
                            <a:picLocks noChangeAspect="true"/>
                          </pic:cNvPicPr>
                        </pic:nvPicPr>
                        <pic:blipFill>
                          <a:blip r:embed="rId16"/>
                          <a:stretch>
                            <a:fillRect/>
                          </a:stretch>
                        </pic:blipFill>
                        <pic:spPr>
                          <a:xfrm>
                            <a:off x="0" y="0"/>
                            <a:ext cx="5755640" cy="41789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lang w:val="en-US" w:eastAsia="zh-CN"/>
              </w:rPr>
            </w:pPr>
            <w:r>
              <w:rPr>
                <w:rFonts w:hint="eastAsia"/>
                <w:lang w:val="en-US" w:eastAsia="zh-CN"/>
              </w:rPr>
              <w:t>5~15号风机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4847" w:type="dxa"/>
            <w:gridSpan w:val="2"/>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pPr>
            <w:r>
              <w:drawing>
                <wp:inline distT="0" distB="0" distL="114300" distR="114300">
                  <wp:extent cx="3100070" cy="2347595"/>
                  <wp:effectExtent l="0" t="0" r="5080" b="14605"/>
                  <wp:docPr id="147" name="图片 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7" name="图片 25"/>
                          <pic:cNvPicPr>
                            <a:picLocks noChangeAspect="true"/>
                          </pic:cNvPicPr>
                        </pic:nvPicPr>
                        <pic:blipFill>
                          <a:blip r:embed="rId17"/>
                          <a:stretch>
                            <a:fillRect/>
                          </a:stretch>
                        </pic:blipFill>
                        <pic:spPr>
                          <a:xfrm>
                            <a:off x="0" y="0"/>
                            <a:ext cx="3100070" cy="23475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lang w:val="en-US" w:eastAsia="zh-CN"/>
              </w:rPr>
            </w:pPr>
            <w:r>
              <w:rPr>
                <w:rFonts w:hint="eastAsia"/>
                <w:lang w:val="en-US" w:eastAsia="zh-CN"/>
              </w:rPr>
              <w:t>风机平台</w:t>
            </w:r>
          </w:p>
        </w:tc>
        <w:tc>
          <w:tcPr>
            <w:tcW w:w="4440" w:type="dxa"/>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pPr>
            <w:r>
              <w:drawing>
                <wp:inline distT="0" distB="0" distL="114300" distR="114300">
                  <wp:extent cx="2787015" cy="2321560"/>
                  <wp:effectExtent l="0" t="0" r="13335" b="2540"/>
                  <wp:docPr id="148" name="图片 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8" name="图片 26"/>
                          <pic:cNvPicPr>
                            <a:picLocks noChangeAspect="true"/>
                          </pic:cNvPicPr>
                        </pic:nvPicPr>
                        <pic:blipFill>
                          <a:blip r:embed="rId18"/>
                          <a:stretch>
                            <a:fillRect/>
                          </a:stretch>
                        </pic:blipFill>
                        <pic:spPr>
                          <a:xfrm>
                            <a:off x="0" y="0"/>
                            <a:ext cx="2787015" cy="23215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lang w:val="en-US" w:eastAsia="zh-CN"/>
              </w:rPr>
            </w:pPr>
            <w:r>
              <w:rPr>
                <w:rFonts w:hint="eastAsia"/>
                <w:lang w:val="en-US" w:eastAsia="zh-CN"/>
              </w:rPr>
              <w:t>箱式变压器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287" w:type="dxa"/>
            <w:gridSpan w:val="3"/>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lang w:val="en-US" w:eastAsia="zh-CN"/>
              </w:rPr>
            </w:pPr>
            <w:r>
              <w:drawing>
                <wp:inline distT="0" distB="0" distL="114300" distR="114300">
                  <wp:extent cx="5754370" cy="4233545"/>
                  <wp:effectExtent l="0" t="0" r="17780" b="14605"/>
                  <wp:docPr id="143" name="图片 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3" name="图片 21"/>
                          <pic:cNvPicPr>
                            <a:picLocks noChangeAspect="true"/>
                          </pic:cNvPicPr>
                        </pic:nvPicPr>
                        <pic:blipFill>
                          <a:blip r:embed="rId19"/>
                          <a:stretch>
                            <a:fillRect/>
                          </a:stretch>
                        </pic:blipFill>
                        <pic:spPr>
                          <a:xfrm>
                            <a:off x="0" y="0"/>
                            <a:ext cx="5754370" cy="423354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287" w:type="dxa"/>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lang w:val="en-US" w:eastAsia="zh-CN"/>
              </w:rPr>
            </w:pPr>
            <w:r>
              <w:rPr>
                <w:rFonts w:hint="eastAsia"/>
                <w:sz w:val="21"/>
                <w:szCs w:val="21"/>
                <w:lang w:val="en-US" w:eastAsia="zh-CN"/>
              </w:rPr>
              <w:t>220kV汇集站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6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pPr>
            <w:r>
              <w:drawing>
                <wp:inline distT="0" distB="0" distL="114300" distR="114300">
                  <wp:extent cx="2888615" cy="2376170"/>
                  <wp:effectExtent l="0" t="0" r="6985" b="5080"/>
                  <wp:docPr id="151" name="图片 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1" name="图片 28"/>
                          <pic:cNvPicPr>
                            <a:picLocks noChangeAspect="true"/>
                          </pic:cNvPicPr>
                        </pic:nvPicPr>
                        <pic:blipFill>
                          <a:blip r:embed="rId20"/>
                          <a:stretch>
                            <a:fillRect/>
                          </a:stretch>
                        </pic:blipFill>
                        <pic:spPr>
                          <a:xfrm>
                            <a:off x="0" y="0"/>
                            <a:ext cx="2888615" cy="23761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lang w:val="en-US" w:eastAsia="zh-CN"/>
              </w:rPr>
            </w:pPr>
            <w:r>
              <w:rPr>
                <w:rFonts w:hint="eastAsia"/>
                <w:lang w:val="en-US" w:eastAsia="zh-CN"/>
              </w:rPr>
              <w:t>危废暂存间</w:t>
            </w:r>
          </w:p>
        </w:tc>
        <w:tc>
          <w:tcPr>
            <w:tcW w:w="4644"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pPr>
            <w:r>
              <w:drawing>
                <wp:inline distT="0" distB="0" distL="114300" distR="114300">
                  <wp:extent cx="2562225" cy="2476500"/>
                  <wp:effectExtent l="0" t="0" r="9525" b="0"/>
                  <wp:docPr id="152" name="图片 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2" name="图片 29"/>
                          <pic:cNvPicPr>
                            <a:picLocks noChangeAspect="true"/>
                          </pic:cNvPicPr>
                        </pic:nvPicPr>
                        <pic:blipFill>
                          <a:blip r:embed="rId21"/>
                          <a:stretch>
                            <a:fillRect/>
                          </a:stretch>
                        </pic:blipFill>
                        <pic:spPr>
                          <a:xfrm>
                            <a:off x="0" y="0"/>
                            <a:ext cx="2562225" cy="24765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lang w:val="en-US" w:eastAsia="zh-CN"/>
              </w:rPr>
            </w:pPr>
            <w:r>
              <w:rPr>
                <w:rFonts w:hint="eastAsia"/>
                <w:lang w:val="en-US" w:eastAsia="zh-CN"/>
              </w:rPr>
              <w:t>危废暂存间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46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pPr>
            <w:r>
              <w:drawing>
                <wp:inline distT="0" distB="0" distL="114300" distR="114300">
                  <wp:extent cx="2802255" cy="2236470"/>
                  <wp:effectExtent l="0" t="0" r="17145" b="11430"/>
                  <wp:docPr id="153" name="图片 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3" name="图片 30"/>
                          <pic:cNvPicPr>
                            <a:picLocks noChangeAspect="true"/>
                          </pic:cNvPicPr>
                        </pic:nvPicPr>
                        <pic:blipFill>
                          <a:blip r:embed="rId22"/>
                          <a:stretch>
                            <a:fillRect/>
                          </a:stretch>
                        </pic:blipFill>
                        <pic:spPr>
                          <a:xfrm>
                            <a:off x="0" y="0"/>
                            <a:ext cx="2802255" cy="22364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lang w:val="en-US" w:eastAsia="zh-CN"/>
              </w:rPr>
            </w:pPr>
            <w:r>
              <w:rPr>
                <w:rFonts w:hint="eastAsia"/>
                <w:lang w:val="en-US" w:eastAsia="zh-CN"/>
              </w:rPr>
              <w:t>危废暂存间内部</w:t>
            </w:r>
          </w:p>
        </w:tc>
        <w:tc>
          <w:tcPr>
            <w:tcW w:w="4644"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pPr>
            <w:r>
              <w:drawing>
                <wp:inline distT="0" distB="0" distL="114300" distR="114300">
                  <wp:extent cx="2470785" cy="3025140"/>
                  <wp:effectExtent l="0" t="0" r="5715" b="3810"/>
                  <wp:docPr id="154" name="图片 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4" name="图片 31"/>
                          <pic:cNvPicPr>
                            <a:picLocks noChangeAspect="true"/>
                          </pic:cNvPicPr>
                        </pic:nvPicPr>
                        <pic:blipFill>
                          <a:blip r:embed="rId23"/>
                          <a:stretch>
                            <a:fillRect/>
                          </a:stretch>
                        </pic:blipFill>
                        <pic:spPr>
                          <a:xfrm>
                            <a:off x="0" y="0"/>
                            <a:ext cx="2470785" cy="30251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lang w:val="en-US" w:eastAsia="zh-CN"/>
              </w:rPr>
            </w:pPr>
            <w:r>
              <w:rPr>
                <w:rFonts w:hint="eastAsia"/>
                <w:lang w:val="en-US" w:eastAsia="zh-CN"/>
              </w:rPr>
              <w:t>一体化污水处理设施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6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pPr>
            <w:r>
              <w:drawing>
                <wp:inline distT="0" distB="0" distL="114300" distR="114300">
                  <wp:extent cx="2700655" cy="2800985"/>
                  <wp:effectExtent l="0" t="0" r="4445" b="18415"/>
                  <wp:docPr id="145"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5" name="图片 23"/>
                          <pic:cNvPicPr>
                            <a:picLocks noChangeAspect="true"/>
                          </pic:cNvPicPr>
                        </pic:nvPicPr>
                        <pic:blipFill>
                          <a:blip r:embed="rId24"/>
                          <a:stretch>
                            <a:fillRect/>
                          </a:stretch>
                        </pic:blipFill>
                        <pic:spPr>
                          <a:xfrm>
                            <a:off x="0" y="0"/>
                            <a:ext cx="2700655" cy="28009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lang w:val="en-US" w:eastAsia="zh-CN"/>
              </w:rPr>
            </w:pPr>
            <w:r>
              <w:rPr>
                <w:rFonts w:hint="eastAsia"/>
                <w:lang w:val="en-US" w:eastAsia="zh-CN"/>
              </w:rPr>
              <w:t>场内道路排水沟</w:t>
            </w:r>
          </w:p>
        </w:tc>
        <w:tc>
          <w:tcPr>
            <w:tcW w:w="4644"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pPr>
            <w:r>
              <w:drawing>
                <wp:inline distT="0" distB="0" distL="114300" distR="114300">
                  <wp:extent cx="2612390" cy="2775585"/>
                  <wp:effectExtent l="0" t="0" r="16510" b="5715"/>
                  <wp:docPr id="150" name="图片 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0" name="图片 27"/>
                          <pic:cNvPicPr>
                            <a:picLocks noChangeAspect="true"/>
                          </pic:cNvPicPr>
                        </pic:nvPicPr>
                        <pic:blipFill>
                          <a:blip r:embed="rId25"/>
                          <a:stretch>
                            <a:fillRect/>
                          </a:stretch>
                        </pic:blipFill>
                        <pic:spPr>
                          <a:xfrm>
                            <a:off x="0" y="0"/>
                            <a:ext cx="2612390" cy="27755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lang w:val="en-US" w:eastAsia="zh-CN"/>
              </w:rPr>
            </w:pPr>
            <w:r>
              <w:rPr>
                <w:rFonts w:hint="eastAsia"/>
                <w:lang w:val="en-US" w:eastAsia="zh-CN"/>
              </w:rPr>
              <w:t>场内道路边坡挂网喷播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6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pPr>
            <w:r>
              <w:drawing>
                <wp:inline distT="0" distB="0" distL="114300" distR="114300">
                  <wp:extent cx="2921000" cy="1961515"/>
                  <wp:effectExtent l="0" t="0" r="12700" b="635"/>
                  <wp:docPr id="155" name="图片 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5" name="图片 32"/>
                          <pic:cNvPicPr>
                            <a:picLocks noChangeAspect="true"/>
                          </pic:cNvPicPr>
                        </pic:nvPicPr>
                        <pic:blipFill>
                          <a:blip r:embed="rId26"/>
                          <a:stretch>
                            <a:fillRect/>
                          </a:stretch>
                        </pic:blipFill>
                        <pic:spPr>
                          <a:xfrm>
                            <a:off x="0" y="0"/>
                            <a:ext cx="2921000" cy="19615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lang w:val="en-US" w:eastAsia="zh-CN"/>
              </w:rPr>
            </w:pPr>
            <w:r>
              <w:rPr>
                <w:rFonts w:hint="eastAsia"/>
                <w:lang w:val="en-US" w:eastAsia="zh-CN"/>
              </w:rPr>
              <w:t>边坡复绿</w:t>
            </w:r>
          </w:p>
        </w:tc>
        <w:tc>
          <w:tcPr>
            <w:tcW w:w="4644"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pPr>
            <w:r>
              <w:drawing>
                <wp:inline distT="0" distB="0" distL="114300" distR="114300">
                  <wp:extent cx="2810510" cy="2033270"/>
                  <wp:effectExtent l="0" t="0" r="8890" b="5080"/>
                  <wp:docPr id="157" name="图片 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7" name="图片 34"/>
                          <pic:cNvPicPr>
                            <a:picLocks noChangeAspect="true"/>
                          </pic:cNvPicPr>
                        </pic:nvPicPr>
                        <pic:blipFill>
                          <a:blip r:embed="rId27"/>
                          <a:stretch>
                            <a:fillRect/>
                          </a:stretch>
                        </pic:blipFill>
                        <pic:spPr>
                          <a:xfrm>
                            <a:off x="0" y="0"/>
                            <a:ext cx="2810510" cy="20332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lang w:val="en-US" w:eastAsia="zh-CN"/>
              </w:rPr>
            </w:pPr>
            <w:r>
              <w:rPr>
                <w:rFonts w:hint="eastAsia"/>
                <w:lang w:val="en-US" w:eastAsia="zh-CN"/>
              </w:rPr>
              <w:t>边坡复绿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6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pPr>
            <w:r>
              <w:drawing>
                <wp:inline distT="0" distB="0" distL="114300" distR="114300">
                  <wp:extent cx="3025140" cy="2015490"/>
                  <wp:effectExtent l="0" t="0" r="3810" b="3810"/>
                  <wp:docPr id="159" name="图片 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9" name="图片 36"/>
                          <pic:cNvPicPr>
                            <a:picLocks noChangeAspect="true"/>
                          </pic:cNvPicPr>
                        </pic:nvPicPr>
                        <pic:blipFill>
                          <a:blip r:embed="rId28"/>
                          <a:stretch>
                            <a:fillRect/>
                          </a:stretch>
                        </pic:blipFill>
                        <pic:spPr>
                          <a:xfrm>
                            <a:off x="0" y="0"/>
                            <a:ext cx="3025140" cy="20154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lang w:val="en-US" w:eastAsia="zh-CN"/>
              </w:rPr>
            </w:pPr>
            <w:r>
              <w:rPr>
                <w:rFonts w:hint="eastAsia"/>
                <w:lang w:val="en-US" w:eastAsia="zh-CN"/>
              </w:rPr>
              <w:t>弃渣场</w:t>
            </w:r>
          </w:p>
        </w:tc>
        <w:tc>
          <w:tcPr>
            <w:tcW w:w="4644"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pPr>
            <w:r>
              <w:drawing>
                <wp:inline distT="0" distB="0" distL="114300" distR="114300">
                  <wp:extent cx="2809240" cy="2025015"/>
                  <wp:effectExtent l="0" t="0" r="10160" b="13335"/>
                  <wp:docPr id="160" name="图片 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0" name="图片 37"/>
                          <pic:cNvPicPr>
                            <a:picLocks noChangeAspect="true"/>
                          </pic:cNvPicPr>
                        </pic:nvPicPr>
                        <pic:blipFill>
                          <a:blip r:embed="rId29"/>
                          <a:stretch>
                            <a:fillRect/>
                          </a:stretch>
                        </pic:blipFill>
                        <pic:spPr>
                          <a:xfrm>
                            <a:off x="0" y="0"/>
                            <a:ext cx="2809240" cy="20250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lang w:val="en-US" w:eastAsia="zh-CN"/>
              </w:rPr>
            </w:pPr>
            <w:r>
              <w:rPr>
                <w:rFonts w:hint="eastAsia"/>
                <w:lang w:val="en-US" w:eastAsia="zh-CN"/>
              </w:rPr>
              <w:t>弃渣场</w:t>
            </w:r>
          </w:p>
        </w:tc>
      </w:tr>
    </w:tbl>
    <w:p>
      <w:pPr>
        <w:autoSpaceDE w:val="0"/>
        <w:autoSpaceDN w:val="0"/>
        <w:adjustRightInd w:val="0"/>
        <w:snapToGrid w:val="0"/>
        <w:ind w:firstLine="480"/>
        <w:rPr>
          <w:rFonts w:hint="eastAsia"/>
          <w:color w:val="auto"/>
          <w:kern w:val="0"/>
          <w:u w:val="none" w:color="auto"/>
          <w:lang w:val="en-US" w:eastAsia="zh-CN"/>
        </w:rPr>
      </w:pPr>
    </w:p>
    <w:p>
      <w:pPr>
        <w:autoSpaceDE w:val="0"/>
        <w:autoSpaceDN w:val="0"/>
        <w:adjustRightInd w:val="0"/>
        <w:snapToGrid w:val="0"/>
        <w:ind w:firstLine="480"/>
        <w:rPr>
          <w:color w:val="auto"/>
          <w:kern w:val="0"/>
          <w:u w:val="none" w:color="auto"/>
        </w:rPr>
      </w:pPr>
      <w:r>
        <w:rPr>
          <w:rFonts w:hint="eastAsia"/>
          <w:color w:val="auto"/>
          <w:kern w:val="0"/>
          <w:u w:val="none" w:color="auto"/>
          <w:lang w:val="en-US" w:eastAsia="zh-CN"/>
        </w:rPr>
        <w:t>2、</w:t>
      </w:r>
      <w:r>
        <w:rPr>
          <w:rFonts w:hint="eastAsia"/>
          <w:color w:val="auto"/>
          <w:kern w:val="0"/>
          <w:u w:val="none" w:color="auto"/>
        </w:rPr>
        <w:t>原环评批复落实情况</w:t>
      </w:r>
    </w:p>
    <w:p>
      <w:pPr>
        <w:autoSpaceDE w:val="0"/>
        <w:autoSpaceDN w:val="0"/>
        <w:adjustRightInd w:val="0"/>
        <w:snapToGrid w:val="0"/>
        <w:ind w:firstLine="480"/>
        <w:rPr>
          <w:rFonts w:hint="eastAsia"/>
          <w:color w:val="auto"/>
          <w:kern w:val="0"/>
          <w:u w:val="none" w:color="auto"/>
        </w:rPr>
        <w:sectPr>
          <w:pgSz w:w="11905"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3" w:charSpace="0"/>
        </w:sectPr>
      </w:pPr>
      <w:r>
        <w:rPr>
          <w:rFonts w:hint="eastAsia"/>
          <w:color w:val="auto"/>
          <w:kern w:val="0"/>
          <w:u w:val="none" w:color="auto"/>
          <w:lang w:val="en-US" w:eastAsia="zh-CN"/>
        </w:rPr>
        <w:t>对照</w:t>
      </w:r>
      <w:r>
        <w:rPr>
          <w:rFonts w:hint="eastAsia"/>
          <w:color w:val="auto"/>
          <w:kern w:val="0"/>
          <w:u w:val="none" w:color="auto"/>
        </w:rPr>
        <w:t>原环评批复执行情况</w:t>
      </w:r>
      <w:r>
        <w:rPr>
          <w:rFonts w:hint="eastAsia"/>
          <w:color w:val="auto"/>
          <w:kern w:val="0"/>
          <w:u w:val="none" w:color="auto"/>
          <w:lang w:eastAsia="zh-CN"/>
        </w:rPr>
        <w:t>，</w:t>
      </w:r>
      <w:r>
        <w:rPr>
          <w:rFonts w:hint="eastAsia"/>
          <w:color w:val="auto"/>
          <w:kern w:val="0"/>
          <w:u w:val="none" w:color="auto"/>
        </w:rPr>
        <w:t>见下表：</w:t>
      </w:r>
    </w:p>
    <w:p>
      <w:pPr>
        <w:pStyle w:val="2289"/>
        <w:rPr>
          <w:b/>
          <w:bCs/>
          <w:color w:val="auto"/>
          <w:kern w:val="0"/>
          <w:sz w:val="21"/>
          <w:szCs w:val="21"/>
          <w:u w:val="none" w:color="auto"/>
          <w:lang w:bidi="ar"/>
        </w:rPr>
      </w:pPr>
      <w:r>
        <w:rPr>
          <w:rFonts w:hint="eastAsia"/>
          <w:b/>
          <w:bCs/>
          <w:color w:val="auto"/>
          <w:kern w:val="0"/>
          <w:sz w:val="21"/>
          <w:szCs w:val="21"/>
          <w:u w:val="none" w:color="auto"/>
          <w:lang w:bidi="ar"/>
        </w:rPr>
        <w:t>原环评批复执行情况</w:t>
      </w:r>
    </w:p>
    <w:tbl>
      <w:tblPr>
        <w:tblStyle w:val="88"/>
        <w:tblW w:w="501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647"/>
        <w:gridCol w:w="5869"/>
        <w:gridCol w:w="5458"/>
        <w:gridCol w:w="208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3" w:hRule="atLeast"/>
          <w:tblHeader/>
          <w:jc w:val="center"/>
        </w:trPr>
        <w:tc>
          <w:tcPr>
            <w:tcW w:w="230" w:type="pct"/>
            <w:vAlign w:val="center"/>
          </w:tcPr>
          <w:p>
            <w:pPr>
              <w:pStyle w:val="3674"/>
              <w:spacing w:line="240" w:lineRule="auto"/>
              <w:ind w:firstLine="0" w:firstLineChars="0"/>
              <w:jc w:val="center"/>
              <w:rPr>
                <w:rFonts w:cs="Times New Roman"/>
                <w:b/>
                <w:bCs w:val="0"/>
                <w:color w:val="auto"/>
                <w:sz w:val="21"/>
                <w:szCs w:val="21"/>
                <w:u w:val="none" w:color="auto"/>
              </w:rPr>
            </w:pPr>
            <w:r>
              <w:rPr>
                <w:rFonts w:cs="Times New Roman"/>
                <w:b/>
                <w:bCs w:val="0"/>
                <w:color w:val="auto"/>
                <w:sz w:val="21"/>
                <w:szCs w:val="21"/>
                <w:u w:val="none" w:color="auto"/>
              </w:rPr>
              <w:t>序号</w:t>
            </w:r>
          </w:p>
        </w:tc>
        <w:tc>
          <w:tcPr>
            <w:tcW w:w="2086" w:type="pct"/>
            <w:vAlign w:val="center"/>
          </w:tcPr>
          <w:p>
            <w:pPr>
              <w:pStyle w:val="3674"/>
              <w:spacing w:line="240" w:lineRule="auto"/>
              <w:ind w:firstLine="0" w:firstLineChars="0"/>
              <w:jc w:val="center"/>
              <w:rPr>
                <w:rFonts w:cs="Times New Roman"/>
                <w:b/>
                <w:bCs w:val="0"/>
                <w:color w:val="auto"/>
                <w:sz w:val="21"/>
                <w:szCs w:val="21"/>
                <w:u w:val="none" w:color="auto"/>
              </w:rPr>
            </w:pPr>
            <w:r>
              <w:rPr>
                <w:rFonts w:hint="eastAsia" w:cs="Times New Roman"/>
                <w:b/>
                <w:bCs w:val="0"/>
                <w:color w:val="auto"/>
                <w:sz w:val="21"/>
                <w:szCs w:val="21"/>
                <w:u w:val="none" w:color="auto"/>
              </w:rPr>
              <w:t>批复要求</w:t>
            </w:r>
          </w:p>
        </w:tc>
        <w:tc>
          <w:tcPr>
            <w:tcW w:w="1940" w:type="pct"/>
            <w:vAlign w:val="center"/>
          </w:tcPr>
          <w:p>
            <w:pPr>
              <w:pStyle w:val="3674"/>
              <w:spacing w:line="240" w:lineRule="auto"/>
              <w:ind w:firstLine="0" w:firstLineChars="0"/>
              <w:jc w:val="center"/>
              <w:rPr>
                <w:rFonts w:cs="Times New Roman"/>
                <w:b/>
                <w:bCs w:val="0"/>
                <w:color w:val="auto"/>
                <w:sz w:val="21"/>
                <w:szCs w:val="21"/>
                <w:u w:val="none" w:color="auto"/>
              </w:rPr>
            </w:pPr>
            <w:r>
              <w:rPr>
                <w:rFonts w:hint="eastAsia" w:cs="Times New Roman"/>
                <w:b/>
                <w:bCs w:val="0"/>
                <w:color w:val="auto"/>
                <w:sz w:val="21"/>
                <w:szCs w:val="21"/>
                <w:u w:val="none" w:color="auto"/>
              </w:rPr>
              <w:t>执行情况</w:t>
            </w:r>
          </w:p>
        </w:tc>
        <w:tc>
          <w:tcPr>
            <w:tcW w:w="742" w:type="pct"/>
            <w:vAlign w:val="center"/>
          </w:tcPr>
          <w:p>
            <w:pPr>
              <w:pStyle w:val="3674"/>
              <w:spacing w:line="240" w:lineRule="auto"/>
              <w:ind w:firstLine="0" w:firstLineChars="0"/>
              <w:jc w:val="center"/>
              <w:rPr>
                <w:rFonts w:cs="Times New Roman"/>
                <w:b/>
                <w:bCs w:val="0"/>
                <w:color w:val="auto"/>
                <w:sz w:val="21"/>
                <w:szCs w:val="21"/>
                <w:u w:val="none" w:color="auto"/>
              </w:rPr>
            </w:pPr>
            <w:r>
              <w:rPr>
                <w:rFonts w:hint="eastAsia" w:cs="Times New Roman"/>
                <w:b/>
                <w:bCs w:val="0"/>
                <w:color w:val="auto"/>
                <w:sz w:val="21"/>
                <w:szCs w:val="21"/>
                <w:u w:val="none" w:color="auto"/>
              </w:rPr>
              <w:t>整改要求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3" w:hRule="atLeast"/>
          <w:jc w:val="center"/>
        </w:trPr>
        <w:tc>
          <w:tcPr>
            <w:tcW w:w="230" w:type="pct"/>
            <w:vAlign w:val="center"/>
          </w:tcPr>
          <w:p>
            <w:pPr>
              <w:pStyle w:val="3674"/>
              <w:spacing w:line="240" w:lineRule="auto"/>
              <w:ind w:firstLine="0" w:firstLineChars="0"/>
              <w:jc w:val="center"/>
              <w:rPr>
                <w:rFonts w:cs="Times New Roman"/>
                <w:color w:val="auto"/>
                <w:sz w:val="21"/>
                <w:szCs w:val="21"/>
                <w:u w:val="none" w:color="auto"/>
              </w:rPr>
            </w:pPr>
            <w:r>
              <w:rPr>
                <w:rFonts w:cs="Times New Roman"/>
                <w:color w:val="auto"/>
                <w:sz w:val="21"/>
                <w:szCs w:val="21"/>
                <w:u w:val="none" w:color="auto"/>
              </w:rPr>
              <w:t>1</w:t>
            </w:r>
          </w:p>
        </w:tc>
        <w:tc>
          <w:tcPr>
            <w:tcW w:w="2086" w:type="pct"/>
            <w:vAlign w:val="center"/>
          </w:tcPr>
          <w:p>
            <w:pPr>
              <w:pStyle w:val="3674"/>
              <w:spacing w:line="240" w:lineRule="auto"/>
              <w:ind w:firstLine="0" w:firstLineChars="0"/>
              <w:jc w:val="left"/>
              <w:rPr>
                <w:rFonts w:cs="Times New Roman"/>
                <w:color w:val="auto"/>
                <w:sz w:val="21"/>
                <w:szCs w:val="21"/>
                <w:u w:val="none" w:color="auto"/>
              </w:rPr>
            </w:pPr>
            <w:r>
              <w:rPr>
                <w:rFonts w:hint="eastAsia" w:cs="Times New Roman"/>
                <w:color w:val="auto"/>
                <w:sz w:val="21"/>
                <w:szCs w:val="21"/>
                <w:u w:val="none" w:color="auto"/>
              </w:rPr>
              <w:t>优化项目设计。在主体工程和配套设施的设计上要充分考虑与当地的景观相协调性，保护周围的植被、水体、地貌、景物。细化本项目生态环境保护实施计划，制定环境风险应急预案，强化鸟类事故应急预措施，本项目环保投资必须纳入工程投资概算。施工道路尽可能利用现有道路，减小施工扰动地表面积；尽量减少风机、道路、集电线路、汇集站等建设施工对林木蓄积量较高林地的占用。</w:t>
            </w:r>
          </w:p>
        </w:tc>
        <w:tc>
          <w:tcPr>
            <w:tcW w:w="1940" w:type="pct"/>
            <w:vAlign w:val="center"/>
          </w:tcPr>
          <w:p>
            <w:pPr>
              <w:pStyle w:val="3674"/>
              <w:spacing w:line="240" w:lineRule="auto"/>
              <w:ind w:firstLine="0" w:firstLineChars="0"/>
              <w:jc w:val="center"/>
              <w:rPr>
                <w:rFonts w:cs="Times New Roman"/>
                <w:color w:val="auto"/>
                <w:sz w:val="21"/>
                <w:szCs w:val="21"/>
                <w:u w:val="none" w:color="auto"/>
              </w:rPr>
            </w:pPr>
            <w:r>
              <w:rPr>
                <w:rFonts w:hint="eastAsia" w:cs="Times New Roman"/>
                <w:color w:val="auto"/>
                <w:sz w:val="21"/>
                <w:szCs w:val="21"/>
                <w:u w:val="none" w:color="auto"/>
                <w:lang w:val="en-US" w:eastAsia="zh-CN"/>
              </w:rPr>
              <w:t>施工设计方案考虑了</w:t>
            </w:r>
            <w:r>
              <w:rPr>
                <w:rFonts w:hint="eastAsia" w:cs="Times New Roman"/>
                <w:color w:val="auto"/>
                <w:sz w:val="21"/>
                <w:szCs w:val="21"/>
                <w:u w:val="none" w:color="auto"/>
              </w:rPr>
              <w:t>与当地的景观相协调性，保护周围的植被、水体、地貌、景物。</w:t>
            </w:r>
            <w:r>
              <w:rPr>
                <w:rFonts w:hint="eastAsia" w:cs="Times New Roman"/>
                <w:color w:val="auto"/>
                <w:sz w:val="21"/>
                <w:szCs w:val="21"/>
                <w:u w:val="none" w:color="auto"/>
                <w:lang w:val="en-US" w:eastAsia="zh-CN"/>
              </w:rPr>
              <w:t>建设单位正在委托相关单位</w:t>
            </w:r>
            <w:r>
              <w:rPr>
                <w:rFonts w:hint="eastAsia" w:cs="Times New Roman"/>
                <w:color w:val="auto"/>
                <w:sz w:val="21"/>
                <w:szCs w:val="21"/>
                <w:u w:val="none" w:color="auto"/>
              </w:rPr>
              <w:t>制定环境风险应急预案</w:t>
            </w:r>
            <w:r>
              <w:rPr>
                <w:rFonts w:hint="eastAsia" w:cs="Times New Roman"/>
                <w:color w:val="auto"/>
                <w:sz w:val="21"/>
                <w:szCs w:val="21"/>
                <w:u w:val="none" w:color="auto"/>
                <w:lang w:eastAsia="zh-CN"/>
              </w:rPr>
              <w:t>，</w:t>
            </w:r>
            <w:r>
              <w:rPr>
                <w:rFonts w:hint="eastAsia" w:cs="Times New Roman"/>
                <w:color w:val="auto"/>
                <w:sz w:val="21"/>
                <w:szCs w:val="21"/>
                <w:u w:val="none" w:color="auto"/>
              </w:rPr>
              <w:t>强化鸟类事故应急预措施，环保投资</w:t>
            </w:r>
            <w:r>
              <w:rPr>
                <w:rFonts w:hint="eastAsia" w:cs="Times New Roman"/>
                <w:color w:val="auto"/>
                <w:sz w:val="21"/>
                <w:szCs w:val="21"/>
                <w:u w:val="none" w:color="auto"/>
                <w:lang w:val="en-US" w:eastAsia="zh-CN"/>
              </w:rPr>
              <w:t>已</w:t>
            </w:r>
            <w:r>
              <w:rPr>
                <w:rFonts w:hint="eastAsia" w:cs="Times New Roman"/>
                <w:color w:val="auto"/>
                <w:sz w:val="21"/>
                <w:szCs w:val="21"/>
                <w:u w:val="none" w:color="auto"/>
              </w:rPr>
              <w:t>纳入工程投资概算。施工道路尽可能利用现有道路，减小施工扰动地表面积；尽量减少风机、道路、集电线路、汇集站等建设施工对林木蓄积量较高林地的占用。</w:t>
            </w:r>
          </w:p>
        </w:tc>
        <w:tc>
          <w:tcPr>
            <w:tcW w:w="742" w:type="pct"/>
            <w:vAlign w:val="center"/>
          </w:tcPr>
          <w:p>
            <w:pPr>
              <w:pStyle w:val="3674"/>
              <w:spacing w:line="240" w:lineRule="auto"/>
              <w:ind w:firstLine="0" w:firstLineChars="0"/>
              <w:jc w:val="center"/>
              <w:rPr>
                <w:rFonts w:cs="Times New Roman"/>
                <w:color w:val="auto"/>
                <w:sz w:val="21"/>
                <w:szCs w:val="21"/>
                <w:u w:val="none" w:color="auto"/>
              </w:rPr>
            </w:pPr>
            <w:r>
              <w:rPr>
                <w:rFonts w:hint="eastAsia" w:cs="Times New Roman"/>
                <w:color w:val="auto"/>
                <w:sz w:val="21"/>
                <w:szCs w:val="21"/>
                <w:u w:val="none" w:color="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3" w:hRule="atLeast"/>
          <w:jc w:val="center"/>
        </w:trPr>
        <w:tc>
          <w:tcPr>
            <w:tcW w:w="230" w:type="pct"/>
            <w:vAlign w:val="center"/>
          </w:tcPr>
          <w:p>
            <w:pPr>
              <w:pStyle w:val="3674"/>
              <w:spacing w:line="240" w:lineRule="auto"/>
              <w:ind w:firstLine="0" w:firstLineChars="0"/>
              <w:jc w:val="center"/>
              <w:rPr>
                <w:rFonts w:cs="Times New Roman"/>
                <w:color w:val="auto"/>
                <w:sz w:val="21"/>
                <w:szCs w:val="21"/>
                <w:u w:val="none" w:color="auto"/>
              </w:rPr>
            </w:pPr>
            <w:r>
              <w:rPr>
                <w:rFonts w:hint="eastAsia" w:cs="Times New Roman"/>
                <w:color w:val="auto"/>
                <w:sz w:val="21"/>
                <w:szCs w:val="21"/>
                <w:u w:val="none" w:color="auto"/>
              </w:rPr>
              <w:t>2</w:t>
            </w:r>
          </w:p>
        </w:tc>
        <w:tc>
          <w:tcPr>
            <w:tcW w:w="2086" w:type="pct"/>
            <w:vAlign w:val="center"/>
          </w:tcPr>
          <w:p>
            <w:pPr>
              <w:pStyle w:val="3674"/>
              <w:spacing w:line="240" w:lineRule="auto"/>
              <w:ind w:firstLine="0" w:firstLineChars="0"/>
              <w:jc w:val="left"/>
              <w:rPr>
                <w:rFonts w:cs="Times New Roman"/>
                <w:color w:val="auto"/>
                <w:sz w:val="21"/>
                <w:szCs w:val="21"/>
                <w:u w:val="none" w:color="auto"/>
              </w:rPr>
            </w:pPr>
            <w:r>
              <w:rPr>
                <w:rFonts w:hint="eastAsia" w:cs="Times New Roman"/>
                <w:color w:val="auto"/>
                <w:sz w:val="21"/>
                <w:szCs w:val="21"/>
                <w:u w:val="none" w:color="auto"/>
              </w:rPr>
              <w:t>落实施工期生态恢复措施。严格落实报告表提出的生态恢复要求和措施。完善施工道路边坡、风机平台、汇集站四周的生态恢复。按水行政主管部门批复的水土保持方案，采取有效措施防止水土流失。加强施工管理，严格控制施工场界，不得越界施工破坏周边生态环境，严禁捕杀野生动物，施工期应设立生态公益林范围界限标志。工程弃渣严格按照“先拦后弃”、“上截下拦”的要求，在上游沿等高线及边坡修建截水沟，拦截并引开上游坡面径流，弃渣场两侧、下游及弃渣边坡坡顶</w:t>
            </w:r>
            <w:r>
              <w:rPr>
                <w:rFonts w:hint="eastAsia" w:cs="Times New Roman"/>
                <w:color w:val="auto"/>
                <w:sz w:val="21"/>
                <w:szCs w:val="21"/>
                <w:u w:val="none" w:color="auto"/>
                <w:lang w:val="en-US" w:eastAsia="zh-CN"/>
              </w:rPr>
              <w:t>设置</w:t>
            </w:r>
            <w:r>
              <w:rPr>
                <w:rFonts w:hint="eastAsia" w:cs="Times New Roman"/>
                <w:color w:val="auto"/>
                <w:sz w:val="21"/>
                <w:szCs w:val="21"/>
                <w:u w:val="none" w:color="auto"/>
              </w:rPr>
              <w:t>浆砌石排水沟，将场内外汇水排出，堆渣顶应按需要开挖临时排水沟，连接周边浆砌石排水沟，各类截排水沟、临时排水设施须通过沉沙池沉降后排入周边排水系统；对坡度大于15°放置风机的区域，施工时应及时在坡脚处设置草袋挡土墙挡护或坡面种植草本植物等防护措施；表层土剥离可就近堆置，表面采取覆盖措施，坡脚采用装土编织袋或石块进行拦挡防护，施工结束后用于植被恢复；落实各项临时防护措施；落实水土保持措施、施工过程中设置围挡、必要时设置截留措施等措施强化对饮用水水源保护区的保护，特别是项目借用的防火林道位于永州市蓝山县塔峰镇两江口水库饮用水水源保护区二级陆域保护区，施工单位需严格执行项目水土保持方案提出的保护措施和车辆运输防护措施，禁止对水源地产生影响。合理安排施工时间，防止噪声扰民。</w:t>
            </w:r>
          </w:p>
        </w:tc>
        <w:tc>
          <w:tcPr>
            <w:tcW w:w="1940" w:type="pct"/>
            <w:vAlign w:val="center"/>
          </w:tcPr>
          <w:p>
            <w:pPr>
              <w:pStyle w:val="3674"/>
              <w:spacing w:line="240" w:lineRule="auto"/>
              <w:ind w:firstLine="0" w:firstLineChars="0"/>
              <w:rPr>
                <w:rFonts w:hint="eastAsia" w:cs="Times New Roman"/>
                <w:color w:val="auto"/>
                <w:sz w:val="21"/>
                <w:szCs w:val="21"/>
                <w:u w:val="none" w:color="auto"/>
              </w:rPr>
            </w:pPr>
            <w:r>
              <w:rPr>
                <w:rFonts w:hint="eastAsia" w:cs="Times New Roman"/>
                <w:color w:val="auto"/>
                <w:sz w:val="21"/>
                <w:szCs w:val="21"/>
                <w:u w:val="none" w:color="auto"/>
                <w:lang w:val="en-US" w:eastAsia="zh-CN"/>
              </w:rPr>
              <w:t>建设单位正在开展</w:t>
            </w:r>
            <w:r>
              <w:rPr>
                <w:rFonts w:hint="eastAsia" w:cs="Times New Roman"/>
                <w:color w:val="auto"/>
                <w:sz w:val="21"/>
                <w:szCs w:val="21"/>
                <w:u w:val="none" w:color="auto"/>
              </w:rPr>
              <w:t>施工道路边坡、风机平台、</w:t>
            </w:r>
            <w:r>
              <w:rPr>
                <w:rFonts w:hint="eastAsia" w:cs="Times New Roman"/>
                <w:color w:val="auto"/>
                <w:sz w:val="21"/>
                <w:szCs w:val="21"/>
                <w:u w:val="none" w:color="auto"/>
                <w:lang w:val="en-US" w:eastAsia="zh-CN"/>
              </w:rPr>
              <w:t>弃渣场、</w:t>
            </w:r>
            <w:r>
              <w:rPr>
                <w:rFonts w:hint="eastAsia" w:cs="Times New Roman"/>
                <w:color w:val="auto"/>
                <w:sz w:val="21"/>
                <w:szCs w:val="21"/>
                <w:u w:val="none" w:color="auto"/>
              </w:rPr>
              <w:t>汇集站四周的生态恢复</w:t>
            </w:r>
            <w:r>
              <w:rPr>
                <w:rFonts w:hint="eastAsia" w:cs="Times New Roman"/>
                <w:color w:val="auto"/>
                <w:sz w:val="21"/>
                <w:szCs w:val="21"/>
                <w:u w:val="none" w:color="auto"/>
                <w:lang w:val="en-US" w:eastAsia="zh-CN"/>
              </w:rPr>
              <w:t>工作</w:t>
            </w:r>
            <w:r>
              <w:rPr>
                <w:rFonts w:hint="eastAsia" w:cs="Times New Roman"/>
                <w:color w:val="auto"/>
                <w:sz w:val="21"/>
                <w:szCs w:val="21"/>
                <w:u w:val="none" w:color="auto"/>
              </w:rPr>
              <w:t>。严格控制施工场界，</w:t>
            </w:r>
            <w:r>
              <w:rPr>
                <w:rFonts w:hint="eastAsia" w:cs="Times New Roman"/>
                <w:color w:val="auto"/>
                <w:sz w:val="21"/>
                <w:szCs w:val="21"/>
                <w:u w:val="none" w:color="auto"/>
                <w:lang w:val="en-US" w:eastAsia="zh-CN"/>
              </w:rPr>
              <w:t>未</w:t>
            </w:r>
            <w:r>
              <w:rPr>
                <w:rFonts w:hint="eastAsia" w:cs="Times New Roman"/>
                <w:color w:val="auto"/>
                <w:sz w:val="21"/>
                <w:szCs w:val="21"/>
                <w:u w:val="none" w:color="auto"/>
              </w:rPr>
              <w:t>越界施工破坏周边生态环境，</w:t>
            </w:r>
            <w:r>
              <w:rPr>
                <w:rFonts w:hint="eastAsia" w:cs="Times New Roman"/>
                <w:color w:val="auto"/>
                <w:sz w:val="21"/>
                <w:szCs w:val="21"/>
                <w:u w:val="none" w:color="auto"/>
                <w:lang w:val="en-US" w:eastAsia="zh-CN"/>
              </w:rPr>
              <w:t>未</w:t>
            </w:r>
            <w:r>
              <w:rPr>
                <w:rFonts w:hint="eastAsia" w:cs="Times New Roman"/>
                <w:color w:val="auto"/>
                <w:sz w:val="21"/>
                <w:szCs w:val="21"/>
                <w:u w:val="none" w:color="auto"/>
              </w:rPr>
              <w:t>捕杀野生动物，施工期设立</w:t>
            </w:r>
            <w:r>
              <w:rPr>
                <w:rFonts w:hint="eastAsia" w:cs="Times New Roman"/>
                <w:color w:val="auto"/>
                <w:sz w:val="21"/>
                <w:szCs w:val="21"/>
                <w:u w:val="none" w:color="auto"/>
                <w:lang w:val="en-US" w:eastAsia="zh-CN"/>
              </w:rPr>
              <w:t>了</w:t>
            </w:r>
            <w:r>
              <w:rPr>
                <w:rFonts w:hint="eastAsia" w:cs="Times New Roman"/>
                <w:color w:val="auto"/>
                <w:sz w:val="21"/>
                <w:szCs w:val="21"/>
                <w:u w:val="none" w:color="auto"/>
              </w:rPr>
              <w:t>生态公益林范围界限标志。</w:t>
            </w:r>
          </w:p>
          <w:p>
            <w:pPr>
              <w:pStyle w:val="3674"/>
              <w:spacing w:line="240" w:lineRule="auto"/>
              <w:ind w:firstLine="0" w:firstLineChars="0"/>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采取了水土保持措施，道路边坡已实施挂网喷播和撒播草籽措施，部分区域复绿效果良好，但仍存在裸露边坡，部分填方边坡溜渣。</w:t>
            </w:r>
            <w:r>
              <w:rPr>
                <w:rFonts w:hint="eastAsia" w:eastAsia="宋体" w:cs="Times New Roman"/>
                <w:color w:val="auto"/>
                <w:sz w:val="21"/>
                <w:szCs w:val="21"/>
                <w:u w:val="none" w:color="auto"/>
                <w:lang w:val="en-US" w:eastAsia="zh-CN"/>
              </w:rPr>
              <w:t>道路侧排水沟</w:t>
            </w:r>
            <w:r>
              <w:rPr>
                <w:rFonts w:hint="eastAsia" w:cs="Times New Roman"/>
                <w:color w:val="auto"/>
                <w:sz w:val="21"/>
                <w:szCs w:val="21"/>
                <w:u w:val="none" w:color="auto"/>
                <w:lang w:val="en-US" w:eastAsia="zh-CN"/>
              </w:rPr>
              <w:t>已部分完成</w:t>
            </w:r>
            <w:r>
              <w:rPr>
                <w:rFonts w:hint="eastAsia" w:eastAsia="宋体" w:cs="Times New Roman"/>
                <w:color w:val="auto"/>
                <w:sz w:val="21"/>
                <w:szCs w:val="21"/>
                <w:u w:val="none" w:color="auto"/>
                <w:lang w:val="en-US" w:eastAsia="zh-CN"/>
              </w:rPr>
              <w:t>建设。</w:t>
            </w:r>
            <w:r>
              <w:rPr>
                <w:rFonts w:hint="eastAsia" w:cs="Times New Roman"/>
                <w:color w:val="auto"/>
                <w:sz w:val="21"/>
                <w:szCs w:val="21"/>
                <w:u w:val="none" w:color="auto"/>
                <w:lang w:val="en-US" w:eastAsia="zh-CN"/>
              </w:rPr>
              <w:t>风机平台区域未采取临时覆盖和生态复绿措施。部分弃渣场未设置挡渣墙，坡面缺少排水措施。</w:t>
            </w:r>
          </w:p>
          <w:p>
            <w:pPr>
              <w:pStyle w:val="3674"/>
              <w:spacing w:line="240" w:lineRule="auto"/>
              <w:ind w:firstLine="0" w:firstLineChars="0"/>
              <w:rPr>
                <w:rFonts w:hint="eastAsia"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进场道路</w:t>
            </w:r>
            <w:r>
              <w:rPr>
                <w:rFonts w:hint="eastAsia" w:cs="Times New Roman"/>
                <w:color w:val="auto"/>
                <w:sz w:val="21"/>
                <w:szCs w:val="21"/>
                <w:u w:val="none" w:color="auto"/>
                <w:lang w:val="en-US" w:eastAsia="zh-CN"/>
              </w:rPr>
              <w:t>采取了水土保持</w:t>
            </w:r>
            <w:r>
              <w:rPr>
                <w:rFonts w:hint="eastAsia" w:cs="Times New Roman"/>
                <w:color w:val="auto"/>
                <w:sz w:val="21"/>
                <w:szCs w:val="21"/>
                <w:u w:val="none" w:color="auto"/>
              </w:rPr>
              <w:t>措施和车辆运输防护措施，</w:t>
            </w:r>
            <w:r>
              <w:rPr>
                <w:rFonts w:hint="eastAsia" w:cs="Times New Roman"/>
                <w:color w:val="auto"/>
                <w:sz w:val="21"/>
                <w:szCs w:val="21"/>
                <w:u w:val="none" w:color="auto"/>
                <w:lang w:val="en-US" w:eastAsia="zh-CN"/>
              </w:rPr>
              <w:t>未对</w:t>
            </w:r>
            <w:r>
              <w:rPr>
                <w:rFonts w:hint="eastAsia" w:cs="Times New Roman"/>
                <w:color w:val="auto"/>
                <w:sz w:val="21"/>
                <w:szCs w:val="21"/>
                <w:u w:val="none" w:color="auto"/>
              </w:rPr>
              <w:t>两江口水库饮用水水源保护区</w:t>
            </w:r>
            <w:r>
              <w:rPr>
                <w:rFonts w:hint="eastAsia" w:cs="Times New Roman"/>
                <w:color w:val="auto"/>
                <w:sz w:val="21"/>
                <w:szCs w:val="21"/>
                <w:u w:val="none" w:color="auto"/>
                <w:lang w:val="en-US" w:eastAsia="zh-CN"/>
              </w:rPr>
              <w:t>产生影响</w:t>
            </w:r>
            <w:r>
              <w:rPr>
                <w:rFonts w:hint="eastAsia" w:eastAsia="宋体" w:cs="Times New Roman"/>
                <w:color w:val="auto"/>
                <w:sz w:val="21"/>
                <w:szCs w:val="21"/>
                <w:u w:val="none" w:color="auto"/>
                <w:lang w:val="en-US" w:eastAsia="zh-CN"/>
              </w:rPr>
              <w:t>。</w:t>
            </w:r>
            <w:r>
              <w:rPr>
                <w:rFonts w:hint="eastAsia" w:cs="Times New Roman"/>
                <w:color w:val="auto"/>
                <w:sz w:val="21"/>
                <w:szCs w:val="21"/>
                <w:u w:val="none" w:color="auto"/>
              </w:rPr>
              <w:t>合理安排施工时间，</w:t>
            </w:r>
            <w:r>
              <w:rPr>
                <w:rFonts w:hint="eastAsia" w:cs="Times New Roman"/>
                <w:color w:val="auto"/>
                <w:sz w:val="21"/>
                <w:szCs w:val="21"/>
                <w:u w:val="none" w:color="auto"/>
                <w:lang w:val="en-US" w:eastAsia="zh-CN"/>
              </w:rPr>
              <w:t>未发生</w:t>
            </w:r>
            <w:r>
              <w:rPr>
                <w:rFonts w:hint="eastAsia" w:cs="Times New Roman"/>
                <w:color w:val="auto"/>
                <w:sz w:val="21"/>
                <w:szCs w:val="21"/>
                <w:u w:val="none" w:color="auto"/>
              </w:rPr>
              <w:t>噪声扰民</w:t>
            </w:r>
            <w:r>
              <w:rPr>
                <w:rFonts w:hint="eastAsia" w:cs="Times New Roman"/>
                <w:color w:val="auto"/>
                <w:sz w:val="21"/>
                <w:szCs w:val="21"/>
                <w:u w:val="none" w:color="auto"/>
                <w:lang w:val="en-US" w:eastAsia="zh-CN"/>
              </w:rPr>
              <w:t>情况</w:t>
            </w:r>
            <w:r>
              <w:rPr>
                <w:rFonts w:hint="eastAsia" w:cs="Times New Roman"/>
                <w:color w:val="auto"/>
                <w:sz w:val="21"/>
                <w:szCs w:val="21"/>
                <w:u w:val="none" w:color="auto"/>
              </w:rPr>
              <w:t>。</w:t>
            </w:r>
          </w:p>
          <w:p>
            <w:pPr>
              <w:pStyle w:val="3674"/>
              <w:spacing w:line="240" w:lineRule="auto"/>
              <w:ind w:firstLine="0" w:firstLineChars="0"/>
              <w:rPr>
                <w:rFonts w:hint="eastAsia" w:eastAsia="宋体" w:cs="Times New Roman"/>
                <w:color w:val="auto"/>
                <w:sz w:val="21"/>
                <w:szCs w:val="21"/>
                <w:u w:val="none" w:color="auto"/>
                <w:lang w:val="en-US" w:eastAsia="zh-CN"/>
              </w:rPr>
            </w:pPr>
          </w:p>
        </w:tc>
        <w:tc>
          <w:tcPr>
            <w:tcW w:w="742" w:type="pct"/>
            <w:vAlign w:val="center"/>
          </w:tcPr>
          <w:p>
            <w:pPr>
              <w:pStyle w:val="3674"/>
              <w:spacing w:line="240" w:lineRule="auto"/>
              <w:ind w:firstLine="0" w:firstLineChars="0"/>
              <w:jc w:val="center"/>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1.对道路边坡裸露区域和临时堆土进行全面覆盖，对边坡溜渣区域补充临时拦挡措施。</w:t>
            </w:r>
          </w:p>
          <w:p>
            <w:pPr>
              <w:pStyle w:val="3674"/>
              <w:spacing w:line="240" w:lineRule="auto"/>
              <w:ind w:firstLine="0" w:firstLineChars="0"/>
              <w:jc w:val="center"/>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2.对风机平台采取覆盖和生态复绿措施，减少水土流失。</w:t>
            </w:r>
          </w:p>
          <w:p>
            <w:pPr>
              <w:pStyle w:val="3674"/>
              <w:spacing w:line="240" w:lineRule="auto"/>
              <w:ind w:firstLine="0" w:firstLineChars="0"/>
              <w:jc w:val="center"/>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3.对弃渣场进行足次碾压，周边布设截排水沟，及时复绿。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3" w:hRule="atLeast"/>
          <w:jc w:val="center"/>
        </w:trPr>
        <w:tc>
          <w:tcPr>
            <w:tcW w:w="230" w:type="pct"/>
            <w:vAlign w:val="center"/>
          </w:tcPr>
          <w:p>
            <w:pPr>
              <w:pStyle w:val="3674"/>
              <w:spacing w:line="240" w:lineRule="auto"/>
              <w:ind w:firstLine="0" w:firstLineChars="0"/>
              <w:jc w:val="center"/>
              <w:rPr>
                <w:rFonts w:hint="eastAsia" w:eastAsia="宋体" w:cs="Times New Roman"/>
                <w:color w:val="auto"/>
                <w:sz w:val="21"/>
                <w:szCs w:val="21"/>
                <w:u w:val="none" w:color="auto"/>
                <w:lang w:val="en-US" w:eastAsia="zh-CN"/>
              </w:rPr>
            </w:pPr>
            <w:bookmarkStart w:id="36" w:name="_Toc9961"/>
            <w:r>
              <w:rPr>
                <w:rFonts w:hint="eastAsia" w:cs="Times New Roman"/>
                <w:color w:val="auto"/>
                <w:sz w:val="21"/>
                <w:szCs w:val="21"/>
                <w:u w:val="none" w:color="auto"/>
                <w:lang w:val="en-US" w:eastAsia="zh-CN"/>
              </w:rPr>
              <w:t>3</w:t>
            </w:r>
          </w:p>
        </w:tc>
        <w:tc>
          <w:tcPr>
            <w:tcW w:w="2086" w:type="pct"/>
            <w:vAlign w:val="center"/>
          </w:tcPr>
          <w:p>
            <w:pPr>
              <w:pStyle w:val="3674"/>
              <w:spacing w:line="240" w:lineRule="auto"/>
              <w:ind w:firstLine="0" w:firstLineChars="0"/>
              <w:jc w:val="left"/>
              <w:rPr>
                <w:rFonts w:hint="eastAsia" w:cs="Times New Roman"/>
                <w:color w:val="auto"/>
                <w:sz w:val="21"/>
                <w:szCs w:val="21"/>
                <w:u w:val="none" w:color="auto"/>
              </w:rPr>
            </w:pPr>
            <w:r>
              <w:rPr>
                <w:rFonts w:hint="eastAsia" w:cs="Times New Roman"/>
                <w:color w:val="auto"/>
                <w:sz w:val="21"/>
                <w:szCs w:val="21"/>
                <w:u w:val="none" w:color="auto"/>
              </w:rPr>
              <w:t>落实运营期环保措施。落实鸟类保护措施，艳化风机叶面，采取其他措施等尽量减少对鸟类的影响。汇集站的污水经配套的生活污水处理系统处理达标后用于站区及周边绿化，不外排。生活垃圾及时清运妥善处置。做好风电机组、箱式变压器的检查维护，设置事故集油池预防漏油风险，产生的废油、废蓄电池等属于危险废物，必须按照《危险废物贮存污染控制标准》（GB18597-2001）及修改清单中的要求，收集、暂存并定期交由具有处理资质的单位处置；风电场、汇集站厂界噪声等执行《工业企业厂界环境噪声排放标准》（GB12348-2008）中2类标准。站界工频电场强度、工频磁感应强度等执行《电磁环境控制限值》(GB8702-2014)中相应限值。落实各项降噪措施减少风电场运行的噪声影响，做到噪声不扰民。</w:t>
            </w:r>
          </w:p>
        </w:tc>
        <w:tc>
          <w:tcPr>
            <w:tcW w:w="1940" w:type="pct"/>
            <w:vAlign w:val="center"/>
          </w:tcPr>
          <w:p>
            <w:pPr>
              <w:pStyle w:val="3674"/>
              <w:spacing w:line="240" w:lineRule="auto"/>
              <w:ind w:firstLine="0" w:firstLineChars="0"/>
              <w:rPr>
                <w:rFonts w:hint="default"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采取了</w:t>
            </w:r>
            <w:r>
              <w:rPr>
                <w:rFonts w:hint="eastAsia" w:cs="Times New Roman"/>
                <w:color w:val="auto"/>
                <w:sz w:val="21"/>
                <w:szCs w:val="21"/>
                <w:u w:val="none" w:color="auto"/>
              </w:rPr>
              <w:t>鸟类保护措施，</w:t>
            </w:r>
            <w:r>
              <w:rPr>
                <w:rFonts w:hint="eastAsia" w:cs="Times New Roman"/>
                <w:color w:val="auto"/>
                <w:sz w:val="21"/>
                <w:szCs w:val="21"/>
                <w:u w:val="none" w:color="auto"/>
                <w:lang w:val="en-US" w:eastAsia="zh-CN"/>
              </w:rPr>
              <w:t>未发生鸟类撞击事件</w:t>
            </w:r>
            <w:r>
              <w:rPr>
                <w:rFonts w:hint="eastAsia" w:cs="Times New Roman"/>
                <w:color w:val="auto"/>
                <w:sz w:val="21"/>
                <w:szCs w:val="21"/>
                <w:u w:val="none" w:color="auto"/>
              </w:rPr>
              <w:t>。汇集站的污水经配套的生活污水处理系统处理达标后用于站区及周边绿化，不外排。生活垃圾及时清运妥善处置。</w:t>
            </w:r>
            <w:r>
              <w:rPr>
                <w:rFonts w:hint="eastAsia" w:cs="Times New Roman"/>
                <w:color w:val="auto"/>
                <w:sz w:val="21"/>
                <w:szCs w:val="21"/>
                <w:u w:val="none" w:color="auto"/>
                <w:lang w:val="en-US" w:eastAsia="zh-CN"/>
              </w:rPr>
              <w:t>汇集站主变压器和</w:t>
            </w:r>
            <w:r>
              <w:rPr>
                <w:rFonts w:hint="eastAsia" w:cs="Times New Roman"/>
                <w:color w:val="auto"/>
                <w:sz w:val="21"/>
                <w:szCs w:val="21"/>
                <w:u w:val="none" w:color="auto"/>
              </w:rPr>
              <w:t>风机箱式变压器设置</w:t>
            </w:r>
            <w:r>
              <w:rPr>
                <w:rFonts w:hint="eastAsia" w:cs="Times New Roman"/>
                <w:color w:val="auto"/>
                <w:sz w:val="21"/>
                <w:szCs w:val="21"/>
                <w:u w:val="none" w:color="auto"/>
                <w:lang w:val="en-US" w:eastAsia="zh-CN"/>
              </w:rPr>
              <w:t>了</w:t>
            </w:r>
            <w:r>
              <w:rPr>
                <w:rFonts w:hint="eastAsia" w:cs="Times New Roman"/>
                <w:color w:val="auto"/>
                <w:sz w:val="21"/>
                <w:szCs w:val="21"/>
                <w:u w:val="none" w:color="auto"/>
              </w:rPr>
              <w:t>事故集油池预防漏油风险</w:t>
            </w:r>
            <w:r>
              <w:rPr>
                <w:rFonts w:hint="eastAsia" w:cs="Times New Roman"/>
                <w:color w:val="auto"/>
                <w:sz w:val="21"/>
                <w:szCs w:val="21"/>
                <w:u w:val="none" w:color="auto"/>
                <w:lang w:eastAsia="zh-CN"/>
              </w:rPr>
              <w:t>。</w:t>
            </w:r>
            <w:r>
              <w:rPr>
                <w:rFonts w:hint="eastAsia" w:cs="Times New Roman"/>
                <w:color w:val="auto"/>
                <w:sz w:val="21"/>
                <w:szCs w:val="21"/>
                <w:u w:val="none" w:color="auto"/>
                <w:lang w:val="en-US" w:eastAsia="zh-CN"/>
              </w:rPr>
              <w:t>汇集站建设了危废暂存间，暂未产生</w:t>
            </w:r>
            <w:r>
              <w:rPr>
                <w:rFonts w:hint="eastAsia" w:cs="Times New Roman"/>
                <w:color w:val="auto"/>
                <w:sz w:val="21"/>
                <w:szCs w:val="21"/>
                <w:u w:val="none" w:color="auto"/>
              </w:rPr>
              <w:t>废油、废蓄电池</w:t>
            </w:r>
            <w:r>
              <w:rPr>
                <w:rFonts w:hint="eastAsia" w:cs="Times New Roman"/>
                <w:color w:val="auto"/>
                <w:sz w:val="21"/>
                <w:szCs w:val="21"/>
                <w:u w:val="none" w:color="auto"/>
                <w:lang w:val="en-US" w:eastAsia="zh-CN"/>
              </w:rPr>
              <w:t>等危险废物。经现状监测，</w:t>
            </w:r>
            <w:r>
              <w:rPr>
                <w:rFonts w:hint="eastAsia" w:cs="Times New Roman"/>
                <w:color w:val="auto"/>
                <w:sz w:val="21"/>
                <w:szCs w:val="21"/>
                <w:u w:val="none" w:color="auto"/>
              </w:rPr>
              <w:t>汇集站厂界噪声</w:t>
            </w:r>
            <w:r>
              <w:rPr>
                <w:rFonts w:hint="eastAsia" w:cs="Times New Roman"/>
                <w:color w:val="auto"/>
                <w:sz w:val="21"/>
                <w:szCs w:val="21"/>
                <w:u w:val="none" w:color="auto"/>
                <w:lang w:val="en-US" w:eastAsia="zh-CN"/>
              </w:rPr>
              <w:t>符合</w:t>
            </w:r>
            <w:r>
              <w:rPr>
                <w:rFonts w:hint="eastAsia" w:cs="Times New Roman"/>
                <w:color w:val="auto"/>
                <w:sz w:val="21"/>
                <w:szCs w:val="21"/>
                <w:u w:val="none" w:color="auto"/>
              </w:rPr>
              <w:t>《工业企业厂界环境噪声排放标准》（GB12348-2008）中2类标准</w:t>
            </w:r>
            <w:r>
              <w:rPr>
                <w:rFonts w:hint="eastAsia" w:cs="Times New Roman"/>
                <w:color w:val="auto"/>
                <w:sz w:val="21"/>
                <w:szCs w:val="21"/>
                <w:u w:val="none" w:color="auto"/>
                <w:lang w:eastAsia="zh-CN"/>
              </w:rPr>
              <w:t>，</w:t>
            </w:r>
            <w:r>
              <w:rPr>
                <w:rFonts w:hint="eastAsia" w:cs="Times New Roman"/>
                <w:color w:val="auto"/>
                <w:sz w:val="21"/>
                <w:szCs w:val="21"/>
                <w:u w:val="none" w:color="auto"/>
              </w:rPr>
              <w:t>站界工频电场强度、工频磁感应强度</w:t>
            </w:r>
            <w:r>
              <w:rPr>
                <w:rFonts w:hint="eastAsia" w:cs="Times New Roman"/>
                <w:color w:val="auto"/>
                <w:sz w:val="21"/>
                <w:szCs w:val="21"/>
                <w:u w:val="none" w:color="auto"/>
                <w:lang w:val="en-US" w:eastAsia="zh-CN"/>
              </w:rPr>
              <w:t>符合</w:t>
            </w:r>
            <w:r>
              <w:rPr>
                <w:rFonts w:hint="eastAsia" w:cs="Times New Roman"/>
                <w:color w:val="auto"/>
                <w:sz w:val="21"/>
                <w:szCs w:val="21"/>
                <w:u w:val="none" w:color="auto"/>
              </w:rPr>
              <w:t>《电磁环境控制限值》(GB8702-2014)中相应限值</w:t>
            </w:r>
            <w:r>
              <w:rPr>
                <w:rFonts w:hint="eastAsia" w:cs="Times New Roman"/>
                <w:color w:val="auto"/>
                <w:sz w:val="21"/>
                <w:szCs w:val="21"/>
                <w:u w:val="none" w:color="auto"/>
                <w:lang w:eastAsia="zh-CN"/>
              </w:rPr>
              <w:t>。</w:t>
            </w:r>
            <w:r>
              <w:rPr>
                <w:rFonts w:hint="eastAsia" w:cs="Times New Roman"/>
                <w:color w:val="auto"/>
                <w:sz w:val="21"/>
                <w:szCs w:val="21"/>
                <w:u w:val="none" w:color="auto"/>
                <w:lang w:val="en-US" w:eastAsia="zh-CN"/>
              </w:rPr>
              <w:t>经现状监测，风机和汇集站周边敏感点噪声达标。</w:t>
            </w:r>
          </w:p>
        </w:tc>
        <w:tc>
          <w:tcPr>
            <w:tcW w:w="742" w:type="pct"/>
            <w:vAlign w:val="center"/>
          </w:tcPr>
          <w:p>
            <w:pPr>
              <w:pStyle w:val="3674"/>
              <w:spacing w:line="240" w:lineRule="auto"/>
              <w:ind w:firstLine="0" w:firstLineChars="0"/>
              <w:jc w:val="center"/>
              <w:rPr>
                <w:rFonts w:hint="eastAsia"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3" w:hRule="atLeast"/>
          <w:jc w:val="center"/>
        </w:trPr>
        <w:tc>
          <w:tcPr>
            <w:tcW w:w="230" w:type="pct"/>
            <w:vAlign w:val="center"/>
          </w:tcPr>
          <w:p>
            <w:pPr>
              <w:pStyle w:val="3674"/>
              <w:spacing w:line="240" w:lineRule="auto"/>
              <w:ind w:firstLine="0" w:firstLineChars="0"/>
              <w:jc w:val="center"/>
              <w:rPr>
                <w:rFonts w:hint="eastAsia"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4</w:t>
            </w:r>
          </w:p>
        </w:tc>
        <w:tc>
          <w:tcPr>
            <w:tcW w:w="2086" w:type="pct"/>
            <w:vAlign w:val="center"/>
          </w:tcPr>
          <w:p>
            <w:pPr>
              <w:pStyle w:val="3674"/>
              <w:spacing w:line="240" w:lineRule="auto"/>
              <w:ind w:firstLine="0" w:firstLineChars="0"/>
              <w:jc w:val="left"/>
              <w:rPr>
                <w:rFonts w:hint="eastAsia" w:cs="Times New Roman"/>
                <w:color w:val="auto"/>
                <w:sz w:val="21"/>
                <w:szCs w:val="21"/>
                <w:u w:val="none" w:color="auto"/>
              </w:rPr>
            </w:pPr>
            <w:r>
              <w:rPr>
                <w:rFonts w:hint="eastAsia" w:cs="Times New Roman"/>
                <w:color w:val="auto"/>
                <w:sz w:val="21"/>
                <w:szCs w:val="21"/>
                <w:u w:val="none" w:color="auto"/>
              </w:rPr>
              <w:t>配合做好周边控规工作。公司应配合当地政府及有关主管部门做好相关规划用地，在本工程区域5MW风机平台边界外300米范围内禁止规划新建居民点、学校、幼儿园等噪声敏感建筑物。</w:t>
            </w:r>
          </w:p>
        </w:tc>
        <w:tc>
          <w:tcPr>
            <w:tcW w:w="1940" w:type="pct"/>
            <w:vAlign w:val="center"/>
          </w:tcPr>
          <w:p>
            <w:pPr>
              <w:pStyle w:val="3674"/>
              <w:spacing w:line="240" w:lineRule="auto"/>
              <w:ind w:firstLine="0" w:firstLineChars="0"/>
              <w:rPr>
                <w:rFonts w:cs="Times New Roman"/>
                <w:color w:val="auto"/>
                <w:sz w:val="21"/>
                <w:szCs w:val="21"/>
                <w:u w:val="none" w:color="auto"/>
              </w:rPr>
            </w:pPr>
            <w:r>
              <w:rPr>
                <w:rFonts w:hint="eastAsia" w:cs="Times New Roman"/>
                <w:color w:val="auto"/>
                <w:sz w:val="21"/>
                <w:szCs w:val="21"/>
                <w:u w:val="none" w:color="auto"/>
              </w:rPr>
              <w:t>配合做好周边控规工作。本工程区域5MW风机平台边界外300米范围内</w:t>
            </w:r>
            <w:r>
              <w:rPr>
                <w:rFonts w:hint="eastAsia" w:cs="Times New Roman"/>
                <w:color w:val="auto"/>
                <w:sz w:val="21"/>
                <w:szCs w:val="21"/>
                <w:u w:val="none" w:color="auto"/>
                <w:lang w:val="en-US" w:eastAsia="zh-CN"/>
              </w:rPr>
              <w:t>未</w:t>
            </w:r>
            <w:r>
              <w:rPr>
                <w:rFonts w:hint="eastAsia" w:cs="Times New Roman"/>
                <w:color w:val="auto"/>
                <w:sz w:val="21"/>
                <w:szCs w:val="21"/>
                <w:u w:val="none" w:color="auto"/>
              </w:rPr>
              <w:t>新建居民点、学校、幼儿园等噪声敏感建筑物。</w:t>
            </w:r>
          </w:p>
        </w:tc>
        <w:tc>
          <w:tcPr>
            <w:tcW w:w="742" w:type="pct"/>
            <w:vAlign w:val="center"/>
          </w:tcPr>
          <w:p>
            <w:pPr>
              <w:pStyle w:val="3674"/>
              <w:spacing w:line="240" w:lineRule="auto"/>
              <w:ind w:firstLine="0" w:firstLineChars="0"/>
              <w:jc w:val="center"/>
              <w:rPr>
                <w:rFonts w:hint="eastAsia"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3" w:hRule="atLeast"/>
          <w:jc w:val="center"/>
        </w:trPr>
        <w:tc>
          <w:tcPr>
            <w:tcW w:w="230" w:type="pct"/>
            <w:vAlign w:val="center"/>
          </w:tcPr>
          <w:p>
            <w:pPr>
              <w:pStyle w:val="3674"/>
              <w:spacing w:line="240" w:lineRule="auto"/>
              <w:ind w:firstLine="0" w:firstLineChars="0"/>
              <w:jc w:val="center"/>
              <w:rPr>
                <w:rFonts w:hint="eastAsia"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5</w:t>
            </w:r>
          </w:p>
        </w:tc>
        <w:tc>
          <w:tcPr>
            <w:tcW w:w="2086" w:type="pct"/>
            <w:vAlign w:val="center"/>
          </w:tcPr>
          <w:p>
            <w:pPr>
              <w:pStyle w:val="3674"/>
              <w:spacing w:line="240" w:lineRule="auto"/>
              <w:ind w:firstLine="0" w:firstLineChars="0"/>
              <w:jc w:val="left"/>
              <w:rPr>
                <w:rFonts w:hint="eastAsia" w:cs="Times New Roman"/>
                <w:color w:val="auto"/>
                <w:sz w:val="21"/>
                <w:szCs w:val="21"/>
                <w:u w:val="none" w:color="auto"/>
              </w:rPr>
            </w:pPr>
            <w:r>
              <w:rPr>
                <w:rFonts w:hint="eastAsia" w:cs="Times New Roman"/>
                <w:color w:val="auto"/>
                <w:sz w:val="21"/>
                <w:szCs w:val="21"/>
                <w:u w:val="none" w:color="auto"/>
              </w:rPr>
              <w:t>加强环境管理。项目施工、运行过程中，若对周边环境保护目标的环境影响超出报告表中预测结果，应及时采取停止施工、停止运行相应风机等措施。</w:t>
            </w:r>
          </w:p>
        </w:tc>
        <w:tc>
          <w:tcPr>
            <w:tcW w:w="1940" w:type="pct"/>
            <w:vAlign w:val="center"/>
          </w:tcPr>
          <w:p>
            <w:pPr>
              <w:pStyle w:val="3674"/>
              <w:spacing w:line="240" w:lineRule="auto"/>
              <w:ind w:firstLine="0" w:firstLineChars="0"/>
              <w:rPr>
                <w:rFonts w:cs="Times New Roman"/>
                <w:color w:val="auto"/>
                <w:sz w:val="21"/>
                <w:szCs w:val="21"/>
                <w:u w:val="none" w:color="auto"/>
              </w:rPr>
            </w:pPr>
            <w:r>
              <w:rPr>
                <w:rFonts w:hint="eastAsia" w:cs="Times New Roman"/>
                <w:color w:val="auto"/>
                <w:sz w:val="21"/>
                <w:szCs w:val="21"/>
                <w:u w:val="none" w:color="auto"/>
                <w:lang w:val="en-US" w:eastAsia="zh-CN"/>
              </w:rPr>
              <w:t>运营期间建设单位将</w:t>
            </w:r>
            <w:r>
              <w:rPr>
                <w:rFonts w:hint="eastAsia" w:cs="Times New Roman"/>
                <w:color w:val="auto"/>
                <w:sz w:val="21"/>
                <w:szCs w:val="21"/>
                <w:u w:val="none" w:color="auto"/>
              </w:rPr>
              <w:t>加强环境管理。项目施工、运行过程中，若对周边环境保护目标的环境影响超出报告表中预测结果，</w:t>
            </w:r>
            <w:r>
              <w:rPr>
                <w:rFonts w:hint="eastAsia" w:cs="Times New Roman"/>
                <w:color w:val="auto"/>
                <w:sz w:val="21"/>
                <w:szCs w:val="21"/>
                <w:u w:val="none" w:color="auto"/>
                <w:lang w:val="en-US" w:eastAsia="zh-CN"/>
              </w:rPr>
              <w:t>将</w:t>
            </w:r>
            <w:r>
              <w:rPr>
                <w:rFonts w:hint="eastAsia" w:cs="Times New Roman"/>
                <w:color w:val="auto"/>
                <w:sz w:val="21"/>
                <w:szCs w:val="21"/>
                <w:u w:val="none" w:color="auto"/>
              </w:rPr>
              <w:t>及时采取停止施工、停止运行相应风机等措施。</w:t>
            </w:r>
          </w:p>
        </w:tc>
        <w:tc>
          <w:tcPr>
            <w:tcW w:w="742" w:type="pct"/>
            <w:vAlign w:val="center"/>
          </w:tcPr>
          <w:p>
            <w:pPr>
              <w:pStyle w:val="3674"/>
              <w:spacing w:line="240" w:lineRule="auto"/>
              <w:ind w:firstLine="0" w:firstLineChars="0"/>
              <w:jc w:val="center"/>
              <w:rPr>
                <w:rFonts w:hint="eastAsia"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3" w:hRule="atLeast"/>
          <w:jc w:val="center"/>
        </w:trPr>
        <w:tc>
          <w:tcPr>
            <w:tcW w:w="230" w:type="pct"/>
            <w:vAlign w:val="center"/>
          </w:tcPr>
          <w:p>
            <w:pPr>
              <w:pStyle w:val="3674"/>
              <w:spacing w:line="240" w:lineRule="auto"/>
              <w:ind w:firstLine="0" w:firstLineChars="0"/>
              <w:jc w:val="center"/>
              <w:rPr>
                <w:rFonts w:hint="eastAsia"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6</w:t>
            </w:r>
          </w:p>
        </w:tc>
        <w:tc>
          <w:tcPr>
            <w:tcW w:w="2086" w:type="pct"/>
            <w:vAlign w:val="center"/>
          </w:tcPr>
          <w:p>
            <w:pPr>
              <w:pStyle w:val="3674"/>
              <w:spacing w:line="240" w:lineRule="auto"/>
              <w:ind w:firstLine="0" w:firstLineChars="0"/>
              <w:jc w:val="left"/>
              <w:rPr>
                <w:rFonts w:hint="eastAsia" w:cs="Times New Roman"/>
                <w:color w:val="auto"/>
                <w:sz w:val="21"/>
                <w:szCs w:val="21"/>
                <w:u w:val="none" w:color="auto"/>
              </w:rPr>
            </w:pPr>
            <w:r>
              <w:rPr>
                <w:rFonts w:hint="eastAsia" w:cs="Times New Roman"/>
                <w:color w:val="auto"/>
                <w:sz w:val="21"/>
                <w:szCs w:val="21"/>
                <w:u w:val="none" w:color="auto"/>
              </w:rPr>
              <w:t>维护社会稳定。落实事故风险防范措施，通过宣传和教育等方式，强化项目人员的环保意识，在工程涉及的区域和敏感点设置警示牌和保护标志。加强对项目附近环境敏感点的环境保护，处理好与周边的关系，防止周边群众因环保诉求而引发矛盾，自觉维护社会稳定。</w:t>
            </w:r>
          </w:p>
        </w:tc>
        <w:tc>
          <w:tcPr>
            <w:tcW w:w="1940" w:type="pct"/>
            <w:vAlign w:val="center"/>
          </w:tcPr>
          <w:p>
            <w:pPr>
              <w:pStyle w:val="3674"/>
              <w:spacing w:line="240" w:lineRule="auto"/>
              <w:ind w:firstLine="0" w:firstLineChars="0"/>
              <w:rPr>
                <w:rFonts w:cs="Times New Roman"/>
                <w:color w:val="auto"/>
                <w:sz w:val="21"/>
                <w:szCs w:val="21"/>
                <w:u w:val="none" w:color="auto"/>
              </w:rPr>
            </w:pPr>
            <w:r>
              <w:rPr>
                <w:rFonts w:hint="eastAsia" w:cs="Times New Roman"/>
                <w:color w:val="auto"/>
                <w:sz w:val="21"/>
                <w:szCs w:val="21"/>
                <w:u w:val="none" w:color="auto"/>
                <w:lang w:val="en-US" w:eastAsia="zh-CN"/>
              </w:rPr>
              <w:t>运营期间建设单位将</w:t>
            </w:r>
            <w:r>
              <w:rPr>
                <w:rFonts w:hint="eastAsia" w:cs="Times New Roman"/>
                <w:color w:val="auto"/>
                <w:sz w:val="21"/>
                <w:szCs w:val="21"/>
                <w:u w:val="none" w:color="auto"/>
              </w:rPr>
              <w:t>落实事故风险防范措施，通过宣传和教育等方式，强化项目人员的环保意识，在工程涉及的区域和敏感点设置警示牌和保护标志。加强对项目附近环境敏感点的环境保护，处理好与周边的关系，防止周边群众因环保诉求而引发矛盾，自觉维护社会稳定。</w:t>
            </w:r>
          </w:p>
        </w:tc>
        <w:tc>
          <w:tcPr>
            <w:tcW w:w="742" w:type="pct"/>
            <w:vAlign w:val="center"/>
          </w:tcPr>
          <w:p>
            <w:pPr>
              <w:pStyle w:val="3674"/>
              <w:spacing w:line="240" w:lineRule="auto"/>
              <w:ind w:firstLine="0" w:firstLineChars="0"/>
              <w:jc w:val="center"/>
              <w:rPr>
                <w:rFonts w:hint="eastAsia"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w:t>
            </w:r>
          </w:p>
        </w:tc>
      </w:tr>
    </w:tbl>
    <w:p>
      <w:pPr>
        <w:autoSpaceDE w:val="0"/>
        <w:autoSpaceDN w:val="0"/>
        <w:adjustRightInd w:val="0"/>
        <w:snapToGrid w:val="0"/>
        <w:ind w:firstLine="480"/>
        <w:rPr>
          <w:rFonts w:hint="eastAsia"/>
          <w:color w:val="auto"/>
          <w:kern w:val="0"/>
          <w:u w:val="none" w:color="auto"/>
          <w:lang w:val="en-US" w:eastAsia="zh-CN"/>
        </w:rPr>
        <w:sectPr>
          <w:pgSz w:w="16838" w:h="11905" w:orient="landscape"/>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3" w:charSpace="0"/>
        </w:sectPr>
      </w:pPr>
    </w:p>
    <w:p>
      <w:pPr>
        <w:autoSpaceDE w:val="0"/>
        <w:autoSpaceDN w:val="0"/>
        <w:adjustRightInd w:val="0"/>
        <w:snapToGrid w:val="0"/>
        <w:ind w:firstLine="480"/>
        <w:rPr>
          <w:b/>
          <w:bCs/>
          <w:color w:val="auto"/>
          <w:kern w:val="0"/>
          <w:u w:val="none" w:color="auto"/>
        </w:rPr>
      </w:pPr>
      <w:r>
        <w:rPr>
          <w:rFonts w:hint="eastAsia"/>
          <w:b/>
          <w:bCs/>
          <w:color w:val="auto"/>
          <w:kern w:val="0"/>
          <w:u w:val="none" w:color="auto"/>
          <w:lang w:val="en-US" w:eastAsia="zh-CN"/>
        </w:rPr>
        <w:t>3、已建工程</w:t>
      </w:r>
      <w:r>
        <w:rPr>
          <w:rFonts w:hint="eastAsia"/>
          <w:b/>
          <w:bCs/>
          <w:color w:val="auto"/>
          <w:kern w:val="0"/>
          <w:u w:val="none" w:color="auto"/>
        </w:rPr>
        <w:t>存在的</w:t>
      </w:r>
      <w:r>
        <w:rPr>
          <w:rFonts w:hint="eastAsia"/>
          <w:b/>
          <w:bCs/>
          <w:color w:val="auto"/>
          <w:kern w:val="0"/>
          <w:u w:val="none" w:color="auto"/>
          <w:lang w:val="en-US" w:eastAsia="zh-CN"/>
        </w:rPr>
        <w:t>环境</w:t>
      </w:r>
      <w:r>
        <w:rPr>
          <w:rFonts w:hint="eastAsia"/>
          <w:b/>
          <w:bCs/>
          <w:color w:val="auto"/>
          <w:kern w:val="0"/>
          <w:u w:val="none" w:color="auto"/>
        </w:rPr>
        <w:t>问题及整改建议</w:t>
      </w:r>
    </w:p>
    <w:p>
      <w:pPr>
        <w:autoSpaceDE w:val="0"/>
        <w:autoSpaceDN w:val="0"/>
        <w:adjustRightInd w:val="0"/>
        <w:snapToGrid w:val="0"/>
        <w:ind w:firstLine="480"/>
        <w:rPr>
          <w:color w:val="auto"/>
          <w:kern w:val="0"/>
          <w:highlight w:val="yellow"/>
          <w:u w:val="none" w:color="auto"/>
        </w:rPr>
      </w:pPr>
      <w:r>
        <w:rPr>
          <w:rFonts w:hint="eastAsia"/>
          <w:color w:val="auto"/>
          <w:kern w:val="0"/>
          <w:u w:val="none" w:color="auto"/>
          <w:lang w:val="en-US" w:eastAsia="zh-CN"/>
        </w:rPr>
        <w:t>已建工程存在的环境</w:t>
      </w:r>
      <w:r>
        <w:rPr>
          <w:rFonts w:hint="eastAsia"/>
          <w:color w:val="auto"/>
          <w:kern w:val="0"/>
          <w:u w:val="none" w:color="auto"/>
        </w:rPr>
        <w:t>问题及整改</w:t>
      </w:r>
      <w:r>
        <w:rPr>
          <w:rFonts w:hint="eastAsia"/>
          <w:color w:val="auto"/>
          <w:kern w:val="0"/>
          <w:u w:val="none" w:color="auto"/>
          <w:lang w:val="en-US" w:eastAsia="zh-CN"/>
        </w:rPr>
        <w:t>要求</w:t>
      </w:r>
      <w:r>
        <w:rPr>
          <w:rFonts w:hint="eastAsia"/>
          <w:color w:val="auto"/>
          <w:kern w:val="0"/>
          <w:u w:val="none" w:color="auto"/>
        </w:rPr>
        <w:t>如下：</w:t>
      </w:r>
    </w:p>
    <w:p>
      <w:pPr>
        <w:pStyle w:val="2289"/>
        <w:rPr>
          <w:b/>
          <w:bCs/>
          <w:color w:val="auto"/>
          <w:kern w:val="0"/>
          <w:sz w:val="21"/>
          <w:szCs w:val="21"/>
          <w:u w:val="none" w:color="auto"/>
          <w:lang w:bidi="ar"/>
        </w:rPr>
      </w:pPr>
      <w:r>
        <w:rPr>
          <w:rFonts w:hint="eastAsia"/>
          <w:b/>
          <w:bCs/>
          <w:color w:val="auto"/>
          <w:kern w:val="0"/>
          <w:sz w:val="21"/>
          <w:szCs w:val="21"/>
          <w:u w:val="none" w:color="auto"/>
          <w:lang w:val="en-US" w:eastAsia="zh-CN" w:bidi="ar"/>
        </w:rPr>
        <w:t>已建</w:t>
      </w:r>
      <w:r>
        <w:rPr>
          <w:rFonts w:hint="eastAsia"/>
          <w:b/>
          <w:bCs/>
          <w:color w:val="auto"/>
          <w:kern w:val="0"/>
          <w:sz w:val="21"/>
          <w:szCs w:val="21"/>
          <w:u w:val="none" w:color="auto"/>
          <w:lang w:bidi="ar"/>
        </w:rPr>
        <w:t>风电场</w:t>
      </w:r>
      <w:r>
        <w:rPr>
          <w:rFonts w:hint="eastAsia"/>
          <w:b/>
          <w:bCs/>
          <w:color w:val="auto"/>
          <w:kern w:val="0"/>
          <w:sz w:val="21"/>
          <w:szCs w:val="21"/>
          <w:u w:val="none" w:color="auto"/>
          <w:lang w:val="en-US" w:eastAsia="zh-CN" w:bidi="ar"/>
        </w:rPr>
        <w:t>存在的主要环境问题</w:t>
      </w:r>
    </w:p>
    <w:tbl>
      <w:tblPr>
        <w:tblStyle w:val="88"/>
        <w:tblW w:w="514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652"/>
        <w:gridCol w:w="5081"/>
        <w:gridCol w:w="36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348" w:type="pct"/>
            <w:tcBorders>
              <w:tl2br w:val="nil"/>
              <w:tr2bl w:val="nil"/>
            </w:tcBorders>
            <w:vAlign w:val="center"/>
          </w:tcPr>
          <w:p>
            <w:pPr>
              <w:pStyle w:val="3674"/>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cs="Times New Roman"/>
                <w:b/>
                <w:bCs w:val="0"/>
                <w:color w:val="auto"/>
                <w:sz w:val="21"/>
                <w:szCs w:val="21"/>
                <w:u w:val="none" w:color="auto"/>
              </w:rPr>
            </w:pPr>
            <w:r>
              <w:rPr>
                <w:rFonts w:cs="Times New Roman"/>
                <w:b/>
                <w:bCs w:val="0"/>
                <w:color w:val="auto"/>
                <w:sz w:val="21"/>
                <w:szCs w:val="21"/>
                <w:u w:val="none" w:color="auto"/>
              </w:rPr>
              <w:t>序号</w:t>
            </w:r>
          </w:p>
        </w:tc>
        <w:tc>
          <w:tcPr>
            <w:tcW w:w="2711" w:type="pct"/>
            <w:tcBorders>
              <w:tl2br w:val="nil"/>
              <w:tr2bl w:val="nil"/>
            </w:tcBorders>
            <w:vAlign w:val="center"/>
          </w:tcPr>
          <w:p>
            <w:pPr>
              <w:pStyle w:val="3674"/>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cs="Times New Roman"/>
                <w:b/>
                <w:bCs w:val="0"/>
                <w:color w:val="auto"/>
                <w:sz w:val="21"/>
                <w:szCs w:val="21"/>
                <w:u w:val="none" w:color="auto"/>
              </w:rPr>
            </w:pPr>
            <w:r>
              <w:rPr>
                <w:rFonts w:hint="eastAsia" w:cs="Times New Roman"/>
                <w:b/>
                <w:bCs w:val="0"/>
                <w:color w:val="auto"/>
                <w:sz w:val="21"/>
                <w:szCs w:val="21"/>
                <w:u w:val="none" w:color="auto"/>
              </w:rPr>
              <w:t>建设现状及问题</w:t>
            </w:r>
          </w:p>
        </w:tc>
        <w:tc>
          <w:tcPr>
            <w:tcW w:w="1940" w:type="pct"/>
            <w:tcBorders>
              <w:tl2br w:val="nil"/>
              <w:tr2bl w:val="nil"/>
            </w:tcBorders>
            <w:vAlign w:val="center"/>
          </w:tcPr>
          <w:p>
            <w:pPr>
              <w:pStyle w:val="3674"/>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cs="Times New Roman"/>
                <w:b/>
                <w:bCs w:val="0"/>
                <w:color w:val="auto"/>
                <w:sz w:val="21"/>
                <w:szCs w:val="21"/>
                <w:u w:val="none" w:color="auto"/>
              </w:rPr>
            </w:pPr>
            <w:r>
              <w:rPr>
                <w:rFonts w:hint="eastAsia" w:cs="Times New Roman"/>
                <w:b/>
                <w:bCs w:val="0"/>
                <w:color w:val="auto"/>
                <w:sz w:val="21"/>
                <w:szCs w:val="21"/>
                <w:u w:val="none" w:color="auto"/>
              </w:rPr>
              <w:t>整改计划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473" w:hRule="atLeast"/>
          <w:jc w:val="center"/>
        </w:trPr>
        <w:tc>
          <w:tcPr>
            <w:tcW w:w="348" w:type="pct"/>
            <w:tcBorders>
              <w:tl2br w:val="nil"/>
              <w:tr2bl w:val="nil"/>
            </w:tcBorders>
            <w:vAlign w:val="center"/>
          </w:tcPr>
          <w:p>
            <w:pPr>
              <w:pStyle w:val="3674"/>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cs="Times New Roman"/>
                <w:color w:val="auto"/>
                <w:sz w:val="21"/>
                <w:szCs w:val="21"/>
                <w:u w:val="none" w:color="auto"/>
              </w:rPr>
            </w:pPr>
            <w:r>
              <w:rPr>
                <w:rFonts w:cs="Times New Roman"/>
                <w:color w:val="auto"/>
                <w:sz w:val="21"/>
                <w:szCs w:val="21"/>
                <w:u w:val="none" w:color="auto"/>
              </w:rPr>
              <w:t>1</w:t>
            </w:r>
          </w:p>
        </w:tc>
        <w:tc>
          <w:tcPr>
            <w:tcW w:w="2711" w:type="pct"/>
            <w:tcBorders>
              <w:tl2br w:val="nil"/>
              <w:tr2bl w:val="nil"/>
            </w:tcBorders>
            <w:vAlign w:val="center"/>
          </w:tcPr>
          <w:p>
            <w:pPr>
              <w:pStyle w:val="3674"/>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left"/>
              <w:textAlignment w:val="auto"/>
              <w:rPr>
                <w:rFonts w:cs="Times New Roman"/>
                <w:color w:val="auto"/>
                <w:sz w:val="21"/>
                <w:szCs w:val="21"/>
                <w:u w:val="none" w:color="auto"/>
              </w:rPr>
            </w:pPr>
            <w:r>
              <w:rPr>
                <w:rFonts w:hint="eastAsia" w:cs="Times New Roman"/>
                <w:color w:val="auto"/>
                <w:sz w:val="21"/>
                <w:szCs w:val="21"/>
                <w:u w:val="none" w:color="auto"/>
                <w:lang w:val="en-US" w:eastAsia="zh-CN"/>
              </w:rPr>
              <w:t>风机平台区域未采取临时覆盖和生态复绿措施。</w:t>
            </w:r>
            <w:r>
              <w:rPr>
                <w:rFonts w:cs="Times New Roman"/>
                <w:color w:val="auto"/>
                <w:sz w:val="21"/>
                <w:szCs w:val="21"/>
                <w:u w:val="none" w:color="auto"/>
              </w:rPr>
              <w:t>部分</w:t>
            </w:r>
            <w:r>
              <w:rPr>
                <w:rFonts w:hint="eastAsia" w:cs="Times New Roman"/>
                <w:color w:val="auto"/>
                <w:sz w:val="21"/>
                <w:szCs w:val="21"/>
                <w:u w:val="none" w:color="auto"/>
                <w:lang w:val="en-US" w:eastAsia="zh-CN"/>
              </w:rPr>
              <w:t>道路工程和弃渣场</w:t>
            </w:r>
            <w:r>
              <w:rPr>
                <w:rFonts w:cs="Times New Roman"/>
                <w:color w:val="auto"/>
                <w:sz w:val="21"/>
                <w:szCs w:val="21"/>
                <w:u w:val="none" w:color="auto"/>
              </w:rPr>
              <w:t>未</w:t>
            </w:r>
            <w:r>
              <w:rPr>
                <w:rFonts w:hint="eastAsia" w:cs="Times New Roman"/>
                <w:color w:val="auto"/>
                <w:sz w:val="21"/>
                <w:szCs w:val="21"/>
                <w:u w:val="none" w:color="auto"/>
                <w:lang w:val="en-US" w:eastAsia="zh-CN"/>
              </w:rPr>
              <w:t>及时</w:t>
            </w:r>
            <w:r>
              <w:rPr>
                <w:rFonts w:cs="Times New Roman"/>
                <w:color w:val="auto"/>
                <w:sz w:val="21"/>
                <w:szCs w:val="21"/>
                <w:u w:val="none" w:color="auto"/>
              </w:rPr>
              <w:t>进行植被恢复</w:t>
            </w:r>
            <w:r>
              <w:rPr>
                <w:rFonts w:hint="eastAsia" w:cs="Times New Roman"/>
                <w:color w:val="auto"/>
                <w:sz w:val="21"/>
                <w:szCs w:val="21"/>
                <w:u w:val="none" w:color="auto"/>
                <w:lang w:eastAsia="zh-CN"/>
              </w:rPr>
              <w:t>，</w:t>
            </w:r>
            <w:r>
              <w:rPr>
                <w:rFonts w:cs="Times New Roman"/>
                <w:color w:val="auto"/>
                <w:sz w:val="21"/>
                <w:szCs w:val="21"/>
                <w:u w:val="none" w:color="auto"/>
              </w:rPr>
              <w:t>植物措施林草保存率、覆盖率较低</w:t>
            </w:r>
            <w:r>
              <w:rPr>
                <w:rFonts w:hint="eastAsia" w:cs="Times New Roman"/>
                <w:color w:val="auto"/>
                <w:sz w:val="21"/>
                <w:szCs w:val="21"/>
                <w:u w:val="none" w:color="auto"/>
              </w:rPr>
              <w:t>，</w:t>
            </w:r>
            <w:r>
              <w:rPr>
                <w:rFonts w:cs="Times New Roman"/>
                <w:color w:val="auto"/>
                <w:sz w:val="21"/>
                <w:szCs w:val="21"/>
                <w:u w:val="none" w:color="auto"/>
              </w:rPr>
              <w:t>植物生长欠佳，有裸露表土，</w:t>
            </w:r>
            <w:r>
              <w:rPr>
                <w:rFonts w:hint="eastAsia" w:cs="Times New Roman"/>
                <w:color w:val="auto"/>
                <w:sz w:val="21"/>
                <w:szCs w:val="21"/>
                <w:u w:val="none" w:color="auto"/>
              </w:rPr>
              <w:t>临时</w:t>
            </w:r>
            <w:r>
              <w:rPr>
                <w:rFonts w:cs="Times New Roman"/>
                <w:color w:val="auto"/>
                <w:sz w:val="21"/>
                <w:szCs w:val="21"/>
                <w:u w:val="none" w:color="auto"/>
              </w:rPr>
              <w:t>排水系统不完善</w:t>
            </w:r>
            <w:r>
              <w:rPr>
                <w:rFonts w:hint="eastAsia" w:cs="Times New Roman"/>
                <w:color w:val="auto"/>
                <w:sz w:val="21"/>
                <w:szCs w:val="21"/>
                <w:u w:val="none" w:color="auto"/>
              </w:rPr>
              <w:t>。</w:t>
            </w:r>
          </w:p>
        </w:tc>
        <w:tc>
          <w:tcPr>
            <w:tcW w:w="1940" w:type="pct"/>
            <w:tcBorders>
              <w:tl2br w:val="nil"/>
              <w:tr2bl w:val="nil"/>
            </w:tcBorders>
            <w:vAlign w:val="center"/>
          </w:tcPr>
          <w:p>
            <w:pPr>
              <w:pStyle w:val="3674"/>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cs="Times New Roman"/>
                <w:color w:val="auto"/>
                <w:sz w:val="21"/>
                <w:szCs w:val="21"/>
                <w:u w:val="none" w:color="auto"/>
              </w:rPr>
            </w:pPr>
            <w:r>
              <w:rPr>
                <w:rFonts w:hint="eastAsia" w:cs="Times New Roman"/>
                <w:color w:val="auto"/>
                <w:sz w:val="21"/>
                <w:szCs w:val="21"/>
                <w:u w:val="none" w:color="auto"/>
                <w:lang w:val="en-US" w:eastAsia="zh-CN"/>
              </w:rPr>
              <w:t>对风机平台采取覆盖和生态复绿措施，减少水土流失。</w:t>
            </w:r>
            <w:r>
              <w:rPr>
                <w:rFonts w:hint="eastAsia" w:cs="Times New Roman"/>
                <w:color w:val="auto"/>
                <w:sz w:val="21"/>
                <w:szCs w:val="21"/>
                <w:u w:val="none" w:color="auto"/>
              </w:rPr>
              <w:t>对道路</w:t>
            </w:r>
            <w:r>
              <w:rPr>
                <w:rFonts w:hint="eastAsia" w:cs="Times New Roman"/>
                <w:color w:val="auto"/>
                <w:sz w:val="21"/>
                <w:szCs w:val="21"/>
                <w:u w:val="none" w:color="auto"/>
                <w:lang w:val="en-US" w:eastAsia="zh-CN"/>
              </w:rPr>
              <w:t>边坡</w:t>
            </w:r>
            <w:r>
              <w:rPr>
                <w:rFonts w:hint="eastAsia" w:cs="Times New Roman"/>
                <w:color w:val="auto"/>
                <w:sz w:val="21"/>
                <w:szCs w:val="21"/>
                <w:u w:val="none" w:color="auto"/>
              </w:rPr>
              <w:t>及弃渣场等</w:t>
            </w:r>
            <w:r>
              <w:rPr>
                <w:rFonts w:hint="eastAsia" w:cs="Times New Roman"/>
                <w:color w:val="auto"/>
                <w:sz w:val="21"/>
                <w:szCs w:val="21"/>
                <w:u w:val="none" w:color="auto"/>
                <w:lang w:val="en-US" w:eastAsia="zh-CN"/>
              </w:rPr>
              <w:t>临时工程及时</w:t>
            </w:r>
            <w:r>
              <w:rPr>
                <w:rFonts w:cs="Times New Roman"/>
                <w:color w:val="auto"/>
                <w:sz w:val="21"/>
                <w:szCs w:val="21"/>
                <w:u w:val="none" w:color="auto"/>
              </w:rPr>
              <w:t>进行补植、坡面复绿，提高植被覆盖率，并加强植被养护</w:t>
            </w:r>
            <w:r>
              <w:rPr>
                <w:rFonts w:hint="eastAsia" w:cs="Times New Roman"/>
                <w:color w:val="auto"/>
                <w:sz w:val="21"/>
                <w:szCs w:val="21"/>
                <w:u w:val="none" w:color="auto"/>
              </w:rPr>
              <w:t>；根据水保要求完善排水系统。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651" w:hRule="atLeast"/>
          <w:jc w:val="center"/>
        </w:trPr>
        <w:tc>
          <w:tcPr>
            <w:tcW w:w="348" w:type="pct"/>
            <w:tcBorders>
              <w:tl2br w:val="nil"/>
              <w:tr2bl w:val="nil"/>
            </w:tcBorders>
            <w:vAlign w:val="center"/>
          </w:tcPr>
          <w:p>
            <w:pPr>
              <w:pStyle w:val="3674"/>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cs="Times New Roman"/>
                <w:color w:val="auto"/>
                <w:sz w:val="21"/>
                <w:szCs w:val="21"/>
                <w:u w:val="none" w:color="auto"/>
              </w:rPr>
            </w:pPr>
            <w:r>
              <w:rPr>
                <w:rFonts w:hint="eastAsia" w:cs="Times New Roman"/>
                <w:color w:val="auto"/>
                <w:sz w:val="21"/>
                <w:szCs w:val="21"/>
                <w:u w:val="none" w:color="auto"/>
              </w:rPr>
              <w:t>2</w:t>
            </w:r>
          </w:p>
        </w:tc>
        <w:tc>
          <w:tcPr>
            <w:tcW w:w="2711" w:type="pct"/>
            <w:tcBorders>
              <w:tl2br w:val="nil"/>
              <w:tr2bl w:val="nil"/>
            </w:tcBorders>
            <w:vAlign w:val="center"/>
          </w:tcPr>
          <w:p>
            <w:pPr>
              <w:pStyle w:val="3674"/>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left"/>
              <w:textAlignment w:val="auto"/>
              <w:rPr>
                <w:rFonts w:cs="Times New Roman"/>
                <w:color w:val="auto"/>
                <w:sz w:val="21"/>
                <w:szCs w:val="21"/>
                <w:u w:val="none" w:color="auto"/>
              </w:rPr>
            </w:pPr>
            <w:r>
              <w:rPr>
                <w:rFonts w:hint="eastAsia" w:cs="Times New Roman"/>
                <w:color w:val="auto"/>
                <w:sz w:val="21"/>
                <w:szCs w:val="21"/>
                <w:u w:val="none" w:color="auto"/>
              </w:rPr>
              <w:t>施工初期，施工单位存在施工不规范，弃渣未及时送至弃渣场的情况；该情况导致出现溜渣现象；遇降雨天气有路段出现滑坡现象。目前，部分滑坡路段已进行植被修复，但是</w:t>
            </w:r>
            <w:r>
              <w:rPr>
                <w:rFonts w:cs="Times New Roman"/>
                <w:color w:val="auto"/>
                <w:sz w:val="21"/>
                <w:szCs w:val="21"/>
                <w:u w:val="none" w:color="auto"/>
              </w:rPr>
              <w:t>植物生长欠佳，有</w:t>
            </w:r>
            <w:r>
              <w:rPr>
                <w:rFonts w:hint="eastAsia" w:cs="Times New Roman"/>
                <w:color w:val="auto"/>
                <w:sz w:val="21"/>
                <w:szCs w:val="21"/>
                <w:u w:val="none" w:color="auto"/>
              </w:rPr>
              <w:t>明显</w:t>
            </w:r>
            <w:r>
              <w:rPr>
                <w:rFonts w:cs="Times New Roman"/>
                <w:color w:val="auto"/>
                <w:sz w:val="21"/>
                <w:szCs w:val="21"/>
                <w:u w:val="none" w:color="auto"/>
              </w:rPr>
              <w:t>裸露表土</w:t>
            </w:r>
            <w:r>
              <w:rPr>
                <w:rFonts w:hint="eastAsia" w:cs="Times New Roman"/>
                <w:color w:val="auto"/>
                <w:sz w:val="21"/>
                <w:szCs w:val="21"/>
                <w:u w:val="none" w:color="auto"/>
              </w:rPr>
              <w:t>。弃渣场建设欠规范（无挡墙</w:t>
            </w:r>
            <w:r>
              <w:rPr>
                <w:rFonts w:hint="eastAsia" w:cs="Times New Roman"/>
                <w:color w:val="auto"/>
                <w:sz w:val="21"/>
                <w:szCs w:val="21"/>
                <w:u w:val="none" w:color="auto"/>
                <w:lang w:val="en-US" w:eastAsia="zh-CN"/>
              </w:rPr>
              <w:t>和截水沟</w:t>
            </w:r>
            <w:r>
              <w:rPr>
                <w:rFonts w:hint="eastAsia" w:cs="Times New Roman"/>
                <w:color w:val="auto"/>
                <w:sz w:val="21"/>
                <w:szCs w:val="21"/>
                <w:u w:val="none" w:color="auto"/>
              </w:rPr>
              <w:t>）。</w:t>
            </w:r>
          </w:p>
        </w:tc>
        <w:tc>
          <w:tcPr>
            <w:tcW w:w="1940" w:type="pct"/>
            <w:tcBorders>
              <w:tl2br w:val="nil"/>
              <w:tr2bl w:val="nil"/>
            </w:tcBorders>
            <w:vAlign w:val="center"/>
          </w:tcPr>
          <w:p>
            <w:pPr>
              <w:pStyle w:val="3674"/>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cs="Times New Roman"/>
                <w:color w:val="auto"/>
                <w:sz w:val="21"/>
                <w:szCs w:val="21"/>
                <w:u w:val="none" w:color="auto"/>
              </w:rPr>
            </w:pPr>
            <w:r>
              <w:rPr>
                <w:rFonts w:hint="eastAsia" w:cs="Times New Roman"/>
                <w:color w:val="auto"/>
                <w:sz w:val="21"/>
                <w:szCs w:val="21"/>
                <w:u w:val="none" w:color="auto"/>
              </w:rPr>
              <w:t>溜渣滑坡路段按要求设置拦挡措施，加强滑坡</w:t>
            </w:r>
            <w:r>
              <w:rPr>
                <w:rFonts w:cs="Times New Roman"/>
                <w:color w:val="auto"/>
                <w:sz w:val="21"/>
                <w:szCs w:val="21"/>
                <w:u w:val="none" w:color="auto"/>
              </w:rPr>
              <w:t>面复绿</w:t>
            </w:r>
            <w:r>
              <w:rPr>
                <w:rFonts w:hint="eastAsia" w:cs="Times New Roman"/>
                <w:color w:val="auto"/>
                <w:sz w:val="21"/>
                <w:szCs w:val="21"/>
                <w:u w:val="none" w:color="auto"/>
              </w:rPr>
              <w:t>及植被养护</w:t>
            </w:r>
            <w:r>
              <w:rPr>
                <w:rFonts w:hint="eastAsia" w:cs="Times New Roman"/>
                <w:color w:val="auto"/>
                <w:sz w:val="21"/>
                <w:szCs w:val="21"/>
                <w:u w:val="none" w:color="auto"/>
                <w:lang w:eastAsia="zh-CN"/>
              </w:rPr>
              <w:t>，</w:t>
            </w:r>
            <w:r>
              <w:rPr>
                <w:rFonts w:hint="eastAsia" w:cs="Times New Roman"/>
                <w:color w:val="auto"/>
                <w:sz w:val="21"/>
                <w:szCs w:val="21"/>
                <w:u w:val="none" w:color="auto"/>
                <w:lang w:val="en-US" w:eastAsia="zh-CN"/>
              </w:rPr>
              <w:t>完善弃渣场排水措施</w:t>
            </w:r>
            <w:r>
              <w:rPr>
                <w:rFonts w:hint="eastAsia" w:cs="Times New Roman"/>
                <w:color w:val="auto"/>
                <w:sz w:val="21"/>
                <w:szCs w:val="21"/>
                <w:u w:val="none" w:color="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13" w:hRule="atLeast"/>
          <w:jc w:val="center"/>
        </w:trPr>
        <w:tc>
          <w:tcPr>
            <w:tcW w:w="348" w:type="pct"/>
            <w:tcBorders>
              <w:tl2br w:val="nil"/>
              <w:tr2bl w:val="nil"/>
            </w:tcBorders>
            <w:vAlign w:val="center"/>
          </w:tcPr>
          <w:p>
            <w:pPr>
              <w:pStyle w:val="3674"/>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cs="Times New Roman"/>
                <w:color w:val="auto"/>
                <w:sz w:val="21"/>
                <w:szCs w:val="21"/>
                <w:u w:val="none" w:color="auto"/>
              </w:rPr>
            </w:pPr>
            <w:r>
              <w:rPr>
                <w:rFonts w:hint="eastAsia" w:cs="Times New Roman"/>
                <w:color w:val="auto"/>
                <w:sz w:val="21"/>
                <w:szCs w:val="21"/>
                <w:u w:val="none" w:color="auto"/>
              </w:rPr>
              <w:t>3</w:t>
            </w:r>
          </w:p>
        </w:tc>
        <w:tc>
          <w:tcPr>
            <w:tcW w:w="2711" w:type="pct"/>
            <w:tcBorders>
              <w:tl2br w:val="nil"/>
              <w:tr2bl w:val="nil"/>
            </w:tcBorders>
            <w:vAlign w:val="center"/>
          </w:tcPr>
          <w:p>
            <w:pPr>
              <w:pStyle w:val="3674"/>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left"/>
              <w:textAlignment w:val="auto"/>
              <w:rPr>
                <w:rFonts w:cs="Times New Roman"/>
                <w:color w:val="auto"/>
                <w:sz w:val="21"/>
                <w:szCs w:val="21"/>
                <w:u w:val="none" w:color="auto"/>
              </w:rPr>
            </w:pPr>
            <w:r>
              <w:rPr>
                <w:rFonts w:hint="eastAsia" w:cs="Times New Roman"/>
                <w:color w:val="auto"/>
                <w:sz w:val="21"/>
                <w:szCs w:val="21"/>
                <w:u w:val="none" w:color="auto"/>
                <w:lang w:val="en-US" w:eastAsia="zh-CN"/>
              </w:rPr>
              <w:t>施工</w:t>
            </w:r>
            <w:r>
              <w:rPr>
                <w:rFonts w:hint="eastAsia" w:cs="Times New Roman"/>
                <w:color w:val="auto"/>
                <w:sz w:val="21"/>
                <w:szCs w:val="21"/>
                <w:u w:val="none" w:color="auto"/>
              </w:rPr>
              <w:t>道路运输过程中扬尘较大。</w:t>
            </w:r>
          </w:p>
        </w:tc>
        <w:tc>
          <w:tcPr>
            <w:tcW w:w="1940" w:type="pct"/>
            <w:tcBorders>
              <w:tl2br w:val="nil"/>
              <w:tr2bl w:val="nil"/>
            </w:tcBorders>
            <w:vAlign w:val="center"/>
          </w:tcPr>
          <w:p>
            <w:pPr>
              <w:pStyle w:val="3674"/>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eastAsia="宋体" w:cs="Times New Roman"/>
                <w:color w:val="auto"/>
                <w:sz w:val="21"/>
                <w:szCs w:val="21"/>
                <w:u w:val="none" w:color="auto"/>
                <w:lang w:val="en-US" w:eastAsia="zh-CN"/>
              </w:rPr>
            </w:pPr>
            <w:r>
              <w:rPr>
                <w:rFonts w:hint="eastAsia" w:cs="Times New Roman"/>
                <w:color w:val="auto"/>
                <w:sz w:val="21"/>
                <w:szCs w:val="21"/>
                <w:u w:val="none" w:color="auto"/>
              </w:rPr>
              <w:t>根据天气调整洒水降尘频次</w:t>
            </w:r>
            <w:r>
              <w:rPr>
                <w:rFonts w:hint="eastAsia" w:cs="Times New Roman"/>
                <w:color w:val="auto"/>
                <w:sz w:val="21"/>
                <w:szCs w:val="21"/>
                <w:u w:val="none" w:color="auto"/>
                <w:lang w:eastAsia="zh-CN"/>
              </w:rPr>
              <w:t>，</w:t>
            </w:r>
            <w:r>
              <w:rPr>
                <w:rFonts w:hint="eastAsia" w:cs="Times New Roman"/>
                <w:color w:val="auto"/>
                <w:sz w:val="21"/>
                <w:szCs w:val="21"/>
                <w:u w:val="none" w:color="auto"/>
                <w:lang w:val="en-US" w:eastAsia="zh-CN"/>
              </w:rPr>
              <w:t>临时工程做好覆盖。</w:t>
            </w:r>
          </w:p>
        </w:tc>
      </w:tr>
    </w:tbl>
    <w:p>
      <w:pPr>
        <w:pStyle w:val="3"/>
        <w:bidi w:val="0"/>
        <w:rPr>
          <w:rFonts w:hint="eastAsia"/>
          <w:color w:val="auto"/>
          <w:u w:val="none" w:color="auto"/>
          <w:lang w:val="en-US" w:eastAsia="zh-CN"/>
        </w:rPr>
      </w:pPr>
      <w:bookmarkStart w:id="37" w:name="_Toc1603"/>
      <w:r>
        <w:rPr>
          <w:rFonts w:hint="eastAsia"/>
          <w:color w:val="auto"/>
          <w:u w:val="none" w:color="auto"/>
          <w:lang w:val="en-US" w:eastAsia="zh-CN"/>
        </w:rPr>
        <w:t>变更后工程概况</w:t>
      </w:r>
      <w:bookmarkEnd w:id="37"/>
    </w:p>
    <w:p>
      <w:pPr>
        <w:pStyle w:val="458"/>
        <w:ind w:firstLine="602"/>
        <w:rPr>
          <w:color w:val="000000" w:themeColor="text1"/>
          <w:u w:val="none" w:color="auto"/>
          <w14:textFill>
            <w14:solidFill>
              <w14:schemeClr w14:val="tx1"/>
            </w14:solidFill>
          </w14:textFill>
        </w:rPr>
      </w:pPr>
      <w:r>
        <w:rPr>
          <w:rFonts w:hint="eastAsia"/>
          <w:color w:val="000000" w:themeColor="text1"/>
          <w:u w:val="none" w:color="auto"/>
          <w:lang w:eastAsia="zh-CN"/>
          <w14:textFill>
            <w14:solidFill>
              <w14:schemeClr w14:val="tx1"/>
            </w14:solidFill>
          </w14:textFill>
        </w:rPr>
        <w:t>变更后项目基本情况</w:t>
      </w:r>
    </w:p>
    <w:p>
      <w:pPr>
        <w:bidi w:val="0"/>
        <w:rPr>
          <w:rFonts w:hint="eastAsia" w:eastAsia="宋体"/>
          <w:lang w:val="en-US" w:eastAsia="zh-CN"/>
        </w:rPr>
      </w:pPr>
      <w:r>
        <w:rPr>
          <w:rFonts w:hint="default"/>
        </w:rPr>
        <w:t>项目名称：</w:t>
      </w:r>
      <w:r>
        <w:rPr>
          <w:rFonts w:hint="eastAsia"/>
        </w:rPr>
        <w:t>湖南华电永州蓝山大源风电项目</w:t>
      </w:r>
      <w:r>
        <w:rPr>
          <w:rFonts w:hint="eastAsia"/>
          <w:lang w:val="en-US" w:eastAsia="zh-CN"/>
        </w:rPr>
        <w:t>变更</w:t>
      </w:r>
    </w:p>
    <w:p>
      <w:pPr>
        <w:bidi w:val="0"/>
        <w:rPr>
          <w:rFonts w:hint="default"/>
        </w:rPr>
      </w:pPr>
      <w:r>
        <w:rPr>
          <w:rFonts w:hint="default"/>
        </w:rPr>
        <w:t>建设性质：新建</w:t>
      </w:r>
    </w:p>
    <w:p>
      <w:pPr>
        <w:bidi w:val="0"/>
        <w:rPr>
          <w:rFonts w:hint="default"/>
          <w:lang w:eastAsia="zh-CN"/>
        </w:rPr>
      </w:pPr>
      <w:r>
        <w:rPr>
          <w:rFonts w:hint="default"/>
        </w:rPr>
        <w:t>建设单位：</w:t>
      </w:r>
      <w:r>
        <w:rPr>
          <w:rFonts w:hint="eastAsia"/>
        </w:rPr>
        <w:t>湖南华电</w:t>
      </w:r>
      <w:r>
        <w:rPr>
          <w:rFonts w:hint="eastAsia"/>
          <w:lang w:val="en-US" w:eastAsia="zh-CN"/>
        </w:rPr>
        <w:t>永蓝</w:t>
      </w:r>
      <w:r>
        <w:rPr>
          <w:rFonts w:hint="eastAsia"/>
        </w:rPr>
        <w:t>新能源有限公司</w:t>
      </w:r>
    </w:p>
    <w:p>
      <w:pPr>
        <w:bidi w:val="0"/>
      </w:pPr>
      <w:r>
        <w:rPr>
          <w:rFonts w:hint="default"/>
        </w:rPr>
        <w:t>建设地点：</w:t>
      </w:r>
      <w:r>
        <w:rPr>
          <w:rFonts w:hint="eastAsia"/>
        </w:rPr>
        <w:t>永州市蓝山县汇源瑶族乡</w:t>
      </w:r>
      <w:r>
        <w:rPr>
          <w:rFonts w:hint="eastAsia"/>
          <w:lang w:eastAsia="zh-CN"/>
        </w:rPr>
        <w:t>、</w:t>
      </w:r>
      <w:r>
        <w:rPr>
          <w:rFonts w:hint="eastAsia"/>
          <w:lang w:val="en-US" w:eastAsia="zh-CN"/>
        </w:rPr>
        <w:t>所城镇</w:t>
      </w:r>
    </w:p>
    <w:p>
      <w:pPr>
        <w:bidi w:val="0"/>
        <w:rPr>
          <w:rFonts w:hint="eastAsia" w:ascii="Times New Roman" w:hAnsi="Times New Roman" w:eastAsia="宋体" w:cs="Times New Roman"/>
          <w:sz w:val="24"/>
          <w:u w:val="none" w:color="auto"/>
          <w:lang w:val="en-US" w:eastAsia="zh-CN"/>
        </w:rPr>
      </w:pPr>
      <w:r>
        <w:rPr>
          <w:rFonts w:hint="default"/>
        </w:rPr>
        <w:t>建设</w:t>
      </w:r>
      <w:r>
        <w:rPr>
          <w:rFonts w:hint="eastAsia"/>
          <w:lang w:eastAsia="zh-CN"/>
        </w:rPr>
        <w:t>内容与</w:t>
      </w:r>
      <w:r>
        <w:rPr>
          <w:rFonts w:hint="default"/>
        </w:rPr>
        <w:t>规模：</w:t>
      </w:r>
      <w:r>
        <w:rPr>
          <w:rFonts w:hint="eastAsia" w:cs="Times New Roman"/>
          <w:sz w:val="24"/>
          <w:szCs w:val="24"/>
          <w:u w:val="none" w:color="auto"/>
          <w:lang w:val="en-US" w:eastAsia="zh-CN"/>
        </w:rPr>
        <w:t>项目设计安装15</w:t>
      </w:r>
      <w:r>
        <w:rPr>
          <w:rFonts w:hint="default" w:ascii="Times New Roman" w:hAnsi="Times New Roman" w:cs="Times New Roman"/>
          <w:sz w:val="24"/>
          <w:u w:val="none" w:color="auto"/>
        </w:rPr>
        <w:t>台单机容量为</w:t>
      </w:r>
      <w:r>
        <w:rPr>
          <w:rFonts w:hint="eastAsia" w:cs="Times New Roman"/>
          <w:sz w:val="24"/>
          <w:u w:val="none" w:color="auto"/>
          <w:lang w:val="en-US" w:eastAsia="zh-CN"/>
        </w:rPr>
        <w:t>5.0</w:t>
      </w:r>
      <w:r>
        <w:rPr>
          <w:rFonts w:hint="default" w:ascii="Times New Roman" w:hAnsi="Times New Roman" w:cs="Times New Roman"/>
          <w:sz w:val="24"/>
          <w:u w:val="none" w:color="auto"/>
        </w:rPr>
        <w:t>MW</w:t>
      </w:r>
      <w:r>
        <w:rPr>
          <w:rFonts w:hint="eastAsia" w:ascii="Times New Roman" w:hAnsi="Times New Roman" w:cs="Times New Roman"/>
          <w:sz w:val="24"/>
          <w:u w:val="none" w:color="auto"/>
          <w:lang w:val="en-US" w:eastAsia="zh-CN"/>
        </w:rPr>
        <w:t>的风力发电机组，</w:t>
      </w:r>
      <w:r>
        <w:rPr>
          <w:rFonts w:hint="default" w:ascii="Times New Roman" w:hAnsi="Times New Roman" w:cs="Times New Roman"/>
          <w:sz w:val="24"/>
          <w:u w:val="none" w:color="auto"/>
        </w:rPr>
        <w:t>总装机</w:t>
      </w:r>
      <w:r>
        <w:rPr>
          <w:rFonts w:hint="eastAsia" w:ascii="Times New Roman" w:hAnsi="Times New Roman" w:cs="Times New Roman"/>
          <w:sz w:val="24"/>
          <w:u w:val="none" w:color="auto"/>
          <w:lang w:val="en-US" w:eastAsia="zh-CN"/>
        </w:rPr>
        <w:t>规模</w:t>
      </w:r>
      <w:r>
        <w:rPr>
          <w:rFonts w:hint="default" w:ascii="Times New Roman" w:hAnsi="Times New Roman" w:cs="Times New Roman"/>
          <w:sz w:val="24"/>
          <w:u w:val="none" w:color="auto"/>
        </w:rPr>
        <w:t>为</w:t>
      </w:r>
      <w:r>
        <w:rPr>
          <w:rFonts w:hint="eastAsia" w:cs="Times New Roman"/>
          <w:sz w:val="24"/>
          <w:u w:val="none" w:color="auto"/>
          <w:lang w:val="en-US" w:eastAsia="zh-CN"/>
        </w:rPr>
        <w:t>75</w:t>
      </w:r>
      <w:r>
        <w:rPr>
          <w:rFonts w:hint="default" w:ascii="Times New Roman" w:hAnsi="Times New Roman" w:cs="Times New Roman"/>
          <w:sz w:val="24"/>
          <w:u w:val="none" w:color="auto"/>
        </w:rPr>
        <w:t>MW</w:t>
      </w:r>
      <w:r>
        <w:rPr>
          <w:rFonts w:hint="eastAsia" w:cs="Times New Roman"/>
          <w:sz w:val="24"/>
          <w:u w:val="none" w:color="auto"/>
          <w:lang w:eastAsia="zh-CN"/>
        </w:rPr>
        <w:t>，</w:t>
      </w:r>
      <w:r>
        <w:rPr>
          <w:rFonts w:hint="eastAsia"/>
          <w:color w:val="auto"/>
          <w:u w:val="none"/>
        </w:rPr>
        <w:t>预计年上网电量为</w:t>
      </w:r>
      <w:r>
        <w:rPr>
          <w:rFonts w:hint="eastAsia"/>
          <w:color w:val="auto"/>
          <w:u w:val="none"/>
          <w:lang w:val="en-US" w:eastAsia="zh-CN"/>
        </w:rPr>
        <w:t>15409</w:t>
      </w:r>
      <w:r>
        <w:rPr>
          <w:rFonts w:hint="eastAsia"/>
          <w:color w:val="auto"/>
          <w:u w:val="none"/>
        </w:rPr>
        <w:t>万kW·h，年等效满</w:t>
      </w:r>
      <w:r>
        <w:rPr>
          <w:rFonts w:hint="eastAsia" w:ascii="Times New Roman" w:hAnsi="Times New Roman" w:eastAsia="宋体" w:cs="Times New Roman"/>
          <w:sz w:val="24"/>
          <w:u w:val="none" w:color="auto"/>
          <w:lang w:val="en-US" w:eastAsia="zh-CN"/>
        </w:rPr>
        <w:t>负荷小时数为2055h，容量系数为0.235。新建一座220</w:t>
      </w:r>
      <w:r>
        <w:rPr>
          <w:rFonts w:hint="eastAsia" w:cs="Times New Roman"/>
          <w:sz w:val="24"/>
          <w:u w:val="none" w:color="auto"/>
          <w:lang w:val="en-US" w:eastAsia="zh-CN"/>
        </w:rPr>
        <w:t>kV</w:t>
      </w:r>
      <w:r>
        <w:rPr>
          <w:rFonts w:hint="eastAsia" w:ascii="Times New Roman" w:hAnsi="Times New Roman" w:eastAsia="宋体" w:cs="Times New Roman"/>
          <w:sz w:val="24"/>
          <w:u w:val="none" w:color="auto"/>
          <w:lang w:val="en-US" w:eastAsia="zh-CN"/>
        </w:rPr>
        <w:t>汇集站，集电线路长度26.7km；进场道路</w:t>
      </w:r>
      <w:r>
        <w:rPr>
          <w:rFonts w:hint="default" w:ascii="Times New Roman" w:hAnsi="Times New Roman" w:eastAsia="宋体" w:cs="Times New Roman"/>
          <w:sz w:val="24"/>
          <w:u w:val="none" w:color="auto"/>
          <w:lang w:val="en-US" w:eastAsia="zh-CN"/>
        </w:rPr>
        <w:t>依托</w:t>
      </w:r>
      <w:r>
        <w:rPr>
          <w:rFonts w:hint="eastAsia" w:ascii="Times New Roman" w:hAnsi="Times New Roman" w:eastAsia="宋体" w:cs="Times New Roman"/>
          <w:sz w:val="24"/>
          <w:u w:val="none" w:color="auto"/>
          <w:lang w:val="en-US" w:eastAsia="zh-CN"/>
        </w:rPr>
        <w:t>现有</w:t>
      </w:r>
      <w:r>
        <w:rPr>
          <w:rFonts w:hint="default" w:ascii="Times New Roman" w:hAnsi="Times New Roman" w:eastAsia="宋体" w:cs="Times New Roman"/>
          <w:sz w:val="24"/>
          <w:u w:val="none" w:color="auto"/>
          <w:lang w:val="en-US" w:eastAsia="zh-CN"/>
        </w:rPr>
        <w:t>防火巡护林道</w:t>
      </w:r>
      <w:r>
        <w:rPr>
          <w:rFonts w:hint="eastAsia" w:ascii="Times New Roman" w:hAnsi="Times New Roman" w:eastAsia="宋体" w:cs="Times New Roman"/>
          <w:sz w:val="24"/>
          <w:u w:val="none" w:color="auto"/>
          <w:lang w:val="en-US" w:eastAsia="zh-CN"/>
        </w:rPr>
        <w:t>，新建场内道路长度22.5km。项目总投资5.01亿元。</w:t>
      </w:r>
    </w:p>
    <w:p>
      <w:pPr>
        <w:bidi w:val="0"/>
        <w:rPr>
          <w:rFonts w:hint="eastAsia"/>
          <w:lang w:val="en-US" w:eastAsia="zh-CN"/>
        </w:rPr>
      </w:pPr>
      <w:r>
        <w:rPr>
          <w:rFonts w:hint="default"/>
        </w:rPr>
        <w:t>建设工期：12个月。</w:t>
      </w:r>
    </w:p>
    <w:p>
      <w:pPr>
        <w:pStyle w:val="458"/>
        <w:ind w:firstLine="602"/>
        <w:rPr>
          <w:rFonts w:hint="eastAsia" w:ascii="Times New Roman" w:hAnsi="Times New Roman" w:eastAsia="宋体" w:cs="Times New Roman"/>
          <w:color w:val="000000" w:themeColor="text1"/>
          <w:u w:val="none" w:color="auto"/>
          <w:lang w:eastAsia="zh-CN"/>
          <w14:textFill>
            <w14:solidFill>
              <w14:schemeClr w14:val="tx1"/>
            </w14:solidFill>
          </w14:textFill>
        </w:rPr>
      </w:pPr>
      <w:r>
        <w:rPr>
          <w:rFonts w:hint="eastAsia" w:ascii="Times New Roman" w:hAnsi="Times New Roman" w:eastAsia="宋体" w:cs="Times New Roman"/>
          <w:color w:val="000000" w:themeColor="text1"/>
          <w:u w:val="none" w:color="auto"/>
          <w:lang w:eastAsia="zh-CN"/>
          <w14:textFill>
            <w14:solidFill>
              <w14:schemeClr w14:val="tx1"/>
            </w14:solidFill>
          </w14:textFill>
        </w:rPr>
        <w:t>建设内容</w:t>
      </w:r>
    </w:p>
    <w:p>
      <w:pPr>
        <w:bidi w:val="0"/>
        <w:rPr>
          <w:rFonts w:hint="default"/>
          <w:lang w:val="en-US" w:eastAsia="zh-CN"/>
        </w:rPr>
      </w:pPr>
      <w:r>
        <w:rPr>
          <w:rFonts w:hint="eastAsia"/>
          <w:lang w:val="en-US" w:eastAsia="zh-CN"/>
        </w:rPr>
        <w:t>1、工程建设内容</w:t>
      </w:r>
    </w:p>
    <w:p>
      <w:pPr>
        <w:bidi w:val="0"/>
        <w:rPr>
          <w:rFonts w:hint="default"/>
          <w:lang w:eastAsia="zh-CN"/>
        </w:rPr>
      </w:pPr>
      <w:r>
        <w:rPr>
          <w:rFonts w:hint="default"/>
          <w:lang w:val="en-US" w:eastAsia="zh-CN"/>
        </w:rPr>
        <w:t>本项目变更</w:t>
      </w:r>
      <w:r>
        <w:rPr>
          <w:rFonts w:hint="eastAsia"/>
          <w:lang w:val="en-US" w:eastAsia="zh-CN"/>
        </w:rPr>
        <w:t>后</w:t>
      </w:r>
      <w:r>
        <w:rPr>
          <w:rFonts w:hint="default"/>
          <w:lang w:eastAsia="zh-CN"/>
        </w:rPr>
        <w:t>由风机机组及箱式变压器、</w:t>
      </w:r>
      <w:r>
        <w:rPr>
          <w:rFonts w:hint="eastAsia" w:cs="Times New Roman"/>
          <w:sz w:val="21"/>
          <w:szCs w:val="21"/>
          <w:u w:val="none" w:color="auto"/>
          <w:lang w:eastAsia="zh-CN"/>
        </w:rPr>
        <w:t>汇集站、</w:t>
      </w:r>
      <w:r>
        <w:rPr>
          <w:rFonts w:hint="default"/>
          <w:lang w:eastAsia="zh-CN"/>
        </w:rPr>
        <w:t>集电线路、道路工程等组成</w:t>
      </w:r>
      <w:r>
        <w:rPr>
          <w:rFonts w:hint="eastAsia"/>
          <w:lang w:eastAsia="zh-CN"/>
        </w:rPr>
        <w:t>，</w:t>
      </w:r>
      <w:r>
        <w:rPr>
          <w:rFonts w:hint="default"/>
          <w:lang w:eastAsia="zh-CN"/>
        </w:rPr>
        <w:t>详见</w:t>
      </w:r>
      <w:r>
        <w:rPr>
          <w:rFonts w:hint="eastAsia"/>
          <w:lang w:val="en-US" w:eastAsia="zh-CN"/>
        </w:rPr>
        <w:t>下</w:t>
      </w:r>
      <w:r>
        <w:rPr>
          <w:rFonts w:hint="default"/>
          <w:lang w:eastAsia="zh-CN"/>
        </w:rPr>
        <w:t>表所示。</w:t>
      </w:r>
    </w:p>
    <w:p>
      <w:pPr>
        <w:pStyle w:val="2289"/>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pPr>
      <w:r>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t>项目</w:t>
      </w:r>
      <w:r>
        <w:rPr>
          <w:rFonts w:hint="eastAsia" w:cs="Times New Roman"/>
          <w:color w:val="000000" w:themeColor="text1"/>
          <w:highlight w:val="none"/>
          <w:u w:val="none" w:color="auto"/>
          <w:lang w:val="en-US" w:eastAsia="zh-CN"/>
          <w14:textFill>
            <w14:solidFill>
              <w14:schemeClr w14:val="tx1"/>
            </w14:solidFill>
          </w14:textFill>
        </w:rPr>
        <w:t>变更后</w:t>
      </w:r>
      <w:r>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t>主要工程内容组成一览表</w:t>
      </w:r>
    </w:p>
    <w:tbl>
      <w:tblPr>
        <w:tblStyle w:val="88"/>
        <w:tblW w:w="921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8"/>
        <w:gridCol w:w="1292"/>
        <w:gridCol w:w="71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70" w:type="dxa"/>
            <w:gridSpan w:val="2"/>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spacing w:val="6"/>
                <w:sz w:val="21"/>
                <w:szCs w:val="21"/>
                <w:u w:val="none" w:color="auto"/>
              </w:rPr>
            </w:pPr>
            <w:r>
              <w:rPr>
                <w:rFonts w:hint="default" w:ascii="Times New Roman" w:hAnsi="Times New Roman" w:cs="Times New Roman"/>
                <w:b/>
                <w:bCs/>
                <w:spacing w:val="6"/>
                <w:sz w:val="21"/>
                <w:szCs w:val="21"/>
                <w:u w:val="none" w:color="auto"/>
              </w:rPr>
              <w:t>项目组成</w:t>
            </w:r>
          </w:p>
        </w:tc>
        <w:tc>
          <w:tcPr>
            <w:tcW w:w="7143"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spacing w:val="6"/>
                <w:sz w:val="21"/>
                <w:szCs w:val="21"/>
                <w:u w:val="none" w:color="auto"/>
              </w:rPr>
            </w:pPr>
            <w:r>
              <w:rPr>
                <w:rFonts w:hint="default" w:ascii="Times New Roman" w:hAnsi="Times New Roman" w:cs="Times New Roman"/>
                <w:b/>
                <w:bCs/>
                <w:spacing w:val="6"/>
                <w:sz w:val="21"/>
                <w:szCs w:val="21"/>
                <w:u w:val="none" w:color="auto"/>
              </w:rPr>
              <w:t>建设内容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778" w:type="dxa"/>
            <w:vMerge w:val="restart"/>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主体工程</w:t>
            </w:r>
          </w:p>
        </w:tc>
        <w:tc>
          <w:tcPr>
            <w:tcW w:w="1292" w:type="dxa"/>
            <w:noWrap w:val="0"/>
            <w:vAlign w:val="center"/>
          </w:tcPr>
          <w:p>
            <w:pPr>
              <w:pStyle w:val="3672"/>
              <w:tabs>
                <w:tab w:val="left" w:pos="480"/>
              </w:tabs>
              <w:ind w:firstLine="0" w:firstLineChars="0"/>
              <w:jc w:val="center"/>
              <w:rPr>
                <w:rFonts w:hint="default"/>
                <w:color w:val="auto"/>
              </w:rPr>
            </w:pPr>
            <w:r>
              <w:rPr>
                <w:color w:val="auto"/>
              </w:rPr>
              <w:t>风电机组</w:t>
            </w:r>
          </w:p>
        </w:tc>
        <w:tc>
          <w:tcPr>
            <w:tcW w:w="7143" w:type="dxa"/>
            <w:noWrap w:val="0"/>
            <w:vAlign w:val="center"/>
          </w:tcPr>
          <w:p>
            <w:pPr>
              <w:pStyle w:val="3672"/>
              <w:tabs>
                <w:tab w:val="left" w:pos="480"/>
              </w:tabs>
              <w:ind w:firstLine="0" w:firstLineChars="0"/>
              <w:jc w:val="center"/>
              <w:rPr>
                <w:rFonts w:hint="default"/>
                <w:color w:val="auto"/>
              </w:rPr>
            </w:pPr>
            <w:r>
              <w:rPr>
                <w:color w:val="auto"/>
                <w:lang w:eastAsia="zh-CN"/>
              </w:rPr>
              <w:t>安装</w:t>
            </w:r>
            <w:r>
              <w:rPr>
                <w:rFonts w:hint="eastAsia"/>
                <w:color w:val="auto"/>
                <w:lang w:val="en-US" w:eastAsia="zh-CN"/>
              </w:rPr>
              <w:t>15台</w:t>
            </w:r>
            <w:r>
              <w:rPr>
                <w:color w:val="auto"/>
                <w:lang w:eastAsia="zh-CN"/>
              </w:rPr>
              <w:t>单机容量</w:t>
            </w:r>
            <w:r>
              <w:rPr>
                <w:rFonts w:hint="eastAsia"/>
                <w:color w:val="auto"/>
                <w:lang w:val="en-US" w:eastAsia="zh-CN"/>
              </w:rPr>
              <w:t>为</w:t>
            </w:r>
            <w:r>
              <w:rPr>
                <w:color w:val="auto"/>
                <w:lang w:eastAsia="zh-CN"/>
              </w:rPr>
              <w:t>5.0MW</w:t>
            </w:r>
            <w:r>
              <w:rPr>
                <w:rFonts w:hint="eastAsia"/>
                <w:color w:val="auto"/>
                <w:lang w:val="en-US" w:eastAsia="zh-CN"/>
              </w:rPr>
              <w:t>的</w:t>
            </w:r>
            <w:r>
              <w:rPr>
                <w:color w:val="auto"/>
                <w:lang w:eastAsia="zh-CN"/>
              </w:rPr>
              <w:t>风力发电机，</w:t>
            </w:r>
            <w:r>
              <w:rPr>
                <w:rFonts w:hint="eastAsia"/>
                <w:color w:val="auto"/>
                <w:lang w:val="en-US" w:eastAsia="zh-CN"/>
              </w:rPr>
              <w:t>总</w:t>
            </w:r>
            <w:r>
              <w:rPr>
                <w:color w:val="auto"/>
                <w:lang w:eastAsia="zh-CN"/>
              </w:rPr>
              <w:t>装机容量</w:t>
            </w:r>
            <w:r>
              <w:rPr>
                <w:rFonts w:hint="eastAsia"/>
                <w:color w:val="auto"/>
                <w:lang w:val="en-US" w:eastAsia="zh-CN"/>
              </w:rPr>
              <w:t>75</w:t>
            </w:r>
            <w:r>
              <w:rPr>
                <w:color w:val="auto"/>
                <w:lang w:eastAsia="zh-CN"/>
              </w:rPr>
              <w:t>MW，3叶片，风机轮毂高度约为 110m，风机叶片直径195m。</w:t>
            </w:r>
            <w:r>
              <w:rPr>
                <w:rFonts w:hint="eastAsia"/>
                <w:color w:val="auto"/>
              </w:rPr>
              <w:t>每台风机配套安装1台容量为5500</w:t>
            </w:r>
            <w:r>
              <w:rPr>
                <w:rFonts w:hint="eastAsia"/>
                <w:color w:val="auto"/>
                <w:lang w:eastAsia="zh-CN"/>
              </w:rPr>
              <w:t>kV</w:t>
            </w:r>
            <w:r>
              <w:rPr>
                <w:rFonts w:hint="eastAsia"/>
                <w:color w:val="auto"/>
              </w:rPr>
              <w:t>A的</w:t>
            </w:r>
            <w:r>
              <w:rPr>
                <w:rFonts w:hint="eastAsia"/>
                <w:color w:val="auto"/>
                <w:lang w:val="en-US" w:eastAsia="zh-CN"/>
              </w:rPr>
              <w:t>箱式变压器，</w:t>
            </w:r>
            <w:r>
              <w:rPr>
                <w:color w:val="auto"/>
                <w:lang w:eastAsia="zh-CN"/>
              </w:rPr>
              <w:t>箱变布置在风力发电机附近。箱变高压35</w:t>
            </w:r>
            <w:r>
              <w:rPr>
                <w:rFonts w:hint="eastAsia"/>
                <w:color w:val="auto"/>
                <w:lang w:eastAsia="zh-CN"/>
              </w:rPr>
              <w:t>kV</w:t>
            </w:r>
            <w:r>
              <w:rPr>
                <w:color w:val="auto"/>
                <w:lang w:eastAsia="zh-CN"/>
              </w:rPr>
              <w:t>侧采用并联接线方式</w:t>
            </w:r>
            <w:r>
              <w:rPr>
                <w:rFonts w:hint="eastAsia"/>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8" w:hRule="atLeast"/>
          <w:jc w:val="center"/>
        </w:trPr>
        <w:tc>
          <w:tcPr>
            <w:tcW w:w="778" w:type="dxa"/>
            <w:vMerge w:val="continue"/>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p>
        </w:tc>
        <w:tc>
          <w:tcPr>
            <w:tcW w:w="1292"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pacing w:val="6"/>
                <w:sz w:val="21"/>
                <w:szCs w:val="21"/>
                <w:u w:val="none" w:color="auto"/>
                <w:lang w:eastAsia="zh-CN"/>
              </w:rPr>
            </w:pPr>
            <w:r>
              <w:rPr>
                <w:rFonts w:hint="eastAsia" w:cs="Times New Roman"/>
                <w:spacing w:val="6"/>
                <w:sz w:val="21"/>
                <w:szCs w:val="21"/>
                <w:u w:val="none" w:color="auto"/>
                <w:lang w:eastAsia="zh-CN"/>
              </w:rPr>
              <w:t>汇集站</w:t>
            </w:r>
          </w:p>
        </w:tc>
        <w:tc>
          <w:tcPr>
            <w:tcW w:w="7143" w:type="dxa"/>
            <w:noWrap w:val="0"/>
            <w:vAlign w:val="center"/>
          </w:tcPr>
          <w:p>
            <w:pPr>
              <w:pStyle w:val="3672"/>
              <w:tabs>
                <w:tab w:val="left" w:pos="480"/>
              </w:tabs>
              <w:ind w:firstLine="0" w:firstLineChars="0"/>
              <w:jc w:val="center"/>
              <w:rPr>
                <w:rFonts w:hint="default" w:ascii="Times New Roman" w:hAnsi="Times New Roman" w:cs="Times New Roman"/>
                <w:spacing w:val="6"/>
                <w:sz w:val="21"/>
                <w:szCs w:val="21"/>
                <w:u w:val="none" w:color="auto"/>
              </w:rPr>
            </w:pPr>
            <w:r>
              <w:rPr>
                <w:color w:val="auto"/>
                <w:sz w:val="21"/>
                <w:szCs w:val="21"/>
                <w:lang w:eastAsia="zh-CN"/>
              </w:rPr>
              <w:t>新建1座</w:t>
            </w:r>
            <w:r>
              <w:rPr>
                <w:rFonts w:hint="eastAsia"/>
                <w:color w:val="auto"/>
                <w:lang w:val="en-US" w:eastAsia="zh-CN"/>
              </w:rPr>
              <w:t>220</w:t>
            </w:r>
            <w:r>
              <w:rPr>
                <w:rFonts w:hint="eastAsia"/>
                <w:color w:val="auto"/>
                <w:lang w:eastAsia="zh-CN"/>
              </w:rPr>
              <w:t>kV</w:t>
            </w:r>
            <w:r>
              <w:rPr>
                <w:rFonts w:hint="eastAsia"/>
                <w:color w:val="auto"/>
                <w:sz w:val="21"/>
                <w:szCs w:val="21"/>
                <w:lang w:val="en-US" w:eastAsia="zh-CN"/>
              </w:rPr>
              <w:t>汇集站，汇集站主变容量近期2×240MVA，远期3×240MVA，本项目以35kV输电线路接入汇集站。全站建筑物包括：生产综合楼、35kV配电装置室。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78" w:type="dxa"/>
            <w:vMerge w:val="restart"/>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辅助工程</w:t>
            </w:r>
          </w:p>
        </w:tc>
        <w:tc>
          <w:tcPr>
            <w:tcW w:w="1292" w:type="dxa"/>
            <w:noWrap w:val="0"/>
            <w:vAlign w:val="center"/>
          </w:tcPr>
          <w:p>
            <w:pPr>
              <w:pStyle w:val="3672"/>
              <w:tabs>
                <w:tab w:val="left" w:pos="480"/>
              </w:tabs>
              <w:ind w:firstLine="0" w:firstLineChars="0"/>
              <w:jc w:val="center"/>
              <w:rPr>
                <w:rFonts w:hint="default"/>
                <w:color w:val="auto"/>
                <w:sz w:val="21"/>
                <w:szCs w:val="21"/>
                <w:lang w:val="en-US" w:eastAsia="zh-CN"/>
              </w:rPr>
            </w:pPr>
            <w:r>
              <w:rPr>
                <w:rFonts w:hint="default"/>
                <w:color w:val="auto"/>
                <w:sz w:val="21"/>
                <w:szCs w:val="21"/>
                <w:lang w:val="en-US" w:eastAsia="zh-CN"/>
              </w:rPr>
              <w:t>集电线路工程</w:t>
            </w:r>
          </w:p>
        </w:tc>
        <w:tc>
          <w:tcPr>
            <w:tcW w:w="7143" w:type="dxa"/>
            <w:noWrap w:val="0"/>
            <w:vAlign w:val="center"/>
          </w:tcPr>
          <w:p>
            <w:pPr>
              <w:pStyle w:val="3672"/>
              <w:tabs>
                <w:tab w:val="left" w:pos="480"/>
              </w:tabs>
              <w:ind w:firstLine="0" w:firstLineChars="0"/>
              <w:jc w:val="center"/>
              <w:rPr>
                <w:rFonts w:hint="default"/>
                <w:color w:val="auto"/>
                <w:sz w:val="21"/>
                <w:szCs w:val="21"/>
                <w:lang w:val="en-US" w:eastAsia="zh-CN"/>
              </w:rPr>
            </w:pPr>
            <w:r>
              <w:rPr>
                <w:rFonts w:hint="eastAsia"/>
                <w:color w:val="auto"/>
                <w:sz w:val="21"/>
                <w:szCs w:val="21"/>
                <w:lang w:val="en-US" w:eastAsia="zh-CN"/>
              </w:rPr>
              <w:t>35kV集电线路长度26.7km，采用直埋电缆方式沿场内道路铺设，风电场共设4回集电线路。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78" w:type="dxa"/>
            <w:vMerge w:val="continue"/>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p>
        </w:tc>
        <w:tc>
          <w:tcPr>
            <w:tcW w:w="1292"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道路工程</w:t>
            </w:r>
          </w:p>
        </w:tc>
        <w:tc>
          <w:tcPr>
            <w:tcW w:w="7143"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pacing w:val="6"/>
                <w:sz w:val="21"/>
                <w:szCs w:val="21"/>
                <w:u w:val="none" w:color="auto"/>
                <w:lang w:eastAsia="zh-CN"/>
              </w:rPr>
            </w:pPr>
            <w:r>
              <w:rPr>
                <w:rFonts w:hint="default" w:ascii="Times New Roman" w:hAnsi="Times New Roman" w:cs="Times New Roman"/>
                <w:spacing w:val="6"/>
                <w:sz w:val="21"/>
                <w:szCs w:val="21"/>
                <w:u w:val="none" w:color="auto"/>
              </w:rPr>
              <w:t>场外交通：</w:t>
            </w:r>
            <w:r>
              <w:rPr>
                <w:rFonts w:hint="eastAsia" w:cs="Times New Roman"/>
                <w:spacing w:val="6"/>
                <w:sz w:val="21"/>
                <w:szCs w:val="21"/>
                <w:u w:val="none" w:color="auto"/>
                <w:lang w:val="en-US" w:eastAsia="zh-CN"/>
              </w:rPr>
              <w:t>进场道路</w:t>
            </w:r>
            <w:r>
              <w:rPr>
                <w:rFonts w:hint="default" w:ascii="Times New Roman" w:hAnsi="Times New Roman" w:cs="Times New Roman"/>
                <w:spacing w:val="6"/>
                <w:sz w:val="21"/>
                <w:szCs w:val="21"/>
                <w:u w:val="none" w:color="auto"/>
              </w:rPr>
              <w:t>依托</w:t>
            </w:r>
            <w:r>
              <w:rPr>
                <w:rFonts w:hint="eastAsia" w:cs="Times New Roman"/>
                <w:spacing w:val="6"/>
                <w:sz w:val="21"/>
                <w:szCs w:val="21"/>
                <w:u w:val="none" w:color="auto"/>
                <w:lang w:val="en-US" w:eastAsia="zh-CN"/>
              </w:rPr>
              <w:t>现有</w:t>
            </w:r>
            <w:r>
              <w:rPr>
                <w:rFonts w:hint="default" w:ascii="Times New Roman" w:hAnsi="Times New Roman" w:cs="Times New Roman"/>
                <w:spacing w:val="6"/>
                <w:sz w:val="21"/>
                <w:szCs w:val="21"/>
                <w:u w:val="none" w:color="auto"/>
              </w:rPr>
              <w:t>防火巡护林道</w:t>
            </w:r>
            <w:r>
              <w:rPr>
                <w:rFonts w:hint="eastAsia" w:cs="Times New Roman"/>
                <w:spacing w:val="6"/>
                <w:sz w:val="21"/>
                <w:szCs w:val="21"/>
                <w:u w:val="none" w:color="auto"/>
                <w:lang w:eastAsia="zh-CN"/>
              </w:rPr>
              <w:t>。</w:t>
            </w:r>
          </w:p>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场内交通：场内新建道路总长约</w:t>
            </w:r>
            <w:r>
              <w:rPr>
                <w:rFonts w:hint="eastAsia" w:cs="Times New Roman"/>
                <w:spacing w:val="6"/>
                <w:sz w:val="21"/>
                <w:szCs w:val="21"/>
                <w:u w:val="none" w:color="auto"/>
                <w:lang w:val="en-US" w:eastAsia="zh-CN"/>
              </w:rPr>
              <w:t>22.5</w:t>
            </w:r>
            <w:r>
              <w:rPr>
                <w:rFonts w:hint="default" w:ascii="Times New Roman" w:hAnsi="Times New Roman" w:cs="Times New Roman"/>
                <w:spacing w:val="6"/>
                <w:sz w:val="21"/>
                <w:szCs w:val="21"/>
                <w:u w:val="none" w:color="auto"/>
              </w:rPr>
              <w:t>km。新建道路路基宽</w:t>
            </w:r>
            <w:r>
              <w:rPr>
                <w:rFonts w:hint="eastAsia" w:cs="Times New Roman"/>
                <w:spacing w:val="6"/>
                <w:sz w:val="21"/>
                <w:szCs w:val="21"/>
                <w:u w:val="none" w:color="auto"/>
                <w:lang w:val="en-US" w:eastAsia="zh-CN"/>
              </w:rPr>
              <w:t>6</w:t>
            </w:r>
            <w:r>
              <w:rPr>
                <w:rFonts w:hint="default" w:ascii="Times New Roman" w:hAnsi="Times New Roman" w:cs="Times New Roman"/>
                <w:spacing w:val="6"/>
                <w:sz w:val="21"/>
                <w:szCs w:val="21"/>
                <w:u w:val="none" w:color="auto"/>
              </w:rPr>
              <w:t>m，路面宽4.5m，采用20cm厚山皮石路面结构。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778" w:type="dxa"/>
            <w:vMerge w:val="restart"/>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临时工程</w:t>
            </w:r>
          </w:p>
        </w:tc>
        <w:tc>
          <w:tcPr>
            <w:tcW w:w="1292"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施工生产生活区</w:t>
            </w:r>
          </w:p>
        </w:tc>
        <w:tc>
          <w:tcPr>
            <w:tcW w:w="7143"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占地面积约5400m</w:t>
            </w:r>
            <w:r>
              <w:rPr>
                <w:rFonts w:hint="default" w:ascii="Times New Roman" w:hAnsi="Times New Roman" w:cs="Times New Roman"/>
                <w:spacing w:val="6"/>
                <w:sz w:val="21"/>
                <w:szCs w:val="21"/>
                <w:u w:val="none" w:color="auto"/>
                <w:vertAlign w:val="superscript"/>
              </w:rPr>
              <w:t>2</w:t>
            </w:r>
            <w:r>
              <w:rPr>
                <w:rFonts w:hint="default" w:ascii="Times New Roman" w:hAnsi="Times New Roman" w:cs="Times New Roman"/>
                <w:spacing w:val="6"/>
                <w:sz w:val="21"/>
                <w:szCs w:val="21"/>
                <w:u w:val="none" w:color="auto"/>
              </w:rPr>
              <w:t>，主要包括综合加工厂、综合仓库、机械停放场、临时生活办公区。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778" w:type="dxa"/>
            <w:vMerge w:val="continue"/>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p>
        </w:tc>
        <w:tc>
          <w:tcPr>
            <w:tcW w:w="1292"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弃渣场</w:t>
            </w:r>
          </w:p>
        </w:tc>
        <w:tc>
          <w:tcPr>
            <w:tcW w:w="7143"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highlight w:val="none"/>
                <w:u w:val="none" w:color="auto"/>
              </w:rPr>
              <w:t>设</w:t>
            </w:r>
            <w:r>
              <w:rPr>
                <w:rFonts w:hint="eastAsia" w:cs="Times New Roman"/>
                <w:spacing w:val="6"/>
                <w:sz w:val="21"/>
                <w:szCs w:val="21"/>
                <w:highlight w:val="none"/>
                <w:u w:val="none" w:color="auto"/>
                <w:lang w:val="en-US" w:eastAsia="zh-CN"/>
              </w:rPr>
              <w:t>7</w:t>
            </w:r>
            <w:r>
              <w:rPr>
                <w:rFonts w:hint="default" w:ascii="Times New Roman" w:hAnsi="Times New Roman" w:cs="Times New Roman"/>
                <w:spacing w:val="6"/>
                <w:sz w:val="21"/>
                <w:szCs w:val="21"/>
                <w:highlight w:val="none"/>
                <w:u w:val="none" w:color="auto"/>
              </w:rPr>
              <w:t>个弃渣场，总占地面积</w:t>
            </w:r>
            <w:r>
              <w:rPr>
                <w:rFonts w:hint="eastAsia" w:cs="Times New Roman"/>
                <w:spacing w:val="6"/>
                <w:sz w:val="21"/>
                <w:szCs w:val="21"/>
                <w:highlight w:val="none"/>
                <w:u w:val="none" w:color="auto"/>
                <w:lang w:val="en-US" w:eastAsia="zh-CN"/>
              </w:rPr>
              <w:t>3</w:t>
            </w:r>
            <w:r>
              <w:rPr>
                <w:rFonts w:hint="default" w:ascii="Times New Roman" w:hAnsi="Times New Roman" w:cs="Times New Roman"/>
                <w:spacing w:val="6"/>
                <w:sz w:val="21"/>
                <w:szCs w:val="21"/>
                <w:highlight w:val="none"/>
                <w:u w:val="none" w:color="auto"/>
              </w:rPr>
              <w:t>.13hm</w:t>
            </w:r>
            <w:r>
              <w:rPr>
                <w:rFonts w:hint="default" w:ascii="Times New Roman" w:hAnsi="Times New Roman" w:cs="Times New Roman"/>
                <w:spacing w:val="6"/>
                <w:sz w:val="21"/>
                <w:szCs w:val="21"/>
                <w:highlight w:val="none"/>
                <w:u w:val="none" w:color="auto"/>
                <w:vertAlign w:val="superscript"/>
              </w:rPr>
              <w:t>2</w:t>
            </w:r>
            <w:r>
              <w:rPr>
                <w:rFonts w:hint="default" w:ascii="Times New Roman" w:hAnsi="Times New Roman" w:cs="Times New Roman"/>
                <w:spacing w:val="6"/>
                <w:sz w:val="21"/>
                <w:szCs w:val="21"/>
                <w:highlight w:val="none"/>
                <w:u w:val="none" w:color="auto"/>
              </w:rPr>
              <w:t>，堆渣量为35.32万m</w:t>
            </w:r>
            <w:r>
              <w:rPr>
                <w:rFonts w:hint="default" w:ascii="Times New Roman" w:hAnsi="Times New Roman" w:cs="Times New Roman"/>
                <w:spacing w:val="6"/>
                <w:sz w:val="21"/>
                <w:szCs w:val="21"/>
                <w:highlight w:val="none"/>
                <w:u w:val="none" w:color="auto"/>
                <w:vertAlign w:val="superscript"/>
              </w:rPr>
              <w:t>3</w:t>
            </w:r>
            <w:r>
              <w:rPr>
                <w:rFonts w:hint="default" w:ascii="Times New Roman" w:hAnsi="Times New Roman" w:cs="Times New Roman"/>
                <w:spacing w:val="6"/>
                <w:sz w:val="21"/>
                <w:szCs w:val="21"/>
                <w:highlight w:val="none"/>
                <w:u w:val="none" w:color="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778" w:type="dxa"/>
            <w:vMerge w:val="restart"/>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pacing w:val="6"/>
                <w:sz w:val="21"/>
                <w:szCs w:val="21"/>
                <w:u w:val="none" w:color="auto"/>
                <w:lang w:val="en-US" w:eastAsia="zh-CN"/>
              </w:rPr>
            </w:pPr>
            <w:r>
              <w:rPr>
                <w:rFonts w:hint="eastAsia" w:cs="Times New Roman"/>
                <w:spacing w:val="6"/>
                <w:sz w:val="21"/>
                <w:szCs w:val="21"/>
                <w:u w:val="none" w:color="auto"/>
                <w:lang w:val="en-US" w:eastAsia="zh-CN"/>
              </w:rPr>
              <w:t>公用工程</w:t>
            </w:r>
          </w:p>
        </w:tc>
        <w:tc>
          <w:tcPr>
            <w:tcW w:w="1292" w:type="dxa"/>
            <w:shd w:val="clear" w:color="auto" w:fill="auto"/>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spacing w:val="6"/>
                <w:sz w:val="21"/>
                <w:szCs w:val="21"/>
                <w:u w:val="none" w:color="auto"/>
              </w:rPr>
              <w:t>供水</w:t>
            </w:r>
          </w:p>
        </w:tc>
        <w:tc>
          <w:tcPr>
            <w:tcW w:w="7143" w:type="dxa"/>
            <w:shd w:val="clear" w:color="auto" w:fill="auto"/>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pacing w:val="6"/>
                <w:sz w:val="21"/>
                <w:szCs w:val="21"/>
                <w:u w:val="none" w:color="auto"/>
                <w:lang w:val="en-US" w:eastAsia="zh-CN"/>
              </w:rPr>
            </w:pPr>
            <w:r>
              <w:rPr>
                <w:rFonts w:hint="eastAsia" w:ascii="Times New Roman" w:hAnsi="Times New Roman" w:eastAsia="宋体" w:cs="Times New Roman"/>
                <w:spacing w:val="6"/>
                <w:sz w:val="21"/>
                <w:szCs w:val="21"/>
                <w:u w:val="none" w:color="auto"/>
              </w:rPr>
              <w:t>汇集站建设一口水井供应营运期用水</w:t>
            </w:r>
            <w:r>
              <w:rPr>
                <w:rFonts w:hint="eastAsia" w:ascii="Times New Roman" w:hAnsi="Times New Roman" w:eastAsia="宋体" w:cs="Times New Roman"/>
                <w:spacing w:val="6"/>
                <w:sz w:val="21"/>
                <w:szCs w:val="21"/>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778" w:type="dxa"/>
            <w:vMerge w:val="continue"/>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p>
        </w:tc>
        <w:tc>
          <w:tcPr>
            <w:tcW w:w="1292" w:type="dxa"/>
            <w:shd w:val="clear" w:color="auto" w:fill="auto"/>
            <w:noWrap w:val="0"/>
            <w:vAlign w:val="center"/>
          </w:tcPr>
          <w:p>
            <w:pPr>
              <w:pStyle w:val="151"/>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ascii="Times New Roman" w:eastAsia="宋体" w:cs="Times New Roman"/>
                <w:color w:val="auto"/>
                <w:sz w:val="21"/>
                <w:szCs w:val="21"/>
                <w:u w:val="none"/>
              </w:rPr>
              <w:t>供电</w:t>
            </w:r>
          </w:p>
        </w:tc>
        <w:tc>
          <w:tcPr>
            <w:tcW w:w="7143" w:type="dxa"/>
            <w:shd w:val="clear" w:color="auto" w:fill="auto"/>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pacing w:val="6"/>
                <w:sz w:val="21"/>
                <w:szCs w:val="21"/>
                <w:u w:val="none" w:color="auto"/>
                <w:lang w:val="en-US" w:eastAsia="zh-CN"/>
              </w:rPr>
            </w:pPr>
            <w:r>
              <w:rPr>
                <w:rFonts w:hint="eastAsia" w:ascii="Times New Roman" w:hAnsi="Times New Roman" w:eastAsia="宋体" w:cs="Times New Roman"/>
                <w:spacing w:val="6"/>
                <w:sz w:val="21"/>
                <w:szCs w:val="21"/>
                <w:u w:val="none" w:color="auto"/>
              </w:rPr>
              <w:t>汇集站用电采取就近接入原则，从附近</w:t>
            </w:r>
            <w:r>
              <w:rPr>
                <w:rFonts w:hint="eastAsia" w:ascii="Times New Roman" w:hAnsi="Times New Roman" w:eastAsia="宋体" w:cs="Times New Roman"/>
                <w:spacing w:val="6"/>
                <w:sz w:val="21"/>
                <w:szCs w:val="21"/>
                <w:u w:val="none" w:color="auto"/>
                <w:lang w:val="en-US" w:eastAsia="zh-CN"/>
              </w:rPr>
              <w:t>村庄</w:t>
            </w:r>
            <w:r>
              <w:rPr>
                <w:rFonts w:hint="eastAsia" w:ascii="Times New Roman" w:hAnsi="Times New Roman" w:eastAsia="宋体" w:cs="Times New Roman"/>
                <w:spacing w:val="6"/>
                <w:sz w:val="21"/>
                <w:szCs w:val="21"/>
                <w:u w:val="none" w:color="auto"/>
              </w:rPr>
              <w:t>10</w:t>
            </w:r>
            <w:r>
              <w:rPr>
                <w:rFonts w:hint="eastAsia" w:ascii="Times New Roman" w:hAnsi="Times New Roman" w:eastAsia="宋体" w:cs="Times New Roman"/>
                <w:spacing w:val="6"/>
                <w:sz w:val="21"/>
                <w:szCs w:val="21"/>
                <w:u w:val="none" w:color="auto"/>
                <w:lang w:eastAsia="zh-CN"/>
              </w:rPr>
              <w:t>kV</w:t>
            </w:r>
            <w:r>
              <w:rPr>
                <w:rFonts w:hint="eastAsia" w:ascii="Times New Roman" w:hAnsi="Times New Roman" w:eastAsia="宋体" w:cs="Times New Roman"/>
                <w:spacing w:val="6"/>
                <w:sz w:val="21"/>
                <w:szCs w:val="21"/>
                <w:u w:val="none" w:color="auto"/>
                <w:lang w:val="en-US" w:eastAsia="zh-CN"/>
              </w:rPr>
              <w:t>线路</w:t>
            </w:r>
            <w:r>
              <w:rPr>
                <w:rFonts w:hint="eastAsia" w:ascii="Times New Roman" w:hAnsi="Times New Roman" w:eastAsia="宋体" w:cs="Times New Roman"/>
                <w:spacing w:val="6"/>
                <w:sz w:val="21"/>
                <w:szCs w:val="21"/>
                <w:u w:val="none" w:color="auto"/>
              </w:rPr>
              <w:t>引接</w:t>
            </w:r>
            <w:r>
              <w:rPr>
                <w:rFonts w:hint="eastAsia" w:ascii="Times New Roman" w:hAnsi="Times New Roman" w:eastAsia="宋体" w:cs="Times New Roman"/>
                <w:spacing w:val="6"/>
                <w:sz w:val="21"/>
                <w:szCs w:val="21"/>
                <w:u w:val="none" w:color="auto"/>
                <w:lang w:eastAsia="zh-CN"/>
              </w:rPr>
              <w:t>，</w:t>
            </w:r>
            <w:r>
              <w:rPr>
                <w:rFonts w:hint="eastAsia" w:ascii="Times New Roman" w:hAnsi="Times New Roman" w:eastAsia="宋体" w:cs="Times New Roman"/>
                <w:spacing w:val="6"/>
                <w:sz w:val="21"/>
                <w:szCs w:val="21"/>
                <w:u w:val="none" w:color="auto"/>
              </w:rPr>
              <w:t>其余施工临时用电从汇集站引接。为适应风电机组分布比较散的特点，施工用电还考虑配备2台50kW移动式柴油发电机发电，远离汇集站的施工用电由柴油发电机供电。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8" w:type="dxa"/>
            <w:vMerge w:val="restart"/>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环保工程</w:t>
            </w:r>
          </w:p>
        </w:tc>
        <w:tc>
          <w:tcPr>
            <w:tcW w:w="1292"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废水</w:t>
            </w:r>
          </w:p>
        </w:tc>
        <w:tc>
          <w:tcPr>
            <w:tcW w:w="7143"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生活污水经一体化污水处理设施处理后，经蓄水池收集用于周边</w:t>
            </w:r>
            <w:r>
              <w:rPr>
                <w:rFonts w:hint="eastAsia" w:cs="Times New Roman"/>
                <w:spacing w:val="6"/>
                <w:sz w:val="21"/>
                <w:szCs w:val="21"/>
                <w:u w:val="none" w:color="auto"/>
                <w:lang w:val="en-US" w:eastAsia="zh-CN"/>
              </w:rPr>
              <w:t>绿化</w:t>
            </w:r>
            <w:r>
              <w:rPr>
                <w:rFonts w:hint="default" w:ascii="Times New Roman" w:hAnsi="Times New Roman" w:cs="Times New Roman"/>
                <w:spacing w:val="6"/>
                <w:sz w:val="21"/>
                <w:szCs w:val="21"/>
                <w:u w:val="none" w:color="auto"/>
              </w:rPr>
              <w:t>，不外排。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78" w:type="dxa"/>
            <w:vMerge w:val="continue"/>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p>
        </w:tc>
        <w:tc>
          <w:tcPr>
            <w:tcW w:w="1292" w:type="dxa"/>
            <w:vMerge w:val="restart"/>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固废</w:t>
            </w:r>
          </w:p>
        </w:tc>
        <w:tc>
          <w:tcPr>
            <w:tcW w:w="7143"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pacing w:val="6"/>
                <w:sz w:val="21"/>
                <w:szCs w:val="21"/>
                <w:u w:val="none" w:color="auto"/>
                <w:lang w:val="en-US" w:eastAsia="zh-CN"/>
              </w:rPr>
            </w:pPr>
            <w:r>
              <w:rPr>
                <w:rFonts w:hint="default" w:ascii="Times New Roman" w:hAnsi="Times New Roman" w:cs="Times New Roman"/>
                <w:spacing w:val="6"/>
                <w:sz w:val="21"/>
                <w:szCs w:val="21"/>
                <w:u w:val="none" w:color="auto"/>
              </w:rPr>
              <w:t>生活垃圾</w:t>
            </w:r>
            <w:r>
              <w:rPr>
                <w:rFonts w:hint="eastAsia" w:cs="Times New Roman"/>
                <w:spacing w:val="6"/>
                <w:sz w:val="21"/>
                <w:szCs w:val="21"/>
                <w:u w:val="none" w:color="auto"/>
                <w:lang w:val="en-US" w:eastAsia="zh-CN"/>
              </w:rPr>
              <w:t>交由</w:t>
            </w:r>
            <w:r>
              <w:rPr>
                <w:rFonts w:hint="default" w:ascii="Times New Roman" w:hAnsi="Times New Roman" w:cs="Times New Roman"/>
                <w:spacing w:val="6"/>
                <w:sz w:val="21"/>
                <w:szCs w:val="21"/>
                <w:u w:val="none" w:color="auto"/>
              </w:rPr>
              <w:t>环卫部门</w:t>
            </w:r>
            <w:r>
              <w:rPr>
                <w:rFonts w:hint="eastAsia" w:cs="Times New Roman"/>
                <w:spacing w:val="6"/>
                <w:sz w:val="21"/>
                <w:szCs w:val="21"/>
                <w:u w:val="none" w:color="auto"/>
                <w:lang w:val="en-US" w:eastAsia="zh-CN"/>
              </w:rPr>
              <w:t>清运、处置。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78" w:type="dxa"/>
            <w:vMerge w:val="continue"/>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p>
        </w:tc>
        <w:tc>
          <w:tcPr>
            <w:tcW w:w="1292" w:type="dxa"/>
            <w:vMerge w:val="continue"/>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p>
        </w:tc>
        <w:tc>
          <w:tcPr>
            <w:tcW w:w="7143"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危险废物（废旧蓄电池、废润滑油、废变压器油等）分类收集暂存，设危险废物暂存间，</w:t>
            </w:r>
            <w:r>
              <w:rPr>
                <w:rFonts w:hint="eastAsia" w:ascii="Times New Roman" w:hAnsi="Times New Roman" w:cs="Times New Roman"/>
                <w:spacing w:val="6"/>
                <w:sz w:val="21"/>
                <w:szCs w:val="21"/>
                <w:u w:val="none" w:color="auto"/>
              </w:rPr>
              <w:t>交由</w:t>
            </w:r>
            <w:r>
              <w:rPr>
                <w:rFonts w:hint="eastAsia" w:cs="Times New Roman"/>
                <w:spacing w:val="6"/>
                <w:sz w:val="21"/>
                <w:szCs w:val="21"/>
                <w:u w:val="none" w:color="auto"/>
                <w:lang w:val="en-US" w:eastAsia="zh-CN"/>
              </w:rPr>
              <w:t>有</w:t>
            </w:r>
            <w:r>
              <w:rPr>
                <w:rFonts w:hint="eastAsia" w:ascii="Times New Roman" w:hAnsi="Times New Roman" w:cs="Times New Roman"/>
                <w:spacing w:val="6"/>
                <w:sz w:val="21"/>
                <w:szCs w:val="21"/>
                <w:u w:val="none" w:color="auto"/>
              </w:rPr>
              <w:t>资质的单位处理</w:t>
            </w:r>
            <w:r>
              <w:rPr>
                <w:rFonts w:hint="default" w:ascii="Times New Roman" w:hAnsi="Times New Roman" w:cs="Times New Roman"/>
                <w:spacing w:val="6"/>
                <w:sz w:val="21"/>
                <w:szCs w:val="21"/>
                <w:u w:val="none" w:color="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78" w:type="dxa"/>
            <w:vMerge w:val="continue"/>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p>
        </w:tc>
        <w:tc>
          <w:tcPr>
            <w:tcW w:w="1292"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噪声</w:t>
            </w:r>
          </w:p>
        </w:tc>
        <w:tc>
          <w:tcPr>
            <w:tcW w:w="7143"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选用低噪声设备，定期检查风机机械系统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78" w:type="dxa"/>
            <w:vMerge w:val="continue"/>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p>
        </w:tc>
        <w:tc>
          <w:tcPr>
            <w:tcW w:w="1292"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生态保护和水土流失</w:t>
            </w:r>
          </w:p>
        </w:tc>
        <w:tc>
          <w:tcPr>
            <w:tcW w:w="7143" w:type="dxa"/>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生态保护：优化风电机组位置，减少对植物的破坏；减少施工临时占地，避免对植被的破坏；对临时占地及时采取植树种草、合理绿化，对永久性占地进行生态补偿。</w:t>
            </w:r>
          </w:p>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水土流失治理：编制水土保持方案，制定水土保持控制目标，采取工程与植物措施相结合的方式控制水土流失。</w:t>
            </w:r>
          </w:p>
        </w:tc>
      </w:tr>
    </w:tbl>
    <w:p>
      <w:pPr>
        <w:keepNext w:val="0"/>
        <w:keepLines w:val="0"/>
        <w:pageBreakBefore w:val="0"/>
        <w:widowControl w:val="0"/>
        <w:tabs>
          <w:tab w:val="left" w:pos="1256"/>
          <w:tab w:val="clear" w:pos="480"/>
        </w:tabs>
        <w:kinsoku/>
        <w:wordWrap/>
        <w:overflowPunct/>
        <w:topLinePunct w:val="0"/>
        <w:autoSpaceDE/>
        <w:autoSpaceDN/>
        <w:bidi w:val="0"/>
        <w:adjustRightInd/>
        <w:snapToGrid/>
        <w:spacing w:line="360" w:lineRule="auto"/>
        <w:ind w:firstLine="481" w:firstLineChars="200"/>
        <w:textAlignment w:val="auto"/>
        <w:rPr>
          <w:rFonts w:hint="default" w:ascii="Times New Roman" w:hAnsi="Times New Roman" w:eastAsia="宋体" w:cs="Times New Roman"/>
          <w:b/>
          <w:bCs/>
          <w:sz w:val="24"/>
          <w:u w:val="none" w:color="auto"/>
          <w:lang w:val="en-US" w:eastAsia="zh-CN"/>
        </w:rPr>
      </w:pPr>
      <w:r>
        <w:rPr>
          <w:rFonts w:hint="eastAsia" w:ascii="Times New Roman" w:hAnsi="Times New Roman" w:eastAsia="宋体" w:cs="Times New Roman"/>
          <w:b/>
          <w:bCs/>
          <w:sz w:val="24"/>
          <w:u w:val="none" w:color="auto"/>
          <w:lang w:val="en-US" w:eastAsia="zh-CN"/>
        </w:rPr>
        <w:t>2、</w:t>
      </w:r>
      <w:r>
        <w:rPr>
          <w:rFonts w:hint="default" w:ascii="Times New Roman" w:hAnsi="Times New Roman" w:eastAsia="宋体" w:cs="Times New Roman"/>
          <w:b/>
          <w:bCs/>
          <w:sz w:val="24"/>
          <w:u w:val="none" w:color="auto"/>
          <w:lang w:val="en-US" w:eastAsia="zh-CN"/>
        </w:rPr>
        <w:t>工程等级</w:t>
      </w:r>
      <w:r>
        <w:rPr>
          <w:rFonts w:hint="eastAsia" w:ascii="Times New Roman" w:hAnsi="Times New Roman" w:eastAsia="宋体" w:cs="Times New Roman"/>
          <w:b/>
          <w:bCs/>
          <w:sz w:val="24"/>
          <w:u w:val="none" w:color="auto"/>
          <w:lang w:val="en-US" w:eastAsia="zh-CN"/>
        </w:rPr>
        <w:t>与工程特性</w:t>
      </w:r>
    </w:p>
    <w:p>
      <w:pPr>
        <w:keepNext w:val="0"/>
        <w:keepLines w:val="0"/>
        <w:pageBreakBefore w:val="0"/>
        <w:widowControl w:val="0"/>
        <w:tabs>
          <w:tab w:val="left" w:pos="1256"/>
          <w:tab w:val="clear" w:pos="480"/>
        </w:tabs>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sz w:val="24"/>
          <w:szCs w:val="24"/>
          <w:u w:val="none" w:color="auto"/>
          <w:lang w:eastAsia="zh-CN"/>
        </w:rPr>
      </w:pPr>
      <w:r>
        <w:rPr>
          <w:rFonts w:hint="eastAsia" w:ascii="Times New Roman" w:hAnsi="Times New Roman" w:cs="Times New Roman"/>
          <w:sz w:val="24"/>
          <w:szCs w:val="24"/>
          <w:u w:val="none" w:color="auto"/>
          <w:lang w:val="en-US" w:eastAsia="zh-CN"/>
        </w:rPr>
        <w:t>本</w:t>
      </w:r>
      <w:r>
        <w:rPr>
          <w:rFonts w:hint="default" w:ascii="Times New Roman" w:hAnsi="Times New Roman" w:cs="Times New Roman"/>
          <w:sz w:val="24"/>
          <w:szCs w:val="24"/>
          <w:u w:val="none" w:color="auto"/>
        </w:rPr>
        <w:t>风电场工程规模为中型；风电机组地基基础设计等级为甲级，风电机组基础结构安全等级为一级；抗震设防烈度为6度</w:t>
      </w:r>
      <w:r>
        <w:rPr>
          <w:rFonts w:hint="eastAsia" w:ascii="Times New Roman" w:hAnsi="Times New Roman" w:cs="Times New Roman"/>
          <w:sz w:val="24"/>
          <w:szCs w:val="24"/>
          <w:u w:val="none" w:color="auto"/>
          <w:lang w:eastAsia="zh-CN"/>
        </w:rPr>
        <w:t>。汇集站</w:t>
      </w:r>
      <w:r>
        <w:rPr>
          <w:rFonts w:hint="default" w:ascii="Times New Roman" w:hAnsi="Times New Roman" w:cs="Times New Roman"/>
          <w:sz w:val="24"/>
          <w:szCs w:val="24"/>
          <w:u w:val="none" w:color="auto"/>
        </w:rPr>
        <w:t>内建筑物、构筑物的结构安全等级均为二级。</w:t>
      </w:r>
    </w:p>
    <w:p>
      <w:pPr>
        <w:keepNext w:val="0"/>
        <w:keepLines w:val="0"/>
        <w:pageBreakBefore w:val="0"/>
        <w:widowControl w:val="0"/>
        <w:tabs>
          <w:tab w:val="left" w:pos="1256"/>
          <w:tab w:val="clear" w:pos="480"/>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u w:val="none" w:color="auto"/>
        </w:rPr>
      </w:pPr>
      <w:r>
        <w:rPr>
          <w:rFonts w:hint="default" w:ascii="Times New Roman" w:hAnsi="Times New Roman" w:cs="Times New Roman"/>
          <w:sz w:val="24"/>
          <w:szCs w:val="24"/>
          <w:u w:val="none" w:color="auto"/>
        </w:rPr>
        <w:t>项目变更前后相关工程特性详见</w:t>
      </w:r>
      <w:r>
        <w:rPr>
          <w:rFonts w:hint="eastAsia" w:cs="Times New Roman"/>
          <w:sz w:val="24"/>
          <w:szCs w:val="24"/>
          <w:u w:val="none" w:color="auto"/>
          <w:lang w:val="en-US" w:eastAsia="zh-CN"/>
        </w:rPr>
        <w:t>下</w:t>
      </w:r>
      <w:r>
        <w:rPr>
          <w:rFonts w:hint="default" w:ascii="Times New Roman" w:hAnsi="Times New Roman" w:cs="Times New Roman"/>
          <w:sz w:val="24"/>
          <w:szCs w:val="24"/>
          <w:u w:val="none" w:color="auto"/>
        </w:rPr>
        <w:t>表所示。</w:t>
      </w:r>
    </w:p>
    <w:p>
      <w:pPr>
        <w:pStyle w:val="2289"/>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pPr>
      <w:r>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t>项目变更前后主要工程特性一览表</w:t>
      </w:r>
    </w:p>
    <w:tbl>
      <w:tblPr>
        <w:tblStyle w:val="88"/>
        <w:tblW w:w="9250"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866"/>
        <w:gridCol w:w="752"/>
        <w:gridCol w:w="1157"/>
        <w:gridCol w:w="1943"/>
        <w:gridCol w:w="1023"/>
        <w:gridCol w:w="1704"/>
        <w:gridCol w:w="180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18" w:type="dxa"/>
            <w:gridSpan w:val="4"/>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名称</w:t>
            </w:r>
          </w:p>
        </w:tc>
        <w:tc>
          <w:tcPr>
            <w:tcW w:w="102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单位</w:t>
            </w:r>
          </w:p>
        </w:tc>
        <w:tc>
          <w:tcPr>
            <w:tcW w:w="1704"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b/>
                <w:bCs/>
                <w:sz w:val="21"/>
                <w:szCs w:val="21"/>
                <w:u w:val="none" w:color="auto"/>
              </w:rPr>
            </w:pPr>
            <w:r>
              <w:rPr>
                <w:rFonts w:hint="eastAsia" w:ascii="Times New Roman" w:hAnsi="Times New Roman" w:eastAsia="宋体" w:cs="Times New Roman"/>
                <w:b/>
                <w:bCs/>
                <w:sz w:val="21"/>
                <w:szCs w:val="21"/>
                <w:u w:val="none" w:color="auto"/>
                <w:lang w:eastAsia="zh-CN"/>
              </w:rPr>
              <w:t>变更前</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b/>
                <w:bCs/>
                <w:sz w:val="21"/>
                <w:szCs w:val="21"/>
                <w:u w:val="none" w:color="auto"/>
              </w:rPr>
            </w:pPr>
            <w:r>
              <w:rPr>
                <w:rFonts w:hint="eastAsia" w:ascii="Times New Roman" w:hAnsi="Times New Roman" w:eastAsia="宋体" w:cs="Times New Roman"/>
                <w:b/>
                <w:bCs/>
                <w:sz w:val="21"/>
                <w:szCs w:val="21"/>
                <w:u w:val="none" w:color="auto"/>
                <w:lang w:eastAsia="zh-CN"/>
              </w:rPr>
              <w:t>变更后</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restart"/>
            <w:tcBorders>
              <w:tl2br w:val="nil"/>
              <w:tr2bl w:val="nil"/>
            </w:tcBorders>
            <w:noWrap w:val="0"/>
            <w:vAlign w:val="center"/>
          </w:tcPr>
          <w:p>
            <w:pPr>
              <w:keepNext w:val="0"/>
              <w:keepLines w:val="0"/>
              <w:pageBreakBefore w:val="0"/>
              <w:tabs>
                <w:tab w:val="left" w:pos="1256"/>
                <w:tab w:val="clear" w:pos="480"/>
              </w:tabs>
              <w:kinsoku/>
              <w:wordWrap/>
              <w:overflowPunct/>
              <w:bidi w:val="0"/>
              <w:adjustRightInd w:val="0"/>
              <w:snapToGrid w:val="0"/>
              <w:spacing w:line="240" w:lineRule="auto"/>
              <w:ind w:firstLine="0" w:firstLineChars="0"/>
              <w:jc w:val="center"/>
              <w:textAlignment w:val="auto"/>
              <w:rPr>
                <w:rFonts w:hint="default" w:ascii="Times New Roman" w:hAnsi="Times New Roman" w:eastAsia="宋体" w:cs="Times New Roman"/>
                <w:spacing w:val="6"/>
                <w:sz w:val="21"/>
                <w:szCs w:val="21"/>
                <w:u w:val="none" w:color="auto"/>
              </w:rPr>
            </w:pPr>
            <w:r>
              <w:rPr>
                <w:rFonts w:hint="default" w:ascii="Times New Roman" w:hAnsi="Times New Roman" w:eastAsia="宋体" w:cs="Times New Roman"/>
                <w:spacing w:val="6"/>
                <w:sz w:val="21"/>
                <w:szCs w:val="21"/>
                <w:u w:val="none" w:color="auto"/>
              </w:rPr>
              <w:t>风</w:t>
            </w:r>
          </w:p>
          <w:p>
            <w:pPr>
              <w:keepNext w:val="0"/>
              <w:keepLines w:val="0"/>
              <w:pageBreakBefore w:val="0"/>
              <w:tabs>
                <w:tab w:val="left" w:pos="1256"/>
                <w:tab w:val="clear" w:pos="480"/>
              </w:tabs>
              <w:kinsoku/>
              <w:wordWrap/>
              <w:overflowPunct/>
              <w:bidi w:val="0"/>
              <w:adjustRightInd w:val="0"/>
              <w:snapToGrid w:val="0"/>
              <w:spacing w:line="240" w:lineRule="auto"/>
              <w:ind w:firstLine="0" w:firstLineChars="0"/>
              <w:jc w:val="center"/>
              <w:textAlignment w:val="auto"/>
              <w:rPr>
                <w:rFonts w:hint="default" w:ascii="Times New Roman" w:hAnsi="Times New Roman" w:eastAsia="宋体" w:cs="Times New Roman"/>
                <w:spacing w:val="6"/>
                <w:sz w:val="21"/>
                <w:szCs w:val="21"/>
                <w:u w:val="none" w:color="auto"/>
              </w:rPr>
            </w:pPr>
            <w:r>
              <w:rPr>
                <w:rFonts w:hint="default" w:ascii="Times New Roman" w:hAnsi="Times New Roman" w:eastAsia="宋体" w:cs="Times New Roman"/>
                <w:spacing w:val="6"/>
                <w:sz w:val="21"/>
                <w:szCs w:val="21"/>
                <w:u w:val="none" w:color="auto"/>
              </w:rPr>
              <w:t>电</w:t>
            </w:r>
          </w:p>
          <w:p>
            <w:pPr>
              <w:keepNext w:val="0"/>
              <w:keepLines w:val="0"/>
              <w:pageBreakBefore w:val="0"/>
              <w:tabs>
                <w:tab w:val="left" w:pos="1256"/>
                <w:tab w:val="clear" w:pos="480"/>
              </w:tabs>
              <w:kinsoku/>
              <w:wordWrap/>
              <w:overflowPunct/>
              <w:bidi w:val="0"/>
              <w:adjustRightInd w:val="0"/>
              <w:snapToGrid w:val="0"/>
              <w:spacing w:line="240" w:lineRule="auto"/>
              <w:ind w:firstLine="0" w:firstLineChars="0"/>
              <w:jc w:val="center"/>
              <w:textAlignment w:val="auto"/>
              <w:rPr>
                <w:rFonts w:hint="default" w:ascii="Times New Roman" w:hAnsi="Times New Roman" w:eastAsia="宋体" w:cs="Times New Roman"/>
                <w:spacing w:val="6"/>
                <w:sz w:val="21"/>
                <w:szCs w:val="21"/>
                <w:u w:val="none" w:color="auto"/>
              </w:rPr>
            </w:pPr>
            <w:r>
              <w:rPr>
                <w:rFonts w:hint="default" w:ascii="Times New Roman" w:hAnsi="Times New Roman" w:eastAsia="宋体" w:cs="Times New Roman"/>
                <w:spacing w:val="6"/>
                <w:sz w:val="21"/>
                <w:szCs w:val="21"/>
                <w:u w:val="none" w:color="auto"/>
              </w:rPr>
              <w:t>场</w:t>
            </w:r>
          </w:p>
          <w:p>
            <w:pPr>
              <w:keepNext w:val="0"/>
              <w:keepLines w:val="0"/>
              <w:pageBreakBefore w:val="0"/>
              <w:tabs>
                <w:tab w:val="left" w:pos="1256"/>
                <w:tab w:val="clear" w:pos="480"/>
              </w:tabs>
              <w:kinsoku/>
              <w:wordWrap/>
              <w:overflowPunct/>
              <w:bidi w:val="0"/>
              <w:adjustRightInd w:val="0"/>
              <w:snapToGrid w:val="0"/>
              <w:spacing w:line="240" w:lineRule="auto"/>
              <w:ind w:firstLine="0" w:firstLineChars="0"/>
              <w:jc w:val="center"/>
              <w:textAlignment w:val="auto"/>
              <w:rPr>
                <w:rFonts w:hint="default" w:ascii="Times New Roman" w:hAnsi="Times New Roman" w:eastAsia="宋体" w:cs="Times New Roman"/>
                <w:spacing w:val="6"/>
                <w:kern w:val="2"/>
                <w:sz w:val="21"/>
                <w:szCs w:val="21"/>
                <w:u w:val="none" w:color="auto"/>
                <w:lang w:val="en-US" w:eastAsia="zh-CN" w:bidi="ar-SA"/>
              </w:rPr>
            </w:pPr>
            <w:r>
              <w:rPr>
                <w:rFonts w:hint="default" w:ascii="Times New Roman" w:hAnsi="Times New Roman" w:eastAsia="宋体" w:cs="Times New Roman"/>
                <w:spacing w:val="6"/>
                <w:sz w:val="21"/>
                <w:szCs w:val="21"/>
                <w:u w:val="none" w:color="auto"/>
              </w:rPr>
              <w:t>址</w:t>
            </w:r>
          </w:p>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3852" w:type="dxa"/>
            <w:gridSpan w:val="3"/>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海拔高度</w:t>
            </w:r>
          </w:p>
        </w:tc>
        <w:tc>
          <w:tcPr>
            <w:tcW w:w="102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m</w:t>
            </w:r>
          </w:p>
        </w:tc>
        <w:tc>
          <w:tcPr>
            <w:tcW w:w="1704"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rPr>
              <w:t>1200~1620</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rPr>
              <w:t>1200~1620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3852" w:type="dxa"/>
            <w:gridSpan w:val="3"/>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年平均风速</w:t>
            </w:r>
          </w:p>
        </w:tc>
        <w:tc>
          <w:tcPr>
            <w:tcW w:w="102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m/s</w:t>
            </w:r>
          </w:p>
        </w:tc>
        <w:tc>
          <w:tcPr>
            <w:tcW w:w="1704"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rPr>
              <w:t>5.55</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rPr>
              <w:t>5.55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3852" w:type="dxa"/>
            <w:gridSpan w:val="3"/>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年平均风功率密度</w:t>
            </w:r>
          </w:p>
        </w:tc>
        <w:tc>
          <w:tcPr>
            <w:tcW w:w="102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eastAsia" w:ascii="Times New Roman" w:hAnsi="Times New Roman" w:eastAsia="宋体" w:cs="Times New Roman"/>
                <w:sz w:val="21"/>
                <w:szCs w:val="21"/>
                <w:u w:val="none" w:color="auto"/>
                <w:lang w:val="en-US" w:eastAsia="zh-CN"/>
              </w:rPr>
            </w:pPr>
            <w:r>
              <w:rPr>
                <w:rFonts w:hint="default" w:ascii="Times New Roman" w:hAnsi="Times New Roman" w:eastAsia="宋体" w:cs="Times New Roman"/>
                <w:sz w:val="21"/>
                <w:szCs w:val="21"/>
                <w:u w:val="none" w:color="auto"/>
              </w:rPr>
              <w:t>W/m</w:t>
            </w:r>
            <w:r>
              <w:rPr>
                <w:rFonts w:hint="eastAsia" w:ascii="Times New Roman" w:hAnsi="Times New Roman" w:eastAsia="宋体" w:cs="Times New Roman"/>
                <w:sz w:val="21"/>
                <w:szCs w:val="21"/>
                <w:u w:val="none" w:color="auto"/>
                <w:vertAlign w:val="superscript"/>
                <w:lang w:val="en-US" w:eastAsia="zh-CN"/>
              </w:rPr>
              <w:t>2</w:t>
            </w:r>
          </w:p>
        </w:tc>
        <w:tc>
          <w:tcPr>
            <w:tcW w:w="1704"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rPr>
              <w:t>252.4</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rPr>
              <w:t>252.4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3852" w:type="dxa"/>
            <w:gridSpan w:val="3"/>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盛行风向</w:t>
            </w:r>
          </w:p>
        </w:tc>
        <w:tc>
          <w:tcPr>
            <w:tcW w:w="102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w:t>
            </w:r>
          </w:p>
        </w:tc>
        <w:tc>
          <w:tcPr>
            <w:tcW w:w="1704"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rPr>
              <w:t>S~SW</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rPr>
              <w:t>S~SW</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restart"/>
            <w:tcBorders>
              <w:tl2br w:val="nil"/>
              <w:tr2bl w:val="nil"/>
            </w:tcBorders>
            <w:noWrap w:val="0"/>
            <w:vAlign w:val="center"/>
          </w:tcPr>
          <w:p>
            <w:pPr>
              <w:keepNext w:val="0"/>
              <w:keepLines w:val="0"/>
              <w:pageBreakBefore w:val="0"/>
              <w:tabs>
                <w:tab w:val="left" w:pos="1256"/>
                <w:tab w:val="clear" w:pos="480"/>
              </w:tabs>
              <w:kinsoku/>
              <w:wordWrap/>
              <w:overflowPunct/>
              <w:bidi w:val="0"/>
              <w:adjustRightInd w:val="0"/>
              <w:snapToGrid w:val="0"/>
              <w:spacing w:line="240" w:lineRule="auto"/>
              <w:ind w:firstLine="0" w:firstLineChars="0"/>
              <w:jc w:val="center"/>
              <w:textAlignment w:val="auto"/>
              <w:rPr>
                <w:rFonts w:hint="default" w:ascii="Times New Roman" w:hAnsi="Times New Roman" w:eastAsia="宋体" w:cs="Times New Roman"/>
                <w:spacing w:val="6"/>
                <w:sz w:val="21"/>
                <w:szCs w:val="21"/>
                <w:u w:val="none" w:color="auto"/>
              </w:rPr>
            </w:pPr>
            <w:r>
              <w:rPr>
                <w:rFonts w:hint="default" w:ascii="Times New Roman" w:hAnsi="Times New Roman" w:eastAsia="宋体" w:cs="Times New Roman"/>
                <w:spacing w:val="6"/>
                <w:sz w:val="21"/>
                <w:szCs w:val="21"/>
                <w:u w:val="none" w:color="auto"/>
              </w:rPr>
              <w:t>主</w:t>
            </w:r>
          </w:p>
          <w:p>
            <w:pPr>
              <w:keepNext w:val="0"/>
              <w:keepLines w:val="0"/>
              <w:pageBreakBefore w:val="0"/>
              <w:tabs>
                <w:tab w:val="left" w:pos="1256"/>
                <w:tab w:val="clear" w:pos="480"/>
              </w:tabs>
              <w:kinsoku/>
              <w:wordWrap/>
              <w:overflowPunct/>
              <w:bidi w:val="0"/>
              <w:adjustRightInd w:val="0"/>
              <w:snapToGrid w:val="0"/>
              <w:spacing w:line="240" w:lineRule="auto"/>
              <w:ind w:firstLine="0" w:firstLineChars="0"/>
              <w:jc w:val="center"/>
              <w:textAlignment w:val="auto"/>
              <w:rPr>
                <w:rFonts w:hint="default" w:ascii="Times New Roman" w:hAnsi="Times New Roman" w:eastAsia="宋体" w:cs="Times New Roman"/>
                <w:spacing w:val="6"/>
                <w:sz w:val="21"/>
                <w:szCs w:val="21"/>
                <w:u w:val="none" w:color="auto"/>
              </w:rPr>
            </w:pPr>
            <w:r>
              <w:rPr>
                <w:rFonts w:hint="default" w:ascii="Times New Roman" w:hAnsi="Times New Roman" w:eastAsia="宋体" w:cs="Times New Roman"/>
                <w:spacing w:val="6"/>
                <w:sz w:val="21"/>
                <w:szCs w:val="21"/>
                <w:u w:val="none" w:color="auto"/>
              </w:rPr>
              <w:t>要</w:t>
            </w:r>
          </w:p>
          <w:p>
            <w:pPr>
              <w:keepNext w:val="0"/>
              <w:keepLines w:val="0"/>
              <w:pageBreakBefore w:val="0"/>
              <w:tabs>
                <w:tab w:val="left" w:pos="1256"/>
                <w:tab w:val="clear" w:pos="480"/>
              </w:tabs>
              <w:kinsoku/>
              <w:wordWrap/>
              <w:overflowPunct/>
              <w:bidi w:val="0"/>
              <w:adjustRightInd w:val="0"/>
              <w:snapToGrid w:val="0"/>
              <w:spacing w:line="240" w:lineRule="auto"/>
              <w:ind w:firstLine="0" w:firstLineChars="0"/>
              <w:jc w:val="center"/>
              <w:textAlignment w:val="auto"/>
              <w:rPr>
                <w:rFonts w:hint="default" w:ascii="Times New Roman" w:hAnsi="Times New Roman" w:eastAsia="宋体" w:cs="Times New Roman"/>
                <w:spacing w:val="6"/>
                <w:sz w:val="21"/>
                <w:szCs w:val="21"/>
                <w:u w:val="none" w:color="auto"/>
              </w:rPr>
            </w:pPr>
            <w:r>
              <w:rPr>
                <w:rFonts w:hint="default" w:ascii="Times New Roman" w:hAnsi="Times New Roman" w:eastAsia="宋体" w:cs="Times New Roman"/>
                <w:spacing w:val="6"/>
                <w:sz w:val="21"/>
                <w:szCs w:val="21"/>
                <w:u w:val="none" w:color="auto"/>
              </w:rPr>
              <w:t>设</w:t>
            </w:r>
          </w:p>
          <w:p>
            <w:pPr>
              <w:keepNext w:val="0"/>
              <w:keepLines w:val="0"/>
              <w:pageBreakBefore w:val="0"/>
              <w:tabs>
                <w:tab w:val="left" w:pos="1256"/>
                <w:tab w:val="clear" w:pos="480"/>
              </w:tabs>
              <w:kinsoku/>
              <w:wordWrap/>
              <w:overflowPunct/>
              <w:bidi w:val="0"/>
              <w:adjustRightInd w:val="0"/>
              <w:snapToGrid w:val="0"/>
              <w:spacing w:line="240" w:lineRule="auto"/>
              <w:ind w:firstLine="0" w:firstLineChars="0"/>
              <w:jc w:val="center"/>
              <w:textAlignment w:val="auto"/>
              <w:rPr>
                <w:rFonts w:hint="default" w:ascii="Times New Roman" w:hAnsi="Times New Roman" w:eastAsia="宋体" w:cs="Times New Roman"/>
                <w:spacing w:val="6"/>
                <w:kern w:val="2"/>
                <w:sz w:val="21"/>
                <w:szCs w:val="21"/>
                <w:u w:val="none" w:color="auto"/>
                <w:lang w:val="en-US" w:eastAsia="zh-CN" w:bidi="ar-SA"/>
              </w:rPr>
            </w:pPr>
            <w:r>
              <w:rPr>
                <w:rFonts w:hint="default" w:ascii="Times New Roman" w:hAnsi="Times New Roman" w:eastAsia="宋体" w:cs="Times New Roman"/>
                <w:spacing w:val="6"/>
                <w:sz w:val="21"/>
                <w:szCs w:val="21"/>
                <w:u w:val="none" w:color="auto"/>
              </w:rPr>
              <w:t>备</w:t>
            </w:r>
          </w:p>
        </w:tc>
        <w:tc>
          <w:tcPr>
            <w:tcW w:w="1909" w:type="dxa"/>
            <w:gridSpan w:val="2"/>
            <w:vMerge w:val="restart"/>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eastAsia="zh-CN"/>
              </w:rPr>
            </w:pPr>
            <w:r>
              <w:rPr>
                <w:rFonts w:hint="default" w:ascii="Times New Roman" w:hAnsi="Times New Roman" w:eastAsia="宋体" w:cs="Times New Roman"/>
                <w:sz w:val="21"/>
                <w:szCs w:val="21"/>
                <w:u w:val="none" w:color="auto"/>
              </w:rPr>
              <w:t>风电机组</w:t>
            </w:r>
          </w:p>
        </w:tc>
        <w:tc>
          <w:tcPr>
            <w:tcW w:w="194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台数</w:t>
            </w:r>
          </w:p>
        </w:tc>
        <w:tc>
          <w:tcPr>
            <w:tcW w:w="102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台</w:t>
            </w:r>
          </w:p>
        </w:tc>
        <w:tc>
          <w:tcPr>
            <w:tcW w:w="1704"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15</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1909" w:type="dxa"/>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194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cs="Times New Roman"/>
                <w:color w:val="auto"/>
                <w:sz w:val="21"/>
                <w:szCs w:val="21"/>
                <w:u w:val="none" w:color="auto"/>
              </w:rPr>
              <w:t>单台</w:t>
            </w:r>
            <w:r>
              <w:rPr>
                <w:rFonts w:hint="default" w:ascii="Times New Roman" w:hAnsi="Times New Roman" w:eastAsia="宋体" w:cs="Times New Roman"/>
                <w:sz w:val="21"/>
                <w:szCs w:val="21"/>
                <w:u w:val="none" w:color="auto"/>
              </w:rPr>
              <w:t>额定功率</w:t>
            </w:r>
          </w:p>
        </w:tc>
        <w:tc>
          <w:tcPr>
            <w:tcW w:w="102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MW</w:t>
            </w:r>
          </w:p>
        </w:tc>
        <w:tc>
          <w:tcPr>
            <w:tcW w:w="1704"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5.0</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1909" w:type="dxa"/>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194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叶片数</w:t>
            </w:r>
          </w:p>
        </w:tc>
        <w:tc>
          <w:tcPr>
            <w:tcW w:w="102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个</w:t>
            </w:r>
          </w:p>
        </w:tc>
        <w:tc>
          <w:tcPr>
            <w:tcW w:w="1704"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3</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1909" w:type="dxa"/>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194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风轮直径</w:t>
            </w:r>
          </w:p>
        </w:tc>
        <w:tc>
          <w:tcPr>
            <w:tcW w:w="102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m</w:t>
            </w:r>
          </w:p>
        </w:tc>
        <w:tc>
          <w:tcPr>
            <w:tcW w:w="1704" w:type="dxa"/>
            <w:tcBorders>
              <w:tl2br w:val="nil"/>
              <w:tr2bl w:val="nil"/>
            </w:tcBorders>
            <w:noWrap w:val="0"/>
            <w:vAlign w:val="center"/>
          </w:tcPr>
          <w:p>
            <w:pPr>
              <w:keepNext w:val="0"/>
              <w:keepLines w:val="0"/>
              <w:pageBreakBefore w:val="0"/>
              <w:tabs>
                <w:tab w:val="left" w:pos="1256"/>
                <w:tab w:val="clear" w:pos="480"/>
              </w:tabs>
              <w:kinsoku/>
              <w:wordWrap/>
              <w:overflowPunct/>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cs="Times New Roman"/>
                <w:sz w:val="21"/>
                <w:szCs w:val="21"/>
                <w:u w:val="none" w:color="auto"/>
                <w:lang w:val="en-US" w:eastAsia="zh-CN"/>
              </w:rPr>
              <w:t>195</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highlight w:val="none"/>
                <w:u w:val="none" w:color="auto"/>
                <w:lang w:val="en-US" w:eastAsia="zh-CN"/>
              </w:rPr>
            </w:pPr>
            <w:r>
              <w:rPr>
                <w:rFonts w:hint="eastAsia" w:ascii="Times New Roman" w:hAnsi="Times New Roman" w:cs="Times New Roman"/>
                <w:sz w:val="21"/>
                <w:szCs w:val="21"/>
                <w:highlight w:val="none"/>
                <w:u w:val="none" w:color="auto"/>
                <w:lang w:val="en-US" w:eastAsia="zh-CN"/>
              </w:rPr>
              <w:t>195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1909" w:type="dxa"/>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194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eastAsia" w:ascii="Times New Roman" w:hAnsi="Times New Roman" w:eastAsia="宋体" w:cs="Times New Roman"/>
                <w:sz w:val="21"/>
                <w:szCs w:val="21"/>
                <w:u w:val="none" w:color="auto"/>
                <w:lang w:eastAsia="zh-CN"/>
              </w:rPr>
            </w:pPr>
            <w:r>
              <w:rPr>
                <w:rFonts w:hint="eastAsia" w:ascii="Times New Roman" w:hAnsi="Times New Roman" w:eastAsia="宋体" w:cs="Times New Roman"/>
                <w:sz w:val="21"/>
                <w:szCs w:val="21"/>
                <w:u w:val="none" w:color="auto"/>
                <w:lang w:eastAsia="zh-CN"/>
              </w:rPr>
              <w:t>轮毂高度</w:t>
            </w:r>
          </w:p>
        </w:tc>
        <w:tc>
          <w:tcPr>
            <w:tcW w:w="102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m</w:t>
            </w:r>
          </w:p>
        </w:tc>
        <w:tc>
          <w:tcPr>
            <w:tcW w:w="1704"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110</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highlight w:val="none"/>
                <w:u w:val="none" w:color="auto"/>
                <w:lang w:val="en-US" w:eastAsia="zh-CN"/>
              </w:rPr>
            </w:pPr>
            <w:r>
              <w:rPr>
                <w:rFonts w:hint="eastAsia" w:ascii="Times New Roman" w:hAnsi="Times New Roman" w:cs="Times New Roman"/>
                <w:sz w:val="21"/>
                <w:szCs w:val="21"/>
                <w:highlight w:val="none"/>
                <w:u w:val="none" w:color="auto"/>
                <w:lang w:val="en-US" w:eastAsia="zh-CN"/>
              </w:rPr>
              <w:t>110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1909" w:type="dxa"/>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194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eastAsia" w:ascii="Times New Roman" w:hAnsi="Times New Roman" w:eastAsia="宋体" w:cs="Times New Roman"/>
                <w:sz w:val="21"/>
                <w:szCs w:val="21"/>
                <w:u w:val="none" w:color="auto"/>
                <w:lang w:eastAsia="zh-CN"/>
              </w:rPr>
            </w:pPr>
            <w:r>
              <w:rPr>
                <w:rFonts w:hint="default" w:ascii="Times New Roman" w:hAnsi="Times New Roman" w:eastAsia="宋体" w:cs="Times New Roman"/>
                <w:sz w:val="21"/>
                <w:szCs w:val="21"/>
                <w:u w:val="none" w:color="auto"/>
              </w:rPr>
              <w:t>额定</w:t>
            </w:r>
            <w:r>
              <w:rPr>
                <w:rFonts w:hint="eastAsia" w:ascii="Times New Roman" w:hAnsi="Times New Roman" w:eastAsia="宋体" w:cs="Times New Roman"/>
                <w:sz w:val="21"/>
                <w:szCs w:val="21"/>
                <w:u w:val="none" w:color="auto"/>
                <w:lang w:eastAsia="zh-CN"/>
              </w:rPr>
              <w:t>风速</w:t>
            </w:r>
          </w:p>
        </w:tc>
        <w:tc>
          <w:tcPr>
            <w:tcW w:w="1023" w:type="dxa"/>
            <w:tcBorders>
              <w:tl2br w:val="nil"/>
              <w:tr2bl w:val="nil"/>
            </w:tcBorders>
            <w:noWrap w:val="0"/>
            <w:vAlign w:val="center"/>
          </w:tcPr>
          <w:p>
            <w:pPr>
              <w:keepNext w:val="0"/>
              <w:keepLines w:val="0"/>
              <w:pageBreakBefore w:val="0"/>
              <w:kinsoku/>
              <w:wordWrap/>
              <w:overflowPunct/>
              <w:bidi w:val="0"/>
              <w:spacing w:line="240" w:lineRule="auto"/>
              <w:ind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m/s</w:t>
            </w:r>
          </w:p>
        </w:tc>
        <w:tc>
          <w:tcPr>
            <w:tcW w:w="1704" w:type="dxa"/>
            <w:tcBorders>
              <w:tl2br w:val="nil"/>
              <w:tr2bl w:val="nil"/>
            </w:tcBorders>
            <w:noWrap w:val="0"/>
            <w:vAlign w:val="center"/>
          </w:tcPr>
          <w:p>
            <w:pPr>
              <w:keepNext w:val="0"/>
              <w:keepLines w:val="0"/>
              <w:pageBreakBefore w:val="0"/>
              <w:tabs>
                <w:tab w:val="left" w:pos="1256"/>
                <w:tab w:val="clear" w:pos="480"/>
              </w:tabs>
              <w:kinsoku/>
              <w:wordWrap/>
              <w:overflowPunct/>
              <w:bidi w:val="0"/>
              <w:adjustRightInd w:val="0"/>
              <w:snapToGrid w:val="0"/>
              <w:spacing w:line="240" w:lineRule="auto"/>
              <w:ind w:firstLine="0" w:firstLineChars="0"/>
              <w:jc w:val="center"/>
              <w:textAlignment w:val="auto"/>
              <w:rPr>
                <w:rFonts w:hint="default" w:ascii="Times New Roman" w:hAnsi="Times New Roman" w:eastAsia="Calibri" w:cs="Times New Roman"/>
                <w:kern w:val="2"/>
                <w:sz w:val="21"/>
                <w:szCs w:val="21"/>
                <w:u w:val="none" w:color="auto"/>
                <w:lang w:val="en-US" w:eastAsia="zh-CN" w:bidi="ar-SA"/>
              </w:rPr>
            </w:pPr>
            <w:r>
              <w:rPr>
                <w:rFonts w:hint="eastAsia" w:eastAsia="Calibri" w:cs="Times New Roman"/>
                <w:kern w:val="2"/>
                <w:sz w:val="21"/>
                <w:szCs w:val="21"/>
                <w:u w:val="none" w:color="auto"/>
                <w:lang w:val="en-US" w:eastAsia="zh-CN" w:bidi="ar-SA"/>
              </w:rPr>
              <w:t>10</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highlight w:val="none"/>
                <w:u w:val="none" w:color="auto"/>
                <w:lang w:val="en-US" w:eastAsia="zh-CN"/>
              </w:rPr>
            </w:pPr>
            <w:r>
              <w:rPr>
                <w:rFonts w:hint="eastAsia" w:ascii="Times New Roman" w:hAnsi="Times New Roman" w:cs="Times New Roman"/>
                <w:sz w:val="21"/>
                <w:szCs w:val="21"/>
                <w:highlight w:val="none"/>
                <w:u w:val="none" w:color="auto"/>
                <w:lang w:val="en-US" w:eastAsia="zh-CN"/>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1909" w:type="dxa"/>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eastAsia="zh-CN"/>
              </w:rPr>
            </w:pPr>
          </w:p>
        </w:tc>
        <w:tc>
          <w:tcPr>
            <w:tcW w:w="194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35</w:t>
            </w:r>
            <w:r>
              <w:rPr>
                <w:rFonts w:hint="eastAsia" w:ascii="Times New Roman" w:hAnsi="Times New Roman" w:cs="Times New Roman"/>
                <w:sz w:val="21"/>
                <w:szCs w:val="21"/>
                <w:u w:val="none" w:color="auto"/>
                <w:lang w:eastAsia="zh-CN"/>
              </w:rPr>
              <w:t>kV</w:t>
            </w:r>
            <w:r>
              <w:rPr>
                <w:rFonts w:hint="default" w:ascii="Times New Roman" w:hAnsi="Times New Roman" w:eastAsia="宋体" w:cs="Times New Roman"/>
                <w:sz w:val="21"/>
                <w:szCs w:val="21"/>
                <w:u w:val="none" w:color="auto"/>
              </w:rPr>
              <w:t>箱式变电站</w:t>
            </w:r>
          </w:p>
        </w:tc>
        <w:tc>
          <w:tcPr>
            <w:tcW w:w="102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座</w:t>
            </w:r>
          </w:p>
        </w:tc>
        <w:tc>
          <w:tcPr>
            <w:tcW w:w="1704"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15</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75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eastAsia="zh-CN"/>
              </w:rPr>
            </w:pPr>
            <w:r>
              <w:rPr>
                <w:rFonts w:hint="eastAsia" w:cs="Times New Roman"/>
                <w:sz w:val="21"/>
                <w:szCs w:val="21"/>
                <w:u w:val="none" w:color="auto"/>
                <w:lang w:eastAsia="zh-CN"/>
              </w:rPr>
              <w:t>汇集站</w:t>
            </w:r>
          </w:p>
        </w:tc>
        <w:tc>
          <w:tcPr>
            <w:tcW w:w="115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eastAsia="zh-CN"/>
              </w:rPr>
            </w:pPr>
            <w:r>
              <w:rPr>
                <w:rFonts w:hint="eastAsia" w:ascii="Times New Roman" w:hAnsi="Times New Roman" w:eastAsia="宋体" w:cs="Times New Roman"/>
                <w:sz w:val="21"/>
                <w:szCs w:val="21"/>
                <w:u w:val="none" w:color="auto"/>
                <w:lang w:eastAsia="zh-CN"/>
              </w:rPr>
              <w:t>主变压器</w:t>
            </w:r>
          </w:p>
        </w:tc>
        <w:tc>
          <w:tcPr>
            <w:tcW w:w="194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default" w:ascii="Times New Roman" w:hAnsi="Times New Roman" w:eastAsia="宋体" w:cs="Times New Roman"/>
                <w:sz w:val="21"/>
                <w:szCs w:val="21"/>
                <w:u w:val="none" w:color="auto"/>
              </w:rPr>
              <w:t>台数</w:t>
            </w:r>
          </w:p>
        </w:tc>
        <w:tc>
          <w:tcPr>
            <w:tcW w:w="102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default" w:ascii="Times New Roman" w:hAnsi="Times New Roman" w:eastAsia="宋体" w:cs="Times New Roman"/>
                <w:sz w:val="21"/>
                <w:szCs w:val="21"/>
                <w:u w:val="none" w:color="auto"/>
              </w:rPr>
              <w:t>台</w:t>
            </w:r>
          </w:p>
        </w:tc>
        <w:tc>
          <w:tcPr>
            <w:tcW w:w="1704"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eastAsia"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近期2，远期3</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eastAsia"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近期2，远期3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75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eastAsia="zh-CN"/>
              </w:rPr>
            </w:pPr>
          </w:p>
        </w:tc>
        <w:tc>
          <w:tcPr>
            <w:tcW w:w="11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eastAsia="zh-CN"/>
              </w:rPr>
            </w:pPr>
          </w:p>
        </w:tc>
        <w:tc>
          <w:tcPr>
            <w:tcW w:w="194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default" w:ascii="Times New Roman" w:hAnsi="Times New Roman" w:eastAsia="宋体" w:cs="Times New Roman"/>
                <w:sz w:val="21"/>
                <w:szCs w:val="21"/>
                <w:u w:val="none" w:color="auto"/>
              </w:rPr>
              <w:t>容量</w:t>
            </w:r>
          </w:p>
        </w:tc>
        <w:tc>
          <w:tcPr>
            <w:tcW w:w="102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eastAsia" w:ascii="Times New Roman" w:hAnsi="Times New Roman" w:cs="Times New Roman"/>
                <w:sz w:val="21"/>
                <w:szCs w:val="21"/>
                <w:u w:val="none" w:color="auto"/>
                <w:lang w:val="en-US" w:eastAsia="zh-CN"/>
              </w:rPr>
              <w:t>M</w:t>
            </w:r>
            <w:r>
              <w:rPr>
                <w:rFonts w:hint="default" w:ascii="Times New Roman" w:hAnsi="Times New Roman" w:eastAsia="宋体" w:cs="Times New Roman"/>
                <w:sz w:val="21"/>
                <w:szCs w:val="21"/>
                <w:u w:val="none" w:color="auto"/>
              </w:rPr>
              <w:t>VA</w:t>
            </w:r>
          </w:p>
        </w:tc>
        <w:tc>
          <w:tcPr>
            <w:tcW w:w="1704"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240</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240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75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eastAsia="zh-CN"/>
              </w:rPr>
            </w:pPr>
          </w:p>
        </w:tc>
        <w:tc>
          <w:tcPr>
            <w:tcW w:w="115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eastAsia="zh-CN"/>
              </w:rPr>
            </w:pPr>
          </w:p>
        </w:tc>
        <w:tc>
          <w:tcPr>
            <w:tcW w:w="194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default" w:ascii="Times New Roman" w:hAnsi="Times New Roman" w:eastAsia="宋体" w:cs="Times New Roman"/>
                <w:sz w:val="21"/>
                <w:szCs w:val="21"/>
                <w:u w:val="none" w:color="auto"/>
              </w:rPr>
              <w:t>额定电压</w:t>
            </w:r>
          </w:p>
        </w:tc>
        <w:tc>
          <w:tcPr>
            <w:tcW w:w="102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eastAsia"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u w:val="none" w:color="auto"/>
                <w:lang w:eastAsia="zh-CN"/>
              </w:rPr>
              <w:t>kV</w:t>
            </w:r>
          </w:p>
        </w:tc>
        <w:tc>
          <w:tcPr>
            <w:tcW w:w="1704"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rPr>
              <w:t>230±8×1.25%/115/36.75</w:t>
            </w:r>
            <w:r>
              <w:rPr>
                <w:rFonts w:hint="eastAsia" w:ascii="Times New Roman" w:hAnsi="Times New Roman" w:cs="Times New Roman"/>
                <w:sz w:val="21"/>
                <w:szCs w:val="21"/>
                <w:u w:val="none" w:color="auto"/>
                <w:lang w:eastAsia="zh-CN"/>
              </w:rPr>
              <w:t>kV</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rPr>
              <w:t>230±8×1.25%/115/36.75</w:t>
            </w:r>
            <w:r>
              <w:rPr>
                <w:rFonts w:hint="eastAsia" w:ascii="Times New Roman" w:hAnsi="Times New Roman" w:cs="Times New Roman"/>
                <w:sz w:val="21"/>
                <w:szCs w:val="21"/>
                <w:u w:val="none" w:color="auto"/>
                <w:lang w:eastAsia="zh-CN"/>
              </w:rPr>
              <w:t>kV</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75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11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eastAsia="zh-CN"/>
              </w:rPr>
            </w:pPr>
            <w:r>
              <w:rPr>
                <w:rFonts w:hint="default" w:ascii="Times New Roman" w:hAnsi="Times New Roman" w:eastAsia="宋体" w:cs="Times New Roman"/>
                <w:sz w:val="21"/>
                <w:szCs w:val="21"/>
                <w:u w:val="none" w:color="auto"/>
                <w:lang w:eastAsia="zh-CN"/>
              </w:rPr>
              <w:t>出线回路数及电压等级</w:t>
            </w:r>
          </w:p>
        </w:tc>
        <w:tc>
          <w:tcPr>
            <w:tcW w:w="1943" w:type="dxa"/>
            <w:tcBorders>
              <w:tl2br w:val="nil"/>
              <w:tr2bl w:val="nil"/>
            </w:tcBorders>
            <w:shd w:val="clear" w:color="auto" w:fill="auto"/>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u w:val="none" w:color="auto"/>
                <w:lang w:val="en-US" w:eastAsia="en-US" w:bidi="ar-SA"/>
                <w14:textFill>
                  <w14:solidFill>
                    <w14:schemeClr w14:val="tx1"/>
                  </w14:solidFill>
                </w14:textFill>
              </w:rPr>
            </w:pPr>
            <w:r>
              <w:rPr>
                <w:rFonts w:hint="default" w:ascii="Times New Roman" w:hAnsi="Times New Roman" w:eastAsia="宋体" w:cs="Times New Roman"/>
                <w:sz w:val="21"/>
                <w:szCs w:val="21"/>
                <w:u w:val="none" w:color="auto"/>
              </w:rPr>
              <w:t>电压等级</w:t>
            </w:r>
          </w:p>
        </w:tc>
        <w:tc>
          <w:tcPr>
            <w:tcW w:w="1023" w:type="dxa"/>
            <w:tcBorders>
              <w:tl2br w:val="nil"/>
              <w:tr2bl w:val="nil"/>
            </w:tcBorders>
            <w:shd w:val="clear" w:color="auto" w:fill="auto"/>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rFonts w:hint="eastAsia" w:ascii="Times New Roman" w:hAnsi="Times New Roman" w:cs="Times New Roman"/>
                <w:sz w:val="21"/>
                <w:szCs w:val="21"/>
                <w:u w:val="none" w:color="auto"/>
                <w:lang w:eastAsia="zh-CN"/>
              </w:rPr>
              <w:t>kV</w:t>
            </w:r>
          </w:p>
        </w:tc>
        <w:tc>
          <w:tcPr>
            <w:tcW w:w="1704" w:type="dxa"/>
            <w:tcBorders>
              <w:tl2br w:val="nil"/>
              <w:tr2bl w:val="nil"/>
            </w:tcBorders>
            <w:shd w:val="clear" w:color="auto" w:fill="auto"/>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rFonts w:hint="eastAsia" w:ascii="Times New Roman" w:hAnsi="Times New Roman" w:cs="Times New Roman"/>
                <w:sz w:val="21"/>
                <w:szCs w:val="21"/>
                <w:u w:val="none" w:color="auto"/>
                <w:lang w:val="en-US" w:eastAsia="zh-CN"/>
              </w:rPr>
              <w:t>220</w:t>
            </w:r>
          </w:p>
        </w:tc>
        <w:tc>
          <w:tcPr>
            <w:tcW w:w="1805" w:type="dxa"/>
            <w:tcBorders>
              <w:tl2br w:val="nil"/>
              <w:tr2bl w:val="nil"/>
            </w:tcBorders>
            <w:shd w:val="clear" w:color="auto" w:fill="auto"/>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rFonts w:hint="eastAsia" w:ascii="Times New Roman" w:hAnsi="Times New Roman" w:cs="Times New Roman"/>
                <w:sz w:val="21"/>
                <w:szCs w:val="21"/>
                <w:u w:val="none" w:color="auto"/>
                <w:lang w:val="en-US" w:eastAsia="zh-CN"/>
              </w:rPr>
              <w:t>220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restart"/>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lang w:eastAsia="zh-CN"/>
              </w:rPr>
            </w:pPr>
            <w:r>
              <w:rPr>
                <w:rFonts w:hint="default" w:ascii="Times New Roman" w:hAnsi="Times New Roman" w:eastAsia="宋体" w:cs="Times New Roman"/>
                <w:sz w:val="21"/>
                <w:szCs w:val="21"/>
                <w:u w:val="none" w:color="auto"/>
                <w:lang w:eastAsia="zh-CN"/>
              </w:rPr>
              <w:t>施工</w:t>
            </w:r>
          </w:p>
        </w:tc>
        <w:tc>
          <w:tcPr>
            <w:tcW w:w="3852" w:type="dxa"/>
            <w:gridSpan w:val="3"/>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63" w:line="240" w:lineRule="auto"/>
              <w:ind w:left="250" w:leftChars="0" w:right="237"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default" w:ascii="Times New Roman" w:hAnsi="Times New Roman" w:eastAsia="宋体" w:cs="Times New Roman"/>
                <w:sz w:val="21"/>
                <w:szCs w:val="21"/>
                <w:u w:val="none" w:color="auto"/>
              </w:rPr>
              <w:t>土石方开挖</w:t>
            </w:r>
          </w:p>
        </w:tc>
        <w:tc>
          <w:tcPr>
            <w:tcW w:w="102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68" w:line="240" w:lineRule="auto"/>
              <w:ind w:left="129" w:leftChars="0" w:right="120"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default" w:ascii="Times New Roman" w:hAnsi="Times New Roman" w:eastAsia="宋体" w:cs="Times New Roman"/>
                <w:position w:val="-6"/>
                <w:sz w:val="21"/>
                <w:szCs w:val="21"/>
                <w:u w:val="none" w:color="auto"/>
                <w:lang w:eastAsia="zh-CN"/>
              </w:rPr>
              <w:t>万</w:t>
            </w:r>
            <w:r>
              <w:rPr>
                <w:rFonts w:ascii="Times New Roman" w:hAnsi="Times New Roman"/>
                <w:sz w:val="21"/>
                <w:szCs w:val="21"/>
                <w:u w:val="none" w:color="auto"/>
                <w:lang w:bidi="ar"/>
              </w:rPr>
              <w:t>m</w:t>
            </w:r>
            <w:r>
              <w:rPr>
                <w:rFonts w:ascii="Times New Roman" w:hAnsi="Times New Roman"/>
                <w:sz w:val="21"/>
                <w:szCs w:val="21"/>
                <w:u w:val="none" w:color="auto"/>
                <w:vertAlign w:val="superscript"/>
                <w:lang w:bidi="ar"/>
              </w:rPr>
              <w:t>3</w:t>
            </w:r>
          </w:p>
        </w:tc>
        <w:tc>
          <w:tcPr>
            <w:tcW w:w="1704" w:type="dxa"/>
            <w:tcBorders>
              <w:tl2br w:val="nil"/>
              <w:tr2bl w:val="nil"/>
            </w:tcBorders>
            <w:noWrap w:val="0"/>
            <w:vAlign w:val="center"/>
          </w:tcPr>
          <w:p>
            <w:pPr>
              <w:keepNext w:val="0"/>
              <w:keepLines w:val="0"/>
              <w:pageBreakBefore w:val="0"/>
              <w:kinsoku/>
              <w:wordWrap/>
              <w:overflowPunct/>
              <w:bidi w:val="0"/>
              <w:spacing w:line="240" w:lineRule="auto"/>
              <w:ind w:firstLine="0" w:firstLineChars="0"/>
              <w:jc w:val="center"/>
              <w:textAlignment w:val="auto"/>
              <w:rPr>
                <w:rFonts w:hint="default" w:ascii="Times New Roman" w:hAnsi="Times New Roman" w:eastAsia="宋体" w:cs="Times New Roman"/>
                <w:color w:val="0000FF"/>
                <w:kern w:val="2"/>
                <w:sz w:val="21"/>
                <w:szCs w:val="21"/>
                <w:u w:val="none" w:color="auto"/>
                <w:lang w:val="en-US" w:eastAsia="zh-CN" w:bidi="ar-SA"/>
              </w:rPr>
            </w:pPr>
            <w:r>
              <w:rPr>
                <w:rFonts w:hint="eastAsia" w:cs="Times New Roman"/>
                <w:color w:val="auto"/>
                <w:kern w:val="2"/>
                <w:sz w:val="21"/>
                <w:szCs w:val="21"/>
                <w:u w:val="none" w:color="auto"/>
                <w:lang w:val="en-US" w:eastAsia="zh-CN" w:bidi="ar-SA"/>
              </w:rPr>
              <w:t>79.49</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72" w:line="240" w:lineRule="auto"/>
              <w:ind w:left="295" w:leftChars="0" w:right="287" w:rightChars="0" w:firstLine="0" w:firstLineChars="0"/>
              <w:jc w:val="center"/>
              <w:textAlignment w:val="auto"/>
              <w:rPr>
                <w:rFonts w:hint="default" w:ascii="Times New Roman" w:hAnsi="Times New Roman" w:eastAsia="宋体" w:cs="Times New Roman"/>
                <w:bCs/>
                <w:color w:val="000000"/>
                <w:sz w:val="21"/>
                <w:szCs w:val="21"/>
                <w:highlight w:val="none"/>
                <w:u w:val="none" w:color="auto"/>
                <w:lang w:val="en-US" w:eastAsia="zh-CN"/>
              </w:rPr>
            </w:pPr>
            <w:r>
              <w:rPr>
                <w:rFonts w:hint="eastAsia" w:ascii="Times New Roman" w:hAnsi="Times New Roman" w:eastAsia="宋体" w:cs="Times New Roman"/>
                <w:color w:val="auto"/>
                <w:kern w:val="28"/>
                <w:sz w:val="21"/>
                <w:szCs w:val="21"/>
                <w:highlight w:val="none"/>
                <w:u w:val="none" w:color="auto"/>
                <w:lang w:eastAsia="zh-CN"/>
              </w:rPr>
              <w:t>80.30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3852" w:type="dxa"/>
            <w:gridSpan w:val="3"/>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49" w:line="240" w:lineRule="auto"/>
              <w:ind w:left="250" w:leftChars="0" w:right="237"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default" w:ascii="Times New Roman" w:hAnsi="Times New Roman" w:eastAsia="宋体" w:cs="Times New Roman"/>
                <w:sz w:val="21"/>
                <w:szCs w:val="21"/>
                <w:u w:val="none" w:color="auto"/>
              </w:rPr>
              <w:t>土石方回填</w:t>
            </w:r>
          </w:p>
        </w:tc>
        <w:tc>
          <w:tcPr>
            <w:tcW w:w="102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51" w:line="240" w:lineRule="auto"/>
              <w:ind w:left="129" w:leftChars="0" w:right="120"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default" w:ascii="Times New Roman" w:hAnsi="Times New Roman" w:eastAsia="宋体" w:cs="Times New Roman"/>
                <w:position w:val="-6"/>
                <w:sz w:val="21"/>
                <w:szCs w:val="21"/>
                <w:u w:val="none" w:color="auto"/>
                <w:lang w:eastAsia="zh-CN"/>
              </w:rPr>
              <w:t>万</w:t>
            </w:r>
            <w:r>
              <w:rPr>
                <w:rFonts w:ascii="Times New Roman" w:hAnsi="Times New Roman"/>
                <w:sz w:val="21"/>
                <w:szCs w:val="21"/>
                <w:u w:val="none" w:color="auto"/>
                <w:lang w:bidi="ar"/>
              </w:rPr>
              <w:t>m</w:t>
            </w:r>
            <w:r>
              <w:rPr>
                <w:rFonts w:ascii="Times New Roman" w:hAnsi="Times New Roman"/>
                <w:sz w:val="21"/>
                <w:szCs w:val="21"/>
                <w:u w:val="none" w:color="auto"/>
                <w:vertAlign w:val="superscript"/>
                <w:lang w:bidi="ar"/>
              </w:rPr>
              <w:t>3</w:t>
            </w:r>
          </w:p>
        </w:tc>
        <w:tc>
          <w:tcPr>
            <w:tcW w:w="1704" w:type="dxa"/>
            <w:tcBorders>
              <w:tl2br w:val="nil"/>
              <w:tr2bl w:val="nil"/>
            </w:tcBorders>
            <w:noWrap w:val="0"/>
            <w:vAlign w:val="center"/>
          </w:tcPr>
          <w:p>
            <w:pPr>
              <w:keepNext w:val="0"/>
              <w:keepLines w:val="0"/>
              <w:pageBreakBefore w:val="0"/>
              <w:kinsoku/>
              <w:wordWrap/>
              <w:overflowPunct/>
              <w:bidi w:val="0"/>
              <w:spacing w:line="240" w:lineRule="auto"/>
              <w:ind w:firstLine="0" w:firstLineChars="0"/>
              <w:jc w:val="center"/>
              <w:textAlignment w:val="auto"/>
              <w:rPr>
                <w:rFonts w:hint="default" w:ascii="Times New Roman" w:hAnsi="Times New Roman" w:eastAsia="宋体" w:cs="Times New Roman"/>
                <w:color w:val="0000FF"/>
                <w:kern w:val="2"/>
                <w:sz w:val="21"/>
                <w:szCs w:val="21"/>
                <w:u w:val="none" w:color="auto"/>
                <w:lang w:val="en-US" w:eastAsia="zh-CN" w:bidi="ar-SA"/>
              </w:rPr>
            </w:pPr>
            <w:r>
              <w:rPr>
                <w:rFonts w:hint="eastAsia" w:cs="Times New Roman"/>
                <w:color w:val="auto"/>
                <w:kern w:val="2"/>
                <w:sz w:val="21"/>
                <w:szCs w:val="21"/>
                <w:u w:val="none" w:color="auto"/>
                <w:lang w:val="en-US" w:eastAsia="zh-CN" w:bidi="ar-SA"/>
              </w:rPr>
              <w:t>42.08</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56" w:line="240" w:lineRule="auto"/>
              <w:ind w:left="295" w:leftChars="0" w:right="287" w:rightChars="0" w:firstLine="0" w:firstLineChars="0"/>
              <w:jc w:val="center"/>
              <w:textAlignment w:val="auto"/>
              <w:rPr>
                <w:rFonts w:hint="default" w:ascii="Times New Roman" w:hAnsi="Times New Roman" w:eastAsia="宋体" w:cs="Times New Roman"/>
                <w:bCs/>
                <w:color w:val="000000"/>
                <w:sz w:val="21"/>
                <w:szCs w:val="21"/>
                <w:highlight w:val="none"/>
                <w:u w:val="none" w:color="auto"/>
                <w:lang w:val="en-US" w:eastAsia="zh-CN"/>
              </w:rPr>
            </w:pPr>
            <w:r>
              <w:rPr>
                <w:rFonts w:hint="eastAsia" w:ascii="Times New Roman" w:hAnsi="Times New Roman" w:eastAsia="宋体" w:cs="Times New Roman"/>
                <w:color w:val="auto"/>
                <w:kern w:val="28"/>
                <w:sz w:val="21"/>
                <w:szCs w:val="21"/>
                <w:highlight w:val="none"/>
                <w:u w:val="none" w:color="auto"/>
                <w:lang w:eastAsia="zh-CN"/>
              </w:rPr>
              <w:t>44.98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3852" w:type="dxa"/>
            <w:gridSpan w:val="3"/>
            <w:tcBorders>
              <w:tl2br w:val="nil"/>
              <w:tr2bl w:val="nil"/>
            </w:tcBorders>
            <w:noWrap w:val="0"/>
            <w:vAlign w:val="center"/>
          </w:tcPr>
          <w:p>
            <w:pPr>
              <w:keepNext w:val="0"/>
              <w:keepLines w:val="0"/>
              <w:pageBreakBefore w:val="0"/>
              <w:widowControl/>
              <w:kinsoku/>
              <w:wordWrap/>
              <w:overflowPunct/>
              <w:bidi w:val="0"/>
              <w:spacing w:line="240" w:lineRule="auto"/>
              <w:ind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eastAsia" w:ascii="Times New Roman" w:hAnsi="Times New Roman" w:cs="宋体"/>
                <w:sz w:val="21"/>
                <w:szCs w:val="21"/>
                <w:u w:val="none" w:color="auto"/>
                <w:lang w:bidi="ar"/>
              </w:rPr>
              <w:t>弃渣</w:t>
            </w:r>
          </w:p>
        </w:tc>
        <w:tc>
          <w:tcPr>
            <w:tcW w:w="1023" w:type="dxa"/>
            <w:tcBorders>
              <w:tl2br w:val="nil"/>
              <w:tr2bl w:val="nil"/>
            </w:tcBorders>
            <w:noWrap w:val="0"/>
            <w:vAlign w:val="center"/>
          </w:tcPr>
          <w:p>
            <w:pPr>
              <w:keepNext w:val="0"/>
              <w:keepLines w:val="0"/>
              <w:pageBreakBefore w:val="0"/>
              <w:widowControl/>
              <w:kinsoku/>
              <w:wordWrap/>
              <w:overflowPunct/>
              <w:bidi w:val="0"/>
              <w:spacing w:line="240" w:lineRule="auto"/>
              <w:ind w:firstLine="0" w:firstLineChars="0"/>
              <w:jc w:val="center"/>
              <w:textAlignment w:val="auto"/>
              <w:rPr>
                <w:rFonts w:hint="default" w:ascii="Times New Roman" w:hAnsi="Times New Roman" w:cs="宋体"/>
                <w:kern w:val="2"/>
                <w:sz w:val="21"/>
                <w:szCs w:val="21"/>
                <w:u w:val="none" w:color="auto"/>
                <w:lang w:val="en-US" w:eastAsia="zh-CN" w:bidi="ar"/>
              </w:rPr>
            </w:pPr>
            <w:r>
              <w:rPr>
                <w:rFonts w:hint="eastAsia" w:ascii="Times New Roman" w:hAnsi="Times New Roman" w:cs="宋体"/>
                <w:sz w:val="21"/>
                <w:szCs w:val="21"/>
                <w:u w:val="none" w:color="auto"/>
                <w:lang w:bidi="ar"/>
              </w:rPr>
              <w:t>万</w:t>
            </w:r>
            <w:r>
              <w:rPr>
                <w:rFonts w:ascii="Times New Roman" w:hAnsi="Times New Roman"/>
                <w:sz w:val="21"/>
                <w:szCs w:val="21"/>
                <w:u w:val="none" w:color="auto"/>
                <w:lang w:bidi="ar"/>
              </w:rPr>
              <w:t>m</w:t>
            </w:r>
            <w:r>
              <w:rPr>
                <w:rFonts w:ascii="Times New Roman" w:hAnsi="Times New Roman"/>
                <w:sz w:val="21"/>
                <w:szCs w:val="21"/>
                <w:u w:val="none" w:color="auto"/>
                <w:vertAlign w:val="superscript"/>
                <w:lang w:bidi="ar"/>
              </w:rPr>
              <w:t>3</w:t>
            </w:r>
          </w:p>
        </w:tc>
        <w:tc>
          <w:tcPr>
            <w:tcW w:w="1704"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56" w:line="240" w:lineRule="auto"/>
              <w:ind w:left="295" w:leftChars="0" w:right="287"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eastAsia" w:ascii="Times New Roman" w:hAnsi="Times New Roman" w:cs="Times New Roman"/>
                <w:kern w:val="2"/>
                <w:sz w:val="21"/>
                <w:szCs w:val="21"/>
                <w:u w:val="none" w:color="auto"/>
                <w:lang w:val="en-US" w:eastAsia="zh-CN" w:bidi="ar-SA"/>
              </w:rPr>
              <w:t>37.41</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56" w:line="240" w:lineRule="auto"/>
              <w:ind w:left="295" w:leftChars="0" w:right="287"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eastAsia" w:ascii="Times New Roman" w:hAnsi="Times New Roman" w:eastAsia="宋体" w:cs="Times New Roman"/>
                <w:color w:val="auto"/>
                <w:kern w:val="28"/>
                <w:sz w:val="21"/>
                <w:szCs w:val="21"/>
                <w:highlight w:val="none"/>
                <w:u w:val="none" w:color="auto"/>
                <w:lang w:eastAsia="zh-CN"/>
              </w:rPr>
              <w:t>35.32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3852" w:type="dxa"/>
            <w:gridSpan w:val="3"/>
            <w:tcBorders>
              <w:tl2br w:val="nil"/>
              <w:tr2bl w:val="nil"/>
            </w:tcBorders>
            <w:noWrap w:val="0"/>
            <w:vAlign w:val="center"/>
          </w:tcPr>
          <w:p>
            <w:pPr>
              <w:keepNext w:val="0"/>
              <w:keepLines w:val="0"/>
              <w:pageBreakBefore w:val="0"/>
              <w:widowControl/>
              <w:kinsoku/>
              <w:wordWrap/>
              <w:overflowPunct/>
              <w:bidi w:val="0"/>
              <w:spacing w:line="240" w:lineRule="auto"/>
              <w:ind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eastAsia" w:ascii="Times New Roman" w:hAnsi="Times New Roman" w:cs="宋体"/>
                <w:sz w:val="21"/>
                <w:szCs w:val="21"/>
                <w:u w:val="none" w:color="auto"/>
                <w:lang w:bidi="ar"/>
              </w:rPr>
              <w:t>弃渣场数量</w:t>
            </w:r>
          </w:p>
        </w:tc>
        <w:tc>
          <w:tcPr>
            <w:tcW w:w="1023" w:type="dxa"/>
            <w:tcBorders>
              <w:tl2br w:val="nil"/>
              <w:tr2bl w:val="nil"/>
            </w:tcBorders>
            <w:noWrap w:val="0"/>
            <w:vAlign w:val="center"/>
          </w:tcPr>
          <w:p>
            <w:pPr>
              <w:keepNext w:val="0"/>
              <w:keepLines w:val="0"/>
              <w:pageBreakBefore w:val="0"/>
              <w:widowControl/>
              <w:kinsoku/>
              <w:wordWrap/>
              <w:overflowPunct/>
              <w:bidi w:val="0"/>
              <w:spacing w:line="240" w:lineRule="auto"/>
              <w:ind w:firstLine="0" w:firstLineChars="0"/>
              <w:jc w:val="center"/>
              <w:textAlignment w:val="auto"/>
              <w:rPr>
                <w:rFonts w:hint="default" w:ascii="Times New Roman" w:hAnsi="Times New Roman" w:cs="宋体"/>
                <w:kern w:val="2"/>
                <w:sz w:val="21"/>
                <w:szCs w:val="21"/>
                <w:u w:val="none" w:color="auto"/>
                <w:lang w:val="en-US" w:eastAsia="zh-CN" w:bidi="ar"/>
              </w:rPr>
            </w:pPr>
            <w:r>
              <w:rPr>
                <w:rFonts w:hint="eastAsia" w:ascii="Times New Roman" w:hAnsi="Times New Roman"/>
                <w:sz w:val="21"/>
                <w:szCs w:val="21"/>
                <w:u w:val="none" w:color="auto"/>
                <w:lang w:bidi="ar"/>
              </w:rPr>
              <w:t>个</w:t>
            </w:r>
          </w:p>
        </w:tc>
        <w:tc>
          <w:tcPr>
            <w:tcW w:w="1704"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58" w:line="240" w:lineRule="auto"/>
              <w:ind w:left="295" w:leftChars="0" w:right="287"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eastAsia" w:ascii="Times New Roman" w:hAnsi="Times New Roman" w:cs="Times New Roman"/>
                <w:kern w:val="2"/>
                <w:sz w:val="21"/>
                <w:szCs w:val="21"/>
                <w:u w:val="none" w:color="auto"/>
                <w:lang w:val="en-US" w:eastAsia="zh-CN" w:bidi="ar-SA"/>
              </w:rPr>
              <w:t>11</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58" w:line="240" w:lineRule="auto"/>
              <w:ind w:left="295" w:leftChars="0" w:right="287"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eastAsia" w:ascii="Times New Roman" w:hAnsi="Times New Roman" w:cs="Times New Roman"/>
                <w:kern w:val="2"/>
                <w:sz w:val="21"/>
                <w:szCs w:val="21"/>
                <w:u w:val="none" w:color="auto"/>
                <w:lang w:val="en-US" w:eastAsia="zh-CN" w:bidi="ar-SA"/>
              </w:rPr>
              <w:t>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3852" w:type="dxa"/>
            <w:gridSpan w:val="3"/>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49" w:line="240" w:lineRule="auto"/>
              <w:ind w:firstLine="0" w:firstLineChars="0"/>
              <w:jc w:val="center"/>
              <w:textAlignment w:val="auto"/>
              <w:rPr>
                <w:rFonts w:hint="eastAsia" w:ascii="Times New Roman" w:hAnsi="Times New Roman" w:eastAsia="宋体" w:cs="Times New Roman"/>
                <w:kern w:val="2"/>
                <w:sz w:val="21"/>
                <w:szCs w:val="21"/>
                <w:u w:val="none" w:color="auto"/>
                <w:lang w:val="en-US" w:eastAsia="zh-CN" w:bidi="ar-SA"/>
              </w:rPr>
            </w:pPr>
            <w:r>
              <w:rPr>
                <w:rFonts w:hint="eastAsia" w:ascii="Times New Roman" w:hAnsi="Times New Roman" w:eastAsia="宋体" w:cs="Times New Roman"/>
                <w:sz w:val="21"/>
                <w:szCs w:val="21"/>
                <w:u w:val="none" w:color="auto"/>
                <w:lang w:eastAsia="zh-CN"/>
              </w:rPr>
              <w:t>改</w:t>
            </w:r>
            <w:r>
              <w:rPr>
                <w:rFonts w:hint="eastAsia" w:ascii="Times New Roman" w:hAnsi="Times New Roman" w:cs="Times New Roman"/>
                <w:sz w:val="21"/>
                <w:szCs w:val="21"/>
                <w:u w:val="none" w:color="auto"/>
                <w:lang w:val="en-US" w:eastAsia="zh-CN"/>
              </w:rPr>
              <w:t>造</w:t>
            </w:r>
            <w:r>
              <w:rPr>
                <w:rFonts w:hint="eastAsia" w:ascii="Times New Roman" w:hAnsi="Times New Roman" w:eastAsia="宋体" w:cs="Times New Roman"/>
                <w:sz w:val="21"/>
                <w:szCs w:val="21"/>
                <w:u w:val="none" w:color="auto"/>
                <w:lang w:eastAsia="zh-CN"/>
              </w:rPr>
              <w:t>道路</w:t>
            </w:r>
          </w:p>
        </w:tc>
        <w:tc>
          <w:tcPr>
            <w:tcW w:w="102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58" w:line="240" w:lineRule="auto"/>
              <w:ind w:left="132" w:leftChars="0" w:right="117"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default" w:ascii="Times New Roman" w:hAnsi="Times New Roman" w:eastAsia="宋体" w:cs="Times New Roman"/>
                <w:sz w:val="21"/>
                <w:szCs w:val="21"/>
                <w:u w:val="none" w:color="auto"/>
              </w:rPr>
              <w:t>km</w:t>
            </w:r>
          </w:p>
        </w:tc>
        <w:tc>
          <w:tcPr>
            <w:tcW w:w="1704"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58" w:line="240" w:lineRule="auto"/>
              <w:ind w:left="295" w:leftChars="0" w:right="287"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eastAsia" w:ascii="Times New Roman" w:hAnsi="Times New Roman" w:cs="Times New Roman"/>
                <w:kern w:val="2"/>
                <w:sz w:val="21"/>
                <w:szCs w:val="21"/>
                <w:u w:val="none" w:color="auto"/>
                <w:lang w:val="en-US" w:eastAsia="zh-CN" w:bidi="ar-SA"/>
              </w:rPr>
              <w:t>0</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58" w:line="240" w:lineRule="auto"/>
              <w:ind w:left="295" w:leftChars="0" w:right="287" w:rightChars="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highlight w:val="yellow"/>
                <w:u w:val="none" w:color="auto"/>
                <w:lang w:val="en-US" w:eastAsia="zh-CN"/>
              </w:rPr>
              <w:t>6.9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3852" w:type="dxa"/>
            <w:gridSpan w:val="3"/>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49" w:line="240" w:lineRule="auto"/>
              <w:ind w:firstLine="0" w:firstLineChars="0"/>
              <w:jc w:val="center"/>
              <w:textAlignment w:val="auto"/>
              <w:rPr>
                <w:rFonts w:hint="eastAsia" w:ascii="Times New Roman" w:hAnsi="Times New Roman" w:eastAsia="宋体" w:cs="Times New Roman"/>
                <w:sz w:val="21"/>
                <w:szCs w:val="21"/>
                <w:u w:val="none" w:color="auto"/>
                <w:lang w:eastAsia="zh-CN"/>
              </w:rPr>
            </w:pPr>
            <w:r>
              <w:rPr>
                <w:rFonts w:hint="default" w:ascii="Times New Roman" w:hAnsi="Times New Roman" w:eastAsia="宋体" w:cs="Times New Roman"/>
                <w:sz w:val="21"/>
                <w:szCs w:val="21"/>
                <w:u w:val="none" w:color="auto"/>
              </w:rPr>
              <w:t>新建</w:t>
            </w:r>
            <w:r>
              <w:rPr>
                <w:rFonts w:hint="eastAsia" w:ascii="Times New Roman" w:hAnsi="Times New Roman" w:eastAsia="宋体" w:cs="Times New Roman"/>
                <w:sz w:val="21"/>
                <w:szCs w:val="21"/>
                <w:u w:val="none" w:color="auto"/>
                <w:lang w:eastAsia="zh-CN"/>
              </w:rPr>
              <w:t>道路</w:t>
            </w:r>
          </w:p>
        </w:tc>
        <w:tc>
          <w:tcPr>
            <w:tcW w:w="102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58" w:line="240" w:lineRule="auto"/>
              <w:ind w:left="132" w:leftChars="0" w:right="117" w:rightChars="0"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km</w:t>
            </w:r>
          </w:p>
        </w:tc>
        <w:tc>
          <w:tcPr>
            <w:tcW w:w="1704"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58" w:line="240" w:lineRule="auto"/>
              <w:ind w:left="295" w:leftChars="0" w:right="287"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eastAsia" w:ascii="Times New Roman" w:hAnsi="Times New Roman" w:cs="Times New Roman"/>
                <w:kern w:val="2"/>
                <w:sz w:val="21"/>
                <w:szCs w:val="21"/>
                <w:u w:val="none" w:color="auto"/>
                <w:lang w:val="en-US" w:eastAsia="zh-CN" w:bidi="ar-SA"/>
              </w:rPr>
              <w:t>21.3</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58" w:line="240" w:lineRule="auto"/>
              <w:ind w:left="295" w:leftChars="0" w:right="287" w:rightChars="0"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22.5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3852" w:type="dxa"/>
            <w:gridSpan w:val="3"/>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default" w:ascii="Times New Roman" w:hAnsi="Times New Roman" w:eastAsia="宋体" w:cs="Times New Roman"/>
                <w:sz w:val="21"/>
                <w:szCs w:val="21"/>
                <w:u w:val="none" w:color="auto"/>
                <w:lang w:eastAsia="zh-CN"/>
              </w:rPr>
              <w:t>施工期限</w:t>
            </w:r>
          </w:p>
        </w:tc>
        <w:tc>
          <w:tcPr>
            <w:tcW w:w="1023"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49" w:line="240" w:lineRule="auto"/>
              <w:ind w:left="14" w:lef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default" w:ascii="Times New Roman" w:hAnsi="Times New Roman" w:eastAsia="宋体" w:cs="Times New Roman"/>
                <w:w w:val="100"/>
                <w:sz w:val="21"/>
                <w:szCs w:val="21"/>
                <w:u w:val="none" w:color="auto"/>
              </w:rPr>
              <w:t>月</w:t>
            </w:r>
          </w:p>
        </w:tc>
        <w:tc>
          <w:tcPr>
            <w:tcW w:w="1704"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59" w:line="240" w:lineRule="auto"/>
              <w:ind w:left="295" w:leftChars="0" w:right="287"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eastAsia" w:ascii="Times New Roman" w:hAnsi="Times New Roman" w:eastAsia="宋体" w:cs="Times New Roman"/>
                <w:kern w:val="2"/>
                <w:sz w:val="21"/>
                <w:szCs w:val="21"/>
                <w:u w:val="none" w:color="auto"/>
                <w:lang w:val="en-US" w:eastAsia="zh-CN" w:bidi="ar-SA"/>
              </w:rPr>
              <w:t>12</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59" w:line="240" w:lineRule="auto"/>
              <w:ind w:left="295" w:leftChars="0" w:right="287"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eastAsia" w:ascii="Times New Roman" w:hAnsi="Times New Roman" w:eastAsia="宋体" w:cs="Times New Roman"/>
                <w:kern w:val="2"/>
                <w:sz w:val="21"/>
                <w:szCs w:val="21"/>
                <w:u w:val="none" w:color="auto"/>
                <w:lang w:val="en-US" w:eastAsia="zh-CN" w:bidi="ar-SA"/>
              </w:rPr>
              <w:t>12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restart"/>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eastAsia" w:ascii="Times New Roman" w:hAnsi="Times New Roman" w:eastAsia="宋体" w:cs="Times New Roman"/>
                <w:sz w:val="21"/>
                <w:szCs w:val="21"/>
                <w:u w:val="none" w:color="auto"/>
                <w:lang w:eastAsia="zh-CN"/>
              </w:rPr>
            </w:pPr>
            <w:r>
              <w:rPr>
                <w:rFonts w:hint="eastAsia" w:ascii="Times New Roman" w:hAnsi="Times New Roman" w:eastAsia="宋体" w:cs="Times New Roman"/>
                <w:sz w:val="21"/>
                <w:szCs w:val="21"/>
                <w:u w:val="none" w:color="auto"/>
                <w:lang w:eastAsia="zh-CN"/>
              </w:rPr>
              <w:t>其他</w:t>
            </w:r>
          </w:p>
        </w:tc>
        <w:tc>
          <w:tcPr>
            <w:tcW w:w="3852" w:type="dxa"/>
            <w:gridSpan w:val="3"/>
            <w:tcBorders>
              <w:tl2br w:val="nil"/>
              <w:tr2bl w:val="nil"/>
            </w:tcBorders>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pacing w:val="6"/>
                <w:kern w:val="2"/>
                <w:sz w:val="21"/>
                <w:szCs w:val="21"/>
                <w:u w:val="none" w:color="auto"/>
                <w:lang w:val="en-US" w:eastAsia="zh-CN" w:bidi="ar-SA"/>
              </w:rPr>
            </w:pPr>
            <w:r>
              <w:rPr>
                <w:rFonts w:hint="default" w:ascii="Times New Roman" w:hAnsi="Times New Roman" w:eastAsia="宋体" w:cs="Times New Roman"/>
                <w:b w:val="0"/>
                <w:bCs w:val="0"/>
                <w:spacing w:val="6"/>
                <w:sz w:val="21"/>
                <w:szCs w:val="21"/>
                <w:u w:val="none" w:color="auto"/>
              </w:rPr>
              <w:t>装机容量</w:t>
            </w:r>
          </w:p>
        </w:tc>
        <w:tc>
          <w:tcPr>
            <w:tcW w:w="1023" w:type="dxa"/>
            <w:tcBorders>
              <w:tl2br w:val="nil"/>
              <w:tr2bl w:val="nil"/>
            </w:tcBorders>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pacing w:val="6"/>
                <w:kern w:val="2"/>
                <w:sz w:val="21"/>
                <w:szCs w:val="21"/>
                <w:u w:val="none" w:color="auto"/>
                <w:lang w:val="en-US" w:eastAsia="zh-CN" w:bidi="ar-SA"/>
              </w:rPr>
            </w:pPr>
            <w:r>
              <w:rPr>
                <w:rFonts w:hint="default" w:ascii="Times New Roman" w:hAnsi="Times New Roman" w:eastAsia="宋体" w:cs="Times New Roman"/>
                <w:b w:val="0"/>
                <w:bCs w:val="0"/>
                <w:spacing w:val="6"/>
                <w:sz w:val="21"/>
                <w:szCs w:val="21"/>
                <w:u w:val="none" w:color="auto"/>
              </w:rPr>
              <w:t>MW</w:t>
            </w:r>
          </w:p>
        </w:tc>
        <w:tc>
          <w:tcPr>
            <w:tcW w:w="1704" w:type="dxa"/>
            <w:tcBorders>
              <w:tl2br w:val="nil"/>
              <w:tr2bl w:val="nil"/>
            </w:tcBorders>
            <w:noWrap w:val="0"/>
            <w:vAlign w:val="center"/>
          </w:tcPr>
          <w:p>
            <w:pPr>
              <w:keepNext w:val="0"/>
              <w:keepLines w:val="0"/>
              <w:pageBreakBefore w:val="0"/>
              <w:kinsoku/>
              <w:wordWrap/>
              <w:overflowPunct/>
              <w:bidi w:val="0"/>
              <w:spacing w:line="240" w:lineRule="auto"/>
              <w:ind w:firstLine="0" w:firstLineChars="0"/>
              <w:jc w:val="center"/>
              <w:textAlignment w:val="auto"/>
              <w:rPr>
                <w:rFonts w:hint="default" w:ascii="Times New Roman" w:hAnsi="Times New Roman" w:cs="Times New Roman"/>
                <w:kern w:val="2"/>
                <w:sz w:val="21"/>
                <w:szCs w:val="21"/>
                <w:u w:val="none" w:color="auto"/>
                <w:lang w:val="en-US" w:eastAsia="zh-CN" w:bidi="ar-SA"/>
              </w:rPr>
            </w:pPr>
            <w:r>
              <w:rPr>
                <w:rFonts w:hint="eastAsia" w:cs="Times New Roman"/>
                <w:kern w:val="2"/>
                <w:sz w:val="21"/>
                <w:szCs w:val="21"/>
                <w:u w:val="none" w:color="auto"/>
                <w:lang w:val="en-US" w:eastAsia="zh-CN" w:bidi="ar-SA"/>
              </w:rPr>
              <w:t>75</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eastAsia" w:ascii="Times New Roman" w:hAnsi="Times New Roman" w:cs="Times New Roman"/>
                <w:kern w:val="2"/>
                <w:sz w:val="21"/>
                <w:szCs w:val="21"/>
                <w:u w:val="none" w:color="auto"/>
                <w:lang w:val="en-US" w:eastAsia="zh-CN" w:bidi="ar-SA"/>
              </w:rPr>
              <w:t>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3852" w:type="dxa"/>
            <w:gridSpan w:val="3"/>
            <w:tcBorders>
              <w:tl2br w:val="nil"/>
              <w:tr2bl w:val="nil"/>
            </w:tcBorders>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pacing w:val="6"/>
                <w:kern w:val="2"/>
                <w:sz w:val="21"/>
                <w:szCs w:val="21"/>
                <w:u w:val="none" w:color="auto"/>
                <w:lang w:val="en-US" w:eastAsia="zh-CN" w:bidi="ar-SA"/>
              </w:rPr>
            </w:pPr>
            <w:r>
              <w:rPr>
                <w:rFonts w:hint="default" w:ascii="Times New Roman" w:hAnsi="Times New Roman" w:eastAsia="宋体" w:cs="Times New Roman"/>
                <w:b w:val="0"/>
                <w:bCs w:val="0"/>
                <w:spacing w:val="6"/>
                <w:sz w:val="21"/>
                <w:szCs w:val="21"/>
                <w:u w:val="none" w:color="auto"/>
              </w:rPr>
              <w:t>年上网电量</w:t>
            </w:r>
          </w:p>
        </w:tc>
        <w:tc>
          <w:tcPr>
            <w:tcW w:w="1023" w:type="dxa"/>
            <w:tcBorders>
              <w:tl2br w:val="nil"/>
              <w:tr2bl w:val="nil"/>
            </w:tcBorders>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pacing w:val="6"/>
                <w:kern w:val="2"/>
                <w:sz w:val="21"/>
                <w:szCs w:val="21"/>
                <w:u w:val="none" w:color="auto"/>
                <w:lang w:val="en-US" w:eastAsia="zh-CN" w:bidi="ar-SA"/>
              </w:rPr>
            </w:pPr>
            <w:r>
              <w:rPr>
                <w:rFonts w:hint="default" w:ascii="Times New Roman" w:hAnsi="Times New Roman" w:eastAsia="宋体" w:cs="Times New Roman"/>
                <w:b w:val="0"/>
                <w:bCs w:val="0"/>
                <w:spacing w:val="6"/>
                <w:sz w:val="21"/>
                <w:szCs w:val="21"/>
                <w:u w:val="none" w:color="auto"/>
              </w:rPr>
              <w:t>万kWˑh</w:t>
            </w:r>
          </w:p>
        </w:tc>
        <w:tc>
          <w:tcPr>
            <w:tcW w:w="1704" w:type="dxa"/>
            <w:tcBorders>
              <w:tl2br w:val="nil"/>
              <w:tr2bl w:val="nil"/>
            </w:tcBorders>
            <w:noWrap w:val="0"/>
            <w:vAlign w:val="center"/>
          </w:tcPr>
          <w:p>
            <w:pPr>
              <w:keepNext w:val="0"/>
              <w:keepLines w:val="0"/>
              <w:pageBreakBefore w:val="0"/>
              <w:kinsoku/>
              <w:wordWrap/>
              <w:overflowPunct/>
              <w:bidi w:val="0"/>
              <w:spacing w:line="240" w:lineRule="auto"/>
              <w:ind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eastAsia" w:cs="Times New Roman"/>
                <w:kern w:val="2"/>
                <w:sz w:val="21"/>
                <w:szCs w:val="21"/>
                <w:u w:val="none" w:color="auto"/>
                <w:lang w:val="en-US" w:eastAsia="zh-CN" w:bidi="ar-SA"/>
              </w:rPr>
              <w:t>16360</w:t>
            </w:r>
          </w:p>
        </w:tc>
        <w:tc>
          <w:tcPr>
            <w:tcW w:w="1805" w:type="dxa"/>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ascii="Times New Roman" w:hAnsi="Times New Roman" w:eastAsia="Times New Roman" w:cs="Times New Roman"/>
                <w:spacing w:val="-5"/>
                <w:sz w:val="21"/>
                <w:szCs w:val="21"/>
              </w:rPr>
              <w:t>15409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66" w:type="dxa"/>
            <w:vMerge w:val="continue"/>
            <w:tcBorders>
              <w:tl2br w:val="nil"/>
              <w:tr2bl w:val="nil"/>
            </w:tcBorders>
            <w:noWrap w:val="0"/>
            <w:vAlign w:val="center"/>
          </w:tcPr>
          <w:p>
            <w:pPr>
              <w:pStyle w:val="3329"/>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rFonts w:hint="default" w:ascii="Times New Roman" w:hAnsi="Times New Roman" w:eastAsia="宋体" w:cs="Times New Roman"/>
                <w:sz w:val="21"/>
                <w:szCs w:val="21"/>
                <w:u w:val="none" w:color="auto"/>
              </w:rPr>
            </w:pPr>
          </w:p>
        </w:tc>
        <w:tc>
          <w:tcPr>
            <w:tcW w:w="3852" w:type="dxa"/>
            <w:gridSpan w:val="3"/>
            <w:tcBorders>
              <w:tl2br w:val="nil"/>
              <w:tr2bl w:val="nil"/>
            </w:tcBorders>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pacing w:val="6"/>
                <w:kern w:val="2"/>
                <w:sz w:val="21"/>
                <w:szCs w:val="21"/>
                <w:u w:val="none" w:color="auto"/>
                <w:lang w:val="en-US" w:eastAsia="zh-CN" w:bidi="ar-SA"/>
              </w:rPr>
            </w:pPr>
            <w:r>
              <w:rPr>
                <w:rFonts w:hint="default" w:ascii="Times New Roman" w:hAnsi="Times New Roman" w:eastAsia="宋体" w:cs="Times New Roman"/>
                <w:b w:val="0"/>
                <w:bCs w:val="0"/>
                <w:spacing w:val="6"/>
                <w:sz w:val="21"/>
                <w:szCs w:val="21"/>
                <w:u w:val="none" w:color="auto"/>
              </w:rPr>
              <w:t>年等效满负荷小时数</w:t>
            </w:r>
          </w:p>
        </w:tc>
        <w:tc>
          <w:tcPr>
            <w:tcW w:w="1023" w:type="dxa"/>
            <w:tcBorders>
              <w:tl2br w:val="nil"/>
              <w:tr2bl w:val="nil"/>
            </w:tcBorders>
            <w:noWrap w:val="0"/>
            <w:vAlign w:val="center"/>
          </w:tcPr>
          <w:p>
            <w:pPr>
              <w:keepNext w:val="0"/>
              <w:keepLines w:val="0"/>
              <w:pageBreakBefore w:val="0"/>
              <w:widowControl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pacing w:val="6"/>
                <w:kern w:val="2"/>
                <w:sz w:val="21"/>
                <w:szCs w:val="21"/>
                <w:u w:val="none" w:color="auto"/>
                <w:lang w:val="en-US" w:eastAsia="zh-CN" w:bidi="ar-SA"/>
              </w:rPr>
            </w:pPr>
            <w:r>
              <w:rPr>
                <w:rFonts w:hint="default" w:ascii="Times New Roman" w:hAnsi="Times New Roman" w:eastAsia="宋体" w:cs="Times New Roman"/>
                <w:b w:val="0"/>
                <w:bCs w:val="0"/>
                <w:spacing w:val="6"/>
                <w:sz w:val="21"/>
                <w:szCs w:val="21"/>
                <w:u w:val="none" w:color="auto"/>
              </w:rPr>
              <w:t>h</w:t>
            </w:r>
          </w:p>
        </w:tc>
        <w:tc>
          <w:tcPr>
            <w:tcW w:w="1704" w:type="dxa"/>
            <w:tcBorders>
              <w:tl2br w:val="nil"/>
              <w:tr2bl w:val="nil"/>
            </w:tcBorders>
            <w:noWrap w:val="0"/>
            <w:vAlign w:val="center"/>
          </w:tcPr>
          <w:p>
            <w:pPr>
              <w:keepNext w:val="0"/>
              <w:keepLines w:val="0"/>
              <w:pageBreakBefore w:val="0"/>
              <w:kinsoku/>
              <w:wordWrap/>
              <w:overflowPunct/>
              <w:bidi w:val="0"/>
              <w:spacing w:line="240" w:lineRule="auto"/>
              <w:ind w:firstLine="0" w:firstLineChars="0"/>
              <w:jc w:val="center"/>
              <w:textAlignment w:val="auto"/>
              <w:rPr>
                <w:rFonts w:hint="default" w:ascii="Times New Roman" w:hAnsi="Times New Roman" w:cs="Times New Roman"/>
                <w:kern w:val="2"/>
                <w:sz w:val="21"/>
                <w:szCs w:val="21"/>
                <w:u w:val="none" w:color="auto"/>
                <w:lang w:val="en-US" w:eastAsia="zh-CN" w:bidi="ar-SA"/>
              </w:rPr>
            </w:pPr>
            <w:r>
              <w:rPr>
                <w:rFonts w:hint="eastAsia" w:ascii="Times New Roman" w:hAnsi="Times New Roman" w:cs="Times New Roman"/>
                <w:kern w:val="2"/>
                <w:sz w:val="21"/>
                <w:szCs w:val="21"/>
                <w:u w:val="none" w:color="auto"/>
                <w:lang w:val="en-US" w:eastAsia="zh-CN" w:bidi="ar-SA"/>
              </w:rPr>
              <w:t>2181</w:t>
            </w:r>
          </w:p>
        </w:tc>
        <w:tc>
          <w:tcPr>
            <w:tcW w:w="1805" w:type="dxa"/>
            <w:tcBorders>
              <w:tl2br w:val="nil"/>
              <w:tr2bl w:val="nil"/>
            </w:tcBorders>
            <w:noWrap w:val="0"/>
            <w:vAlign w:val="center"/>
          </w:tcPr>
          <w:p>
            <w:pPr>
              <w:keepNext w:val="0"/>
              <w:keepLines w:val="0"/>
              <w:pageBreakBefore w:val="0"/>
              <w:kinsoku/>
              <w:wordWrap/>
              <w:overflowPunct/>
              <w:bidi w:val="0"/>
              <w:spacing w:line="240" w:lineRule="auto"/>
              <w:ind w:firstLine="0" w:firstLineChars="0"/>
              <w:jc w:val="center"/>
              <w:textAlignment w:val="auto"/>
              <w:rPr>
                <w:rFonts w:hint="default" w:ascii="Times New Roman" w:hAnsi="Times New Roman" w:cs="Times New Roman"/>
                <w:kern w:val="2"/>
                <w:sz w:val="21"/>
                <w:szCs w:val="21"/>
                <w:u w:val="none" w:color="auto"/>
                <w:lang w:val="en-US" w:eastAsia="zh-CN" w:bidi="ar-SA"/>
              </w:rPr>
            </w:pPr>
            <w:r>
              <w:rPr>
                <w:rFonts w:hint="eastAsia" w:ascii="Times New Roman" w:hAnsi="Times New Roman" w:cs="Times New Roman"/>
                <w:kern w:val="2"/>
                <w:sz w:val="21"/>
                <w:szCs w:val="21"/>
                <w:u w:val="none" w:color="auto"/>
                <w:lang w:val="en-US" w:eastAsia="zh-CN" w:bidi="ar-SA"/>
              </w:rPr>
              <w:t>2055</w:t>
            </w:r>
          </w:p>
        </w:tc>
      </w:tr>
    </w:tbl>
    <w:p>
      <w:pPr>
        <w:pStyle w:val="458"/>
        <w:ind w:firstLine="60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风电场机组总体布置</w:t>
      </w:r>
    </w:p>
    <w:p>
      <w:pPr>
        <w:bidi w:val="0"/>
        <w:rPr>
          <w:rFonts w:hint="eastAsia"/>
          <w:lang w:eastAsia="zh-CN"/>
        </w:rPr>
      </w:pPr>
      <w:r>
        <w:rPr>
          <w:rFonts w:hint="eastAsia"/>
          <w:lang w:eastAsia="zh-CN"/>
        </w:rPr>
        <w:t>（</w:t>
      </w:r>
      <w:r>
        <w:rPr>
          <w:rFonts w:hint="eastAsia"/>
          <w:lang w:val="en-US" w:eastAsia="zh-CN"/>
        </w:rPr>
        <w:t>1</w:t>
      </w:r>
      <w:r>
        <w:rPr>
          <w:rFonts w:hint="eastAsia"/>
          <w:lang w:eastAsia="zh-CN"/>
        </w:rPr>
        <w:t>）风电机组选型</w:t>
      </w:r>
    </w:p>
    <w:p>
      <w:pPr>
        <w:bidi w:val="0"/>
        <w:rPr>
          <w:rFonts w:hint="default"/>
        </w:rPr>
      </w:pPr>
      <w:r>
        <w:rPr>
          <w:rFonts w:hint="eastAsia"/>
          <w:lang w:eastAsia="zh-CN"/>
        </w:rPr>
        <w:t>本风电场工程共设计安装15台DEW195-5000 机型，</w:t>
      </w:r>
      <w:r>
        <w:rPr>
          <w:rFonts w:hint="eastAsia"/>
          <w:lang w:val="en-US" w:eastAsia="zh-CN"/>
        </w:rPr>
        <w:t>机型与变更前一致，部分风机位置和编号有所变化。</w:t>
      </w:r>
      <w:r>
        <w:rPr>
          <w:rFonts w:hint="eastAsia"/>
          <w:u w:val="none" w:color="auto"/>
          <w:lang w:val="en-US" w:eastAsia="zh-CN" w:bidi="ar"/>
        </w:rPr>
        <w:t>取消原1号、2号风机（A1、A2），原7号、8号风机（A7、A8）之间增加一台风机（L6），原15号风机（A15）东北侧800m增加一台风机（L15），部分风机位置略有偏移。</w:t>
      </w:r>
      <w:r>
        <w:rPr>
          <w:rFonts w:hint="default"/>
        </w:rPr>
        <w:t>各风机坐标</w:t>
      </w:r>
      <w:r>
        <w:rPr>
          <w:rFonts w:hint="eastAsia"/>
          <w:lang w:eastAsia="zh-CN"/>
        </w:rPr>
        <w:t>、海拔、坡度</w:t>
      </w:r>
      <w:r>
        <w:rPr>
          <w:rFonts w:hint="default"/>
        </w:rPr>
        <w:t>见表</w:t>
      </w:r>
      <w:r>
        <w:rPr>
          <w:rFonts w:hint="eastAsia"/>
          <w:lang w:val="en-US" w:eastAsia="zh-CN"/>
        </w:rPr>
        <w:t>2-8</w:t>
      </w:r>
      <w:r>
        <w:rPr>
          <w:rFonts w:hint="default"/>
        </w:rPr>
        <w:t>。</w:t>
      </w:r>
    </w:p>
    <w:p>
      <w:pPr>
        <w:pStyle w:val="2289"/>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pPr>
      <w:r>
        <w:rPr>
          <w:rFonts w:hint="eastAsia" w:cs="Times New Roman"/>
          <w:color w:val="000000" w:themeColor="text1"/>
          <w:highlight w:val="none"/>
          <w:u w:val="none" w:color="auto"/>
          <w:lang w:val="en-US" w:eastAsia="zh-CN"/>
          <w14:textFill>
            <w14:solidFill>
              <w14:schemeClr w14:val="tx1"/>
            </w14:solidFill>
          </w14:textFill>
        </w:rPr>
        <w:t>风</w:t>
      </w:r>
      <w:r>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t>机点位坐标一览表</w:t>
      </w:r>
    </w:p>
    <w:tbl>
      <w:tblPr>
        <w:tblStyle w:val="88"/>
        <w:tblW w:w="902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822"/>
        <w:gridCol w:w="1156"/>
        <w:gridCol w:w="1083"/>
        <w:gridCol w:w="920"/>
        <w:gridCol w:w="1008"/>
        <w:gridCol w:w="1008"/>
        <w:gridCol w:w="1008"/>
        <w:gridCol w:w="856"/>
        <w:gridCol w:w="116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2" w:hRule="atLeast"/>
          <w:jc w:val="center"/>
        </w:trPr>
        <w:tc>
          <w:tcPr>
            <w:tcW w:w="3061" w:type="dxa"/>
            <w:gridSpan w:val="3"/>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lang w:val="en-US" w:eastAsia="zh-CN"/>
              </w:rPr>
            </w:pPr>
            <w:r>
              <w:rPr>
                <w:rFonts w:hint="eastAsia" w:cs="Times New Roman"/>
                <w:sz w:val="21"/>
                <w:szCs w:val="21"/>
                <w:u w:val="none" w:color="auto"/>
                <w:lang w:val="en-US" w:eastAsia="zh-CN"/>
              </w:rPr>
              <w:t>原环评情况</w:t>
            </w:r>
          </w:p>
        </w:tc>
        <w:tc>
          <w:tcPr>
            <w:tcW w:w="4800" w:type="dxa"/>
            <w:gridSpan w:val="5"/>
            <w:tcBorders>
              <w:tl2br w:val="nil"/>
              <w:tr2bl w:val="nil"/>
            </w:tcBorders>
            <w:noWrap w:val="0"/>
            <w:vAlign w:val="center"/>
          </w:tcPr>
          <w:p>
            <w:pPr>
              <w:keepNext w:val="0"/>
              <w:keepLines w:val="0"/>
              <w:pageBreakBefore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pacing w:val="6"/>
                <w:sz w:val="21"/>
                <w:szCs w:val="21"/>
                <w:u w:val="none" w:color="auto"/>
                <w:lang w:val="en-US" w:eastAsia="zh-CN"/>
              </w:rPr>
            </w:pPr>
            <w:r>
              <w:rPr>
                <w:rFonts w:hint="eastAsia" w:cs="Times New Roman"/>
                <w:spacing w:val="6"/>
                <w:sz w:val="21"/>
                <w:szCs w:val="21"/>
                <w:u w:val="none" w:color="auto"/>
                <w:lang w:val="en-US" w:eastAsia="zh-CN"/>
              </w:rPr>
              <w:t>变更后情况</w:t>
            </w:r>
          </w:p>
        </w:tc>
        <w:tc>
          <w:tcPr>
            <w:tcW w:w="1160" w:type="dxa"/>
            <w:vMerge w:val="restart"/>
            <w:tcBorders>
              <w:tl2br w:val="nil"/>
              <w:tr2bl w:val="nil"/>
            </w:tcBorders>
            <w:noWrap w:val="0"/>
            <w:vAlign w:val="center"/>
          </w:tcPr>
          <w:p>
            <w:pPr>
              <w:keepNext w:val="0"/>
              <w:keepLines w:val="0"/>
              <w:pageBreakBefore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pacing w:val="6"/>
                <w:sz w:val="21"/>
                <w:szCs w:val="21"/>
                <w:u w:val="none" w:color="auto"/>
                <w:lang w:val="en-US" w:eastAsia="zh-CN"/>
              </w:rPr>
            </w:pPr>
            <w:r>
              <w:rPr>
                <w:rFonts w:hint="eastAsia" w:cs="Times New Roman"/>
                <w:spacing w:val="6"/>
                <w:sz w:val="21"/>
                <w:szCs w:val="21"/>
                <w:u w:val="none" w:color="auto"/>
                <w:lang w:val="en-US" w:eastAsia="zh-CN"/>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2" w:hRule="atLeast"/>
          <w:jc w:val="center"/>
        </w:trPr>
        <w:tc>
          <w:tcPr>
            <w:tcW w:w="822" w:type="dxa"/>
            <w:vMerge w:val="restart"/>
            <w:tcBorders>
              <w:tl2br w:val="nil"/>
              <w:tr2bl w:val="nil"/>
            </w:tcBorders>
            <w:noWrap w:val="0"/>
            <w:vAlign w:val="center"/>
          </w:tcPr>
          <w:p>
            <w:pPr>
              <w:keepNext w:val="0"/>
              <w:keepLines w:val="0"/>
              <w:pageBreakBefore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z w:val="21"/>
                <w:szCs w:val="21"/>
                <w:u w:val="none" w:color="auto"/>
              </w:rPr>
              <w:t>编号</w:t>
            </w:r>
          </w:p>
        </w:tc>
        <w:tc>
          <w:tcPr>
            <w:tcW w:w="2239"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pacing w:val="6"/>
                <w:sz w:val="21"/>
                <w:szCs w:val="21"/>
                <w:u w:val="none" w:color="auto"/>
                <w:lang w:val="en-US" w:eastAsia="zh-CN"/>
              </w:rPr>
            </w:pPr>
            <w:r>
              <w:rPr>
                <w:rFonts w:hint="eastAsia" w:cs="Times New Roman"/>
                <w:spacing w:val="6"/>
                <w:sz w:val="21"/>
                <w:szCs w:val="21"/>
                <w:u w:val="none" w:color="auto"/>
                <w:lang w:val="en-US" w:eastAsia="zh-CN"/>
              </w:rPr>
              <w:t>坐标</w:t>
            </w:r>
          </w:p>
        </w:tc>
        <w:tc>
          <w:tcPr>
            <w:tcW w:w="920" w:type="dxa"/>
            <w:vMerge w:val="restart"/>
            <w:tcBorders>
              <w:tl2br w:val="nil"/>
              <w:tr2bl w:val="nil"/>
            </w:tcBorders>
            <w:noWrap w:val="0"/>
            <w:vAlign w:val="center"/>
          </w:tcPr>
          <w:p>
            <w:pPr>
              <w:keepNext w:val="0"/>
              <w:keepLines w:val="0"/>
              <w:pageBreakBefore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z w:val="21"/>
                <w:szCs w:val="21"/>
                <w:u w:val="none" w:color="auto"/>
              </w:rPr>
              <w:t>编号</w:t>
            </w:r>
          </w:p>
        </w:tc>
        <w:tc>
          <w:tcPr>
            <w:tcW w:w="2016" w:type="dxa"/>
            <w:gridSpan w:val="2"/>
            <w:tcBorders>
              <w:tl2br w:val="nil"/>
              <w:tr2bl w:val="nil"/>
            </w:tcBorders>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pacing w:val="6"/>
                <w:kern w:val="2"/>
                <w:sz w:val="21"/>
                <w:szCs w:val="21"/>
                <w:u w:val="none" w:color="auto"/>
                <w:lang w:val="en-US" w:eastAsia="zh-CN" w:bidi="ar-SA"/>
                <w14:textFill>
                  <w14:solidFill>
                    <w14:schemeClr w14:val="tx1"/>
                  </w14:solidFill>
                </w14:textFill>
              </w:rPr>
            </w:pPr>
            <w:r>
              <w:rPr>
                <w:rFonts w:hint="eastAsia" w:cs="Times New Roman"/>
                <w:spacing w:val="6"/>
                <w:sz w:val="21"/>
                <w:szCs w:val="21"/>
                <w:u w:val="none" w:color="auto"/>
                <w:lang w:val="en-US" w:eastAsia="zh-CN"/>
              </w:rPr>
              <w:t>坐标</w:t>
            </w:r>
          </w:p>
        </w:tc>
        <w:tc>
          <w:tcPr>
            <w:tcW w:w="1008" w:type="dxa"/>
            <w:vMerge w:val="restart"/>
            <w:tcBorders>
              <w:tl2br w:val="nil"/>
              <w:tr2bl w:val="nil"/>
            </w:tcBorders>
            <w:noWrap w:val="0"/>
            <w:vAlign w:val="center"/>
          </w:tcPr>
          <w:p>
            <w:pPr>
              <w:keepNext w:val="0"/>
              <w:keepLines w:val="0"/>
              <w:pageBreakBefore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pacing w:val="6"/>
                <w:sz w:val="21"/>
                <w:szCs w:val="21"/>
                <w:u w:val="none" w:color="auto"/>
                <w:lang w:val="en-US" w:eastAsia="zh-CN"/>
              </w:rPr>
            </w:pPr>
            <w:r>
              <w:rPr>
                <w:rFonts w:hint="eastAsia" w:cs="Times New Roman"/>
                <w:spacing w:val="6"/>
                <w:sz w:val="21"/>
                <w:szCs w:val="21"/>
                <w:u w:val="none" w:color="auto"/>
                <w:lang w:val="en-US" w:eastAsia="zh-CN"/>
              </w:rPr>
              <w:t>海拔（m）</w:t>
            </w:r>
          </w:p>
        </w:tc>
        <w:tc>
          <w:tcPr>
            <w:tcW w:w="856" w:type="dxa"/>
            <w:vMerge w:val="restart"/>
            <w:tcBorders>
              <w:tl2br w:val="nil"/>
              <w:tr2bl w:val="nil"/>
            </w:tcBorders>
            <w:noWrap w:val="0"/>
            <w:vAlign w:val="center"/>
          </w:tcPr>
          <w:p>
            <w:pPr>
              <w:keepNext w:val="0"/>
              <w:keepLines w:val="0"/>
              <w:pageBreakBefore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pacing w:val="6"/>
                <w:sz w:val="21"/>
                <w:szCs w:val="21"/>
                <w:u w:val="none" w:color="auto"/>
                <w:lang w:val="en-US" w:eastAsia="zh-CN"/>
              </w:rPr>
            </w:pPr>
            <w:r>
              <w:rPr>
                <w:rFonts w:hint="eastAsia" w:cs="Times New Roman"/>
                <w:spacing w:val="6"/>
                <w:sz w:val="21"/>
                <w:szCs w:val="21"/>
                <w:u w:val="none" w:color="auto"/>
                <w:lang w:val="en-US" w:eastAsia="zh-CN"/>
              </w:rPr>
              <w:t>坡度（</w:t>
            </w:r>
            <w:r>
              <w:rPr>
                <w:rFonts w:hint="eastAsia" w:ascii="宋体" w:hAnsi="宋体" w:eastAsia="宋体" w:cs="宋体"/>
                <w:spacing w:val="6"/>
                <w:sz w:val="21"/>
                <w:szCs w:val="21"/>
                <w:u w:val="none" w:color="auto"/>
                <w:lang w:val="en-US" w:eastAsia="zh-CN"/>
              </w:rPr>
              <w:t>°</w:t>
            </w:r>
            <w:r>
              <w:rPr>
                <w:rFonts w:hint="eastAsia" w:cs="Times New Roman"/>
                <w:spacing w:val="6"/>
                <w:sz w:val="21"/>
                <w:szCs w:val="21"/>
                <w:u w:val="none" w:color="auto"/>
                <w:lang w:val="en-US" w:eastAsia="zh-CN"/>
              </w:rPr>
              <w:t>）</w:t>
            </w:r>
          </w:p>
        </w:tc>
        <w:tc>
          <w:tcPr>
            <w:tcW w:w="1160" w:type="dxa"/>
            <w:vMerge w:val="continue"/>
            <w:tcBorders>
              <w:tl2br w:val="nil"/>
              <w:tr2bl w:val="nil"/>
            </w:tcBorders>
            <w:noWrap w:val="0"/>
            <w:vAlign w:val="center"/>
          </w:tcPr>
          <w:p>
            <w:pPr>
              <w:keepNext w:val="0"/>
              <w:keepLines w:val="0"/>
              <w:pageBreakBefore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pacing w:val="6"/>
                <w:sz w:val="21"/>
                <w:szCs w:val="21"/>
                <w:u w:val="none" w:color="auto"/>
                <w:lang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2" w:hRule="atLeast"/>
          <w:jc w:val="center"/>
        </w:trPr>
        <w:tc>
          <w:tcPr>
            <w:tcW w:w="822" w:type="dxa"/>
            <w:vMerge w:val="continue"/>
            <w:tcBorders>
              <w:tl2br w:val="nil"/>
              <w:tr2bl w:val="nil"/>
            </w:tcBorders>
            <w:noWrap w:val="0"/>
            <w:vAlign w:val="center"/>
          </w:tcPr>
          <w:p>
            <w:pPr>
              <w:keepNext w:val="0"/>
              <w:keepLines w:val="0"/>
              <w:pageBreakBefore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115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pacing w:val="6"/>
                <w:sz w:val="21"/>
                <w:szCs w:val="21"/>
                <w:u w:val="none" w:color="auto"/>
                <w:lang w:val="en-US" w:eastAsia="zh-CN"/>
              </w:rPr>
            </w:pPr>
            <w:r>
              <w:rPr>
                <w:rFonts w:hint="eastAsia" w:cs="Times New Roman"/>
                <w:spacing w:val="6"/>
                <w:sz w:val="21"/>
                <w:szCs w:val="21"/>
                <w:u w:val="none" w:color="auto"/>
                <w:lang w:val="en-US" w:eastAsia="zh-CN"/>
              </w:rPr>
              <w:t>Y</w:t>
            </w:r>
          </w:p>
        </w:tc>
        <w:tc>
          <w:tcPr>
            <w:tcW w:w="108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pacing w:val="6"/>
                <w:sz w:val="21"/>
                <w:szCs w:val="21"/>
                <w:u w:val="none" w:color="auto"/>
                <w:lang w:val="en-US" w:eastAsia="zh-CN"/>
              </w:rPr>
            </w:pPr>
            <w:r>
              <w:rPr>
                <w:rFonts w:hint="eastAsia" w:cs="Times New Roman"/>
                <w:spacing w:val="6"/>
                <w:sz w:val="21"/>
                <w:szCs w:val="21"/>
                <w:u w:val="none" w:color="auto"/>
                <w:lang w:val="en-US" w:eastAsia="zh-CN"/>
              </w:rPr>
              <w:t>X</w:t>
            </w:r>
          </w:p>
        </w:tc>
        <w:tc>
          <w:tcPr>
            <w:tcW w:w="920" w:type="dxa"/>
            <w:vMerge w:val="continue"/>
            <w:tcBorders>
              <w:tl2br w:val="nil"/>
              <w:tr2bl w:val="nil"/>
            </w:tcBorders>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6"/>
                <w:kern w:val="2"/>
                <w:sz w:val="21"/>
                <w:szCs w:val="21"/>
                <w:u w:val="none" w:color="auto"/>
                <w:lang w:val="en-US" w:eastAsia="zh-CN" w:bidi="ar-SA"/>
                <w14:textFill>
                  <w14:solidFill>
                    <w14:schemeClr w14:val="tx1"/>
                  </w14:solidFill>
                </w14:textFill>
              </w:rPr>
            </w:pPr>
          </w:p>
        </w:tc>
        <w:tc>
          <w:tcPr>
            <w:tcW w:w="1008"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pacing w:val="6"/>
                <w:kern w:val="2"/>
                <w:sz w:val="21"/>
                <w:szCs w:val="21"/>
                <w:u w:val="none" w:color="auto"/>
                <w:lang w:val="en-US" w:eastAsia="zh-CN" w:bidi="ar-SA"/>
                <w14:textFill>
                  <w14:solidFill>
                    <w14:schemeClr w14:val="tx1"/>
                  </w14:solidFill>
                </w14:textFill>
              </w:rPr>
            </w:pPr>
            <w:r>
              <w:rPr>
                <w:rFonts w:hint="eastAsia" w:cs="Times New Roman"/>
                <w:spacing w:val="6"/>
                <w:sz w:val="21"/>
                <w:szCs w:val="21"/>
                <w:u w:val="none" w:color="auto"/>
                <w:lang w:val="en-US" w:eastAsia="zh-CN"/>
              </w:rPr>
              <w:t>Y</w:t>
            </w:r>
          </w:p>
        </w:tc>
        <w:tc>
          <w:tcPr>
            <w:tcW w:w="1008" w:type="dxa"/>
            <w:tcBorders>
              <w:tl2br w:val="nil"/>
              <w:tr2bl w:val="nil"/>
            </w:tcBorders>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pacing w:val="6"/>
                <w:kern w:val="2"/>
                <w:sz w:val="21"/>
                <w:szCs w:val="21"/>
                <w:u w:val="none" w:color="auto"/>
                <w:lang w:val="en-US" w:eastAsia="zh-CN" w:bidi="ar-SA"/>
                <w14:textFill>
                  <w14:solidFill>
                    <w14:schemeClr w14:val="tx1"/>
                  </w14:solidFill>
                </w14:textFill>
              </w:rPr>
            </w:pPr>
            <w:r>
              <w:rPr>
                <w:rFonts w:hint="eastAsia" w:cs="Times New Roman"/>
                <w:spacing w:val="6"/>
                <w:sz w:val="21"/>
                <w:szCs w:val="21"/>
                <w:u w:val="none" w:color="auto"/>
                <w:lang w:val="en-US" w:eastAsia="zh-CN"/>
              </w:rPr>
              <w:t>X</w:t>
            </w:r>
          </w:p>
        </w:tc>
        <w:tc>
          <w:tcPr>
            <w:tcW w:w="1008" w:type="dxa"/>
            <w:vMerge w:val="continue"/>
            <w:tcBorders>
              <w:tl2br w:val="nil"/>
              <w:tr2bl w:val="nil"/>
            </w:tcBorders>
            <w:noWrap w:val="0"/>
            <w:vAlign w:val="center"/>
          </w:tcPr>
          <w:p>
            <w:pPr>
              <w:keepNext w:val="0"/>
              <w:keepLines w:val="0"/>
              <w:pageBreakBefore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pacing w:val="6"/>
                <w:sz w:val="21"/>
                <w:szCs w:val="21"/>
                <w:u w:val="none" w:color="auto"/>
                <w:lang w:eastAsia="zh-CN"/>
              </w:rPr>
            </w:pPr>
          </w:p>
        </w:tc>
        <w:tc>
          <w:tcPr>
            <w:tcW w:w="856" w:type="dxa"/>
            <w:vMerge w:val="continue"/>
            <w:tcBorders>
              <w:tl2br w:val="nil"/>
              <w:tr2bl w:val="nil"/>
            </w:tcBorders>
            <w:noWrap w:val="0"/>
            <w:vAlign w:val="center"/>
          </w:tcPr>
          <w:p>
            <w:pPr>
              <w:keepNext w:val="0"/>
              <w:keepLines w:val="0"/>
              <w:pageBreakBefore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pacing w:val="6"/>
                <w:sz w:val="21"/>
                <w:szCs w:val="21"/>
                <w:u w:val="none" w:color="auto"/>
                <w:lang w:eastAsia="zh-CN"/>
              </w:rPr>
            </w:pPr>
          </w:p>
        </w:tc>
        <w:tc>
          <w:tcPr>
            <w:tcW w:w="1160" w:type="dxa"/>
            <w:vMerge w:val="continue"/>
            <w:tcBorders>
              <w:tl2br w:val="nil"/>
              <w:tr2bl w:val="nil"/>
            </w:tcBorders>
            <w:noWrap w:val="0"/>
            <w:vAlign w:val="center"/>
          </w:tcPr>
          <w:p>
            <w:pPr>
              <w:keepNext w:val="0"/>
              <w:keepLines w:val="0"/>
              <w:pageBreakBefore w:val="0"/>
              <w:tabs>
                <w:tab w:val="left" w:pos="1256"/>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pacing w:val="6"/>
                <w:sz w:val="21"/>
                <w:szCs w:val="21"/>
                <w:u w:val="none" w:color="auto"/>
                <w:lang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82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A1</w:t>
            </w:r>
          </w:p>
        </w:tc>
        <w:tc>
          <w:tcPr>
            <w:tcW w:w="11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37608877.2</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2802935.5</w:t>
            </w:r>
          </w:p>
        </w:tc>
        <w:tc>
          <w:tcPr>
            <w:tcW w:w="9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w:t>
            </w:r>
          </w:p>
        </w:tc>
        <w:tc>
          <w:tcPr>
            <w:tcW w:w="10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w:t>
            </w:r>
          </w:p>
        </w:tc>
        <w:tc>
          <w:tcPr>
            <w:tcW w:w="10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w:t>
            </w:r>
          </w:p>
        </w:tc>
        <w:tc>
          <w:tcPr>
            <w:tcW w:w="10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w:t>
            </w:r>
          </w:p>
        </w:tc>
        <w:tc>
          <w:tcPr>
            <w:tcW w:w="8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w:t>
            </w:r>
          </w:p>
        </w:tc>
        <w:tc>
          <w:tcPr>
            <w:tcW w:w="11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取消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82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A2</w:t>
            </w:r>
          </w:p>
        </w:tc>
        <w:tc>
          <w:tcPr>
            <w:tcW w:w="11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37608947.7</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2802582.3</w:t>
            </w:r>
          </w:p>
        </w:tc>
        <w:tc>
          <w:tcPr>
            <w:tcW w:w="9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w:t>
            </w:r>
          </w:p>
        </w:tc>
        <w:tc>
          <w:tcPr>
            <w:tcW w:w="10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w:t>
            </w:r>
          </w:p>
        </w:tc>
        <w:tc>
          <w:tcPr>
            <w:tcW w:w="10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w:t>
            </w:r>
          </w:p>
        </w:tc>
        <w:tc>
          <w:tcPr>
            <w:tcW w:w="10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w:t>
            </w:r>
          </w:p>
        </w:tc>
        <w:tc>
          <w:tcPr>
            <w:tcW w:w="8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w:t>
            </w:r>
          </w:p>
        </w:tc>
        <w:tc>
          <w:tcPr>
            <w:tcW w:w="11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取消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82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A3</w:t>
            </w:r>
          </w:p>
        </w:tc>
        <w:tc>
          <w:tcPr>
            <w:tcW w:w="11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37608607.7</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2800412.4</w:t>
            </w:r>
          </w:p>
        </w:tc>
        <w:tc>
          <w:tcPr>
            <w:tcW w:w="920"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L1</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37608614</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2800403</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1605</w:t>
            </w:r>
          </w:p>
        </w:tc>
        <w:tc>
          <w:tcPr>
            <w:tcW w:w="856"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23</w:t>
            </w:r>
          </w:p>
        </w:tc>
        <w:tc>
          <w:tcPr>
            <w:tcW w:w="11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偏移7m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82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A4</w:t>
            </w:r>
          </w:p>
        </w:tc>
        <w:tc>
          <w:tcPr>
            <w:tcW w:w="11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37610235.8</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2800625.7</w:t>
            </w:r>
          </w:p>
        </w:tc>
        <w:tc>
          <w:tcPr>
            <w:tcW w:w="920"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L2</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37610240</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2800621</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1404</w:t>
            </w:r>
          </w:p>
        </w:tc>
        <w:tc>
          <w:tcPr>
            <w:tcW w:w="856"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17</w:t>
            </w:r>
          </w:p>
        </w:tc>
        <w:tc>
          <w:tcPr>
            <w:tcW w:w="11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偏移10m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82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A5</w:t>
            </w:r>
          </w:p>
        </w:tc>
        <w:tc>
          <w:tcPr>
            <w:tcW w:w="11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37610560.7</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2800736.2</w:t>
            </w:r>
          </w:p>
        </w:tc>
        <w:tc>
          <w:tcPr>
            <w:tcW w:w="920"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L3</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37610561</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2800730</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1362</w:t>
            </w:r>
          </w:p>
        </w:tc>
        <w:tc>
          <w:tcPr>
            <w:tcW w:w="856"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20</w:t>
            </w:r>
          </w:p>
        </w:tc>
        <w:tc>
          <w:tcPr>
            <w:tcW w:w="11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偏移10m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82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A6</w:t>
            </w:r>
          </w:p>
        </w:tc>
        <w:tc>
          <w:tcPr>
            <w:tcW w:w="11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37611330.9</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2801723.4</w:t>
            </w:r>
          </w:p>
        </w:tc>
        <w:tc>
          <w:tcPr>
            <w:tcW w:w="920"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L4</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37611423</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2801803</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1390</w:t>
            </w:r>
          </w:p>
        </w:tc>
        <w:tc>
          <w:tcPr>
            <w:tcW w:w="856"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18</w:t>
            </w:r>
          </w:p>
        </w:tc>
        <w:tc>
          <w:tcPr>
            <w:tcW w:w="11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偏移110m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8" w:hRule="atLeast"/>
          <w:jc w:val="center"/>
        </w:trPr>
        <w:tc>
          <w:tcPr>
            <w:tcW w:w="82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A7</w:t>
            </w:r>
          </w:p>
        </w:tc>
        <w:tc>
          <w:tcPr>
            <w:tcW w:w="11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37611676.8</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2802149.1</w:t>
            </w:r>
          </w:p>
        </w:tc>
        <w:tc>
          <w:tcPr>
            <w:tcW w:w="920"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L5</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37611677</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2802149</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1466</w:t>
            </w:r>
          </w:p>
        </w:tc>
        <w:tc>
          <w:tcPr>
            <w:tcW w:w="856"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16</w:t>
            </w:r>
          </w:p>
        </w:tc>
        <w:tc>
          <w:tcPr>
            <w:tcW w:w="11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基本不变</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822"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color w:val="auto"/>
                <w:sz w:val="21"/>
                <w:szCs w:val="21"/>
                <w:u w:val="none" w:color="auto"/>
                <w:lang w:val="en-US" w:eastAsia="zh-CN"/>
              </w:rPr>
              <w:t>/</w:t>
            </w:r>
          </w:p>
        </w:tc>
        <w:tc>
          <w:tcPr>
            <w:tcW w:w="1156"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color w:val="auto"/>
                <w:sz w:val="21"/>
                <w:szCs w:val="21"/>
                <w:u w:val="none" w:color="auto"/>
                <w:lang w:val="en-US" w:eastAsia="zh-CN"/>
              </w:rPr>
              <w:t>/</w:t>
            </w:r>
          </w:p>
        </w:tc>
        <w:tc>
          <w:tcPr>
            <w:tcW w:w="1083"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color w:val="auto"/>
                <w:sz w:val="21"/>
                <w:szCs w:val="21"/>
                <w:u w:val="none" w:color="auto"/>
                <w:lang w:val="en-US" w:eastAsia="zh-CN"/>
              </w:rPr>
              <w:t>/</w:t>
            </w:r>
          </w:p>
        </w:tc>
        <w:tc>
          <w:tcPr>
            <w:tcW w:w="920"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L6</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37611835</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2802705</w:t>
            </w:r>
          </w:p>
        </w:tc>
        <w:tc>
          <w:tcPr>
            <w:tcW w:w="10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1502</w:t>
            </w:r>
          </w:p>
        </w:tc>
        <w:tc>
          <w:tcPr>
            <w:tcW w:w="8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20</w:t>
            </w:r>
          </w:p>
        </w:tc>
        <w:tc>
          <w:tcPr>
            <w:tcW w:w="11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新增</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822"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color w:val="auto"/>
                <w:sz w:val="21"/>
                <w:szCs w:val="21"/>
                <w:u w:val="none" w:color="auto"/>
                <w:lang w:val="en-US" w:eastAsia="zh-CN"/>
              </w:rPr>
              <w:t>A8</w:t>
            </w:r>
          </w:p>
        </w:tc>
        <w:tc>
          <w:tcPr>
            <w:tcW w:w="1156"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color w:val="auto"/>
                <w:sz w:val="21"/>
                <w:szCs w:val="21"/>
                <w:u w:val="none" w:color="auto"/>
                <w:lang w:val="en-US" w:eastAsia="zh-CN"/>
              </w:rPr>
              <w:t>37612021.9</w:t>
            </w:r>
          </w:p>
        </w:tc>
        <w:tc>
          <w:tcPr>
            <w:tcW w:w="1083"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color w:val="auto"/>
                <w:sz w:val="21"/>
                <w:szCs w:val="21"/>
                <w:u w:val="none" w:color="auto"/>
                <w:lang w:val="en-US" w:eastAsia="zh-CN"/>
              </w:rPr>
              <w:t>2802725.4</w:t>
            </w:r>
          </w:p>
        </w:tc>
        <w:tc>
          <w:tcPr>
            <w:tcW w:w="920"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color w:val="auto"/>
                <w:sz w:val="21"/>
                <w:szCs w:val="21"/>
                <w:u w:val="none" w:color="auto"/>
                <w:lang w:val="en-US" w:eastAsia="zh-CN"/>
              </w:rPr>
              <w:t>L7</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color w:val="auto"/>
                <w:sz w:val="21"/>
                <w:szCs w:val="21"/>
                <w:u w:val="none" w:color="auto"/>
                <w:lang w:val="en-US" w:eastAsia="zh-CN"/>
              </w:rPr>
              <w:t>37612123</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color w:val="auto"/>
                <w:sz w:val="21"/>
                <w:szCs w:val="21"/>
                <w:u w:val="none" w:color="auto"/>
                <w:lang w:val="en-US" w:eastAsia="zh-CN"/>
              </w:rPr>
              <w:t>2802717</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1513</w:t>
            </w:r>
          </w:p>
        </w:tc>
        <w:tc>
          <w:tcPr>
            <w:tcW w:w="856"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25</w:t>
            </w:r>
          </w:p>
        </w:tc>
        <w:tc>
          <w:tcPr>
            <w:tcW w:w="11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偏移100m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82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A9</w:t>
            </w:r>
          </w:p>
        </w:tc>
        <w:tc>
          <w:tcPr>
            <w:tcW w:w="11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37612454.3</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2802578.5</w:t>
            </w:r>
          </w:p>
        </w:tc>
        <w:tc>
          <w:tcPr>
            <w:tcW w:w="920"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L8</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37612454</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2802579</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1372</w:t>
            </w:r>
          </w:p>
        </w:tc>
        <w:tc>
          <w:tcPr>
            <w:tcW w:w="856"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18</w:t>
            </w:r>
          </w:p>
        </w:tc>
        <w:tc>
          <w:tcPr>
            <w:tcW w:w="11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基本不变</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82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A10</w:t>
            </w:r>
          </w:p>
        </w:tc>
        <w:tc>
          <w:tcPr>
            <w:tcW w:w="11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37613072.2</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2803802.2</w:t>
            </w:r>
          </w:p>
        </w:tc>
        <w:tc>
          <w:tcPr>
            <w:tcW w:w="920"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L9</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37613070</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2803689</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1421</w:t>
            </w:r>
          </w:p>
        </w:tc>
        <w:tc>
          <w:tcPr>
            <w:tcW w:w="856"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15</w:t>
            </w:r>
          </w:p>
        </w:tc>
        <w:tc>
          <w:tcPr>
            <w:tcW w:w="11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偏移110m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82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A11</w:t>
            </w:r>
          </w:p>
        </w:tc>
        <w:tc>
          <w:tcPr>
            <w:tcW w:w="11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37613487.4</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2803691.5</w:t>
            </w:r>
          </w:p>
        </w:tc>
        <w:tc>
          <w:tcPr>
            <w:tcW w:w="920"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L10</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37613487</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2803692</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1398</w:t>
            </w:r>
          </w:p>
        </w:tc>
        <w:tc>
          <w:tcPr>
            <w:tcW w:w="856"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16</w:t>
            </w:r>
          </w:p>
        </w:tc>
        <w:tc>
          <w:tcPr>
            <w:tcW w:w="11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基本不变</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82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A12</w:t>
            </w:r>
          </w:p>
        </w:tc>
        <w:tc>
          <w:tcPr>
            <w:tcW w:w="11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37613778.9</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2803946.2</w:t>
            </w:r>
          </w:p>
        </w:tc>
        <w:tc>
          <w:tcPr>
            <w:tcW w:w="920"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L11</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37613779</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2803946</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1358</w:t>
            </w:r>
          </w:p>
        </w:tc>
        <w:tc>
          <w:tcPr>
            <w:tcW w:w="856"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15</w:t>
            </w:r>
          </w:p>
        </w:tc>
        <w:tc>
          <w:tcPr>
            <w:tcW w:w="11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基本不变</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82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A13</w:t>
            </w:r>
          </w:p>
        </w:tc>
        <w:tc>
          <w:tcPr>
            <w:tcW w:w="11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37613892.2</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2804449.3</w:t>
            </w:r>
          </w:p>
        </w:tc>
        <w:tc>
          <w:tcPr>
            <w:tcW w:w="920"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L12</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37613892</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2804449</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1279</w:t>
            </w:r>
          </w:p>
        </w:tc>
        <w:tc>
          <w:tcPr>
            <w:tcW w:w="856"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15</w:t>
            </w:r>
          </w:p>
        </w:tc>
        <w:tc>
          <w:tcPr>
            <w:tcW w:w="11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基本不变</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82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A14</w:t>
            </w:r>
          </w:p>
        </w:tc>
        <w:tc>
          <w:tcPr>
            <w:tcW w:w="11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37613874.5</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2804916.8</w:t>
            </w:r>
          </w:p>
        </w:tc>
        <w:tc>
          <w:tcPr>
            <w:tcW w:w="920"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L13</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37613862</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2804909</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1253</w:t>
            </w:r>
          </w:p>
        </w:tc>
        <w:tc>
          <w:tcPr>
            <w:tcW w:w="856"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17</w:t>
            </w:r>
          </w:p>
        </w:tc>
        <w:tc>
          <w:tcPr>
            <w:tcW w:w="11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偏移30m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82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A15</w:t>
            </w:r>
          </w:p>
        </w:tc>
        <w:tc>
          <w:tcPr>
            <w:tcW w:w="11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37613906.8</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2805428.6</w:t>
            </w:r>
          </w:p>
        </w:tc>
        <w:tc>
          <w:tcPr>
            <w:tcW w:w="920"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L14</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37613907</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2805429</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1185</w:t>
            </w:r>
          </w:p>
        </w:tc>
        <w:tc>
          <w:tcPr>
            <w:tcW w:w="856"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16</w:t>
            </w:r>
          </w:p>
        </w:tc>
        <w:tc>
          <w:tcPr>
            <w:tcW w:w="11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基本不变</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822"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w:t>
            </w:r>
          </w:p>
        </w:tc>
        <w:tc>
          <w:tcPr>
            <w:tcW w:w="1156"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w:t>
            </w:r>
          </w:p>
        </w:tc>
        <w:tc>
          <w:tcPr>
            <w:tcW w:w="1083"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w:t>
            </w:r>
          </w:p>
        </w:tc>
        <w:tc>
          <w:tcPr>
            <w:tcW w:w="920"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L15</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37614434</w:t>
            </w:r>
          </w:p>
        </w:tc>
        <w:tc>
          <w:tcPr>
            <w:tcW w:w="100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2806037</w:t>
            </w:r>
          </w:p>
        </w:tc>
        <w:tc>
          <w:tcPr>
            <w:tcW w:w="10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1034</w:t>
            </w:r>
          </w:p>
        </w:tc>
        <w:tc>
          <w:tcPr>
            <w:tcW w:w="8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22</w:t>
            </w:r>
          </w:p>
        </w:tc>
        <w:tc>
          <w:tcPr>
            <w:tcW w:w="11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新增</w:t>
            </w:r>
          </w:p>
        </w:tc>
      </w:tr>
    </w:tbl>
    <w:p>
      <w:pPr>
        <w:bidi w:val="0"/>
        <w:rPr>
          <w:rFonts w:hint="eastAsia" w:cs="Times New Roman"/>
          <w:color w:val="000000" w:themeColor="text1"/>
          <w:sz w:val="21"/>
          <w:szCs w:val="16"/>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16"/>
          <w:u w:val="none" w:color="auto"/>
          <w:lang w:val="en-US" w:eastAsia="zh-CN"/>
          <w14:textFill>
            <w14:solidFill>
              <w14:schemeClr w14:val="tx1"/>
            </w14:solidFill>
          </w14:textFill>
        </w:rPr>
        <w:t>坐标系：CGCS2000-ZONE(37)，中央子午线 111°</w:t>
      </w:r>
      <w:r>
        <w:rPr>
          <w:rFonts w:hint="eastAsia" w:cs="Times New Roman"/>
          <w:color w:val="000000" w:themeColor="text1"/>
          <w:sz w:val="21"/>
          <w:szCs w:val="16"/>
          <w:u w:val="none" w:color="auto"/>
          <w:lang w:val="en-US" w:eastAsia="zh-CN"/>
          <w14:textFill>
            <w14:solidFill>
              <w14:schemeClr w14:val="tx1"/>
            </w14:solidFill>
          </w14:textFill>
        </w:rPr>
        <w:t>。</w:t>
      </w:r>
    </w:p>
    <w:p>
      <w:pPr>
        <w:bidi w:val="0"/>
        <w:ind w:left="0" w:leftChars="0" w:firstLine="0" w:firstLineChars="0"/>
        <w:jc w:val="center"/>
      </w:pPr>
      <w:r>
        <w:drawing>
          <wp:anchor distT="0" distB="0" distL="114300" distR="114300" simplePos="0" relativeHeight="251697152" behindDoc="0" locked="0" layoutInCell="1" allowOverlap="1">
            <wp:simplePos x="0" y="0"/>
            <wp:positionH relativeFrom="column">
              <wp:posOffset>4138295</wp:posOffset>
            </wp:positionH>
            <wp:positionV relativeFrom="paragraph">
              <wp:posOffset>3977005</wp:posOffset>
            </wp:positionV>
            <wp:extent cx="169545" cy="189230"/>
            <wp:effectExtent l="0" t="0" r="1905" b="1270"/>
            <wp:wrapNone/>
            <wp:docPr id="9"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true"/>
                    </pic:cNvPicPr>
                  </pic:nvPicPr>
                  <pic:blipFill>
                    <a:blip r:embed="rId30"/>
                    <a:srcRect r="1075" b="12479"/>
                    <a:stretch>
                      <a:fillRect/>
                    </a:stretch>
                  </pic:blipFill>
                  <pic:spPr>
                    <a:xfrm>
                      <a:off x="0" y="0"/>
                      <a:ext cx="169545" cy="189230"/>
                    </a:xfrm>
                    <a:prstGeom prst="rect">
                      <a:avLst/>
                    </a:prstGeom>
                    <a:noFill/>
                    <a:ln>
                      <a:noFill/>
                    </a:ln>
                  </pic:spPr>
                </pic:pic>
              </a:graphicData>
            </a:graphic>
          </wp:anchor>
        </w:drawing>
      </w:r>
      <w:r>
        <w:drawing>
          <wp:anchor distT="0" distB="0" distL="114300" distR="114300" simplePos="0" relativeHeight="251698176" behindDoc="0" locked="0" layoutInCell="1" allowOverlap="1">
            <wp:simplePos x="0" y="0"/>
            <wp:positionH relativeFrom="column">
              <wp:posOffset>4146550</wp:posOffset>
            </wp:positionH>
            <wp:positionV relativeFrom="paragraph">
              <wp:posOffset>3745230</wp:posOffset>
            </wp:positionV>
            <wp:extent cx="162560" cy="198120"/>
            <wp:effectExtent l="0" t="0" r="8890" b="11430"/>
            <wp:wrapNone/>
            <wp:docPr id="10"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true"/>
                    </pic:cNvPicPr>
                  </pic:nvPicPr>
                  <pic:blipFill>
                    <a:blip r:embed="rId31"/>
                    <a:stretch>
                      <a:fillRect/>
                    </a:stretch>
                  </pic:blipFill>
                  <pic:spPr>
                    <a:xfrm>
                      <a:off x="0" y="0"/>
                      <a:ext cx="162560" cy="198120"/>
                    </a:xfrm>
                    <a:prstGeom prst="rect">
                      <a:avLst/>
                    </a:prstGeom>
                    <a:noFill/>
                    <a:ln>
                      <a:noFill/>
                    </a:ln>
                  </pic:spPr>
                </pic:pic>
              </a:graphicData>
            </a:graphic>
          </wp:anchor>
        </w:drawing>
      </w:r>
      <w:r>
        <w:rPr>
          <w:sz w:val="24"/>
        </w:rPr>
        <mc:AlternateContent>
          <mc:Choice Requires="wps">
            <w:drawing>
              <wp:anchor distT="0" distB="0" distL="114300" distR="114300" simplePos="0" relativeHeight="251696128" behindDoc="0" locked="0" layoutInCell="1" allowOverlap="1">
                <wp:simplePos x="0" y="0"/>
                <wp:positionH relativeFrom="column">
                  <wp:posOffset>4074160</wp:posOffset>
                </wp:positionH>
                <wp:positionV relativeFrom="paragraph">
                  <wp:posOffset>3695700</wp:posOffset>
                </wp:positionV>
                <wp:extent cx="1252855" cy="593090"/>
                <wp:effectExtent l="4445" t="4445" r="19050" b="12065"/>
                <wp:wrapNone/>
                <wp:docPr id="11" name="文本框 11"/>
                <wp:cNvGraphicFramePr/>
                <a:graphic xmlns:a="http://schemas.openxmlformats.org/drawingml/2006/main">
                  <a:graphicData uri="http://schemas.microsoft.com/office/word/2010/wordprocessingShape">
                    <wps:wsp>
                      <wps:cNvSpPr txBox="true"/>
                      <wps:spPr>
                        <a:xfrm>
                          <a:off x="5325745" y="8689975"/>
                          <a:ext cx="1252855" cy="5930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left="0" w:leftChars="0" w:firstLine="420" w:firstLineChars="200"/>
                              <w:rPr>
                                <w:rFonts w:hint="eastAsia"/>
                                <w:sz w:val="21"/>
                                <w:szCs w:val="16"/>
                                <w:lang w:val="en-US" w:eastAsia="zh-CN"/>
                              </w:rPr>
                            </w:pPr>
                            <w:r>
                              <w:rPr>
                                <w:rFonts w:hint="eastAsia"/>
                                <w:sz w:val="21"/>
                                <w:szCs w:val="16"/>
                                <w:lang w:val="en-US" w:eastAsia="zh-CN"/>
                              </w:rPr>
                              <w:t>原环评风机</w:t>
                            </w:r>
                          </w:p>
                          <w:p>
                            <w:pPr>
                              <w:pStyle w:val="74"/>
                              <w:ind w:left="0" w:leftChars="0" w:firstLine="420" w:firstLineChars="200"/>
                              <w:rPr>
                                <w:rFonts w:hint="default"/>
                                <w:lang w:val="en-US" w:eastAsia="zh-CN"/>
                              </w:rPr>
                            </w:pPr>
                            <w:r>
                              <w:rPr>
                                <w:rFonts w:hint="eastAsia"/>
                                <w:sz w:val="21"/>
                                <w:szCs w:val="16"/>
                                <w:lang w:val="en-US" w:eastAsia="zh-CN"/>
                              </w:rPr>
                              <w:t>变更后风机</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20.8pt;margin-top:291pt;height:46.7pt;width:98.65pt;z-index:251696128;mso-width-relative:page;mso-height-relative:page;" fillcolor="#FFFFFF [3201]" filled="t" stroked="t" coordsize="21600,21600" o:gfxdata="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WAAAAZHJzL1BLAQIU&#10;ABQAAAAIAIdO4kBRd+JP2AAAAAsBAAAPAAAAAAAAAAEAIAAAADgAAABkcnMvZG93bnJldi54bWxQ&#10;SwECFAAUAAAACACHTuJAK7T1Y1MCAACJBAAADgAAAAAAAAABACAAAAA9AQAAZHJzL2Uyb0RvYy54&#10;bWxQSwUGAAAAAAYABgBZAQAAAgYAAAAA&#10;">
                <v:fill on="t" focussize="0,0"/>
                <v:stroke weight="0.5pt" color="#000000 [3204]" joinstyle="round"/>
                <v:imagedata o:title=""/>
                <o:lock v:ext="edit" aspectratio="f"/>
                <v:textbox>
                  <w:txbxContent>
                    <w:p>
                      <w:pPr>
                        <w:ind w:left="0" w:leftChars="0" w:firstLine="420" w:firstLineChars="200"/>
                        <w:rPr>
                          <w:rFonts w:hint="eastAsia"/>
                          <w:sz w:val="21"/>
                          <w:szCs w:val="16"/>
                          <w:lang w:val="en-US" w:eastAsia="zh-CN"/>
                        </w:rPr>
                      </w:pPr>
                      <w:r>
                        <w:rPr>
                          <w:rFonts w:hint="eastAsia"/>
                          <w:sz w:val="21"/>
                          <w:szCs w:val="16"/>
                          <w:lang w:val="en-US" w:eastAsia="zh-CN"/>
                        </w:rPr>
                        <w:t>原环评风机</w:t>
                      </w:r>
                    </w:p>
                    <w:p>
                      <w:pPr>
                        <w:pStyle w:val="74"/>
                        <w:ind w:left="0" w:leftChars="0" w:firstLine="420" w:firstLineChars="200"/>
                        <w:rPr>
                          <w:rFonts w:hint="default"/>
                          <w:lang w:val="en-US" w:eastAsia="zh-CN"/>
                        </w:rPr>
                      </w:pPr>
                      <w:r>
                        <w:rPr>
                          <w:rFonts w:hint="eastAsia"/>
                          <w:sz w:val="21"/>
                          <w:szCs w:val="16"/>
                          <w:lang w:val="en-US" w:eastAsia="zh-CN"/>
                        </w:rPr>
                        <w:t>变更后风机</w:t>
                      </w:r>
                    </w:p>
                  </w:txbxContent>
                </v:textbox>
              </v:shape>
            </w:pict>
          </mc:Fallback>
        </mc:AlternateContent>
      </w:r>
      <w:r>
        <w:rPr>
          <w:sz w:val="24"/>
        </w:rPr>
        <mc:AlternateContent>
          <mc:Choice Requires="wps">
            <w:drawing>
              <wp:anchor distT="0" distB="0" distL="114300" distR="114300" simplePos="0" relativeHeight="251678720" behindDoc="0" locked="0" layoutInCell="1" allowOverlap="1">
                <wp:simplePos x="0" y="0"/>
                <wp:positionH relativeFrom="column">
                  <wp:posOffset>1853565</wp:posOffset>
                </wp:positionH>
                <wp:positionV relativeFrom="paragraph">
                  <wp:posOffset>4057015</wp:posOffset>
                </wp:positionV>
                <wp:extent cx="382270" cy="271145"/>
                <wp:effectExtent l="0" t="0" r="0" b="0"/>
                <wp:wrapNone/>
                <wp:docPr id="112" name="文本框 112"/>
                <wp:cNvGraphicFramePr/>
                <a:graphic xmlns:a="http://schemas.openxmlformats.org/drawingml/2006/main">
                  <a:graphicData uri="http://schemas.microsoft.com/office/word/2010/wordprocessingShape">
                    <wps:wsp>
                      <wps:cNvSpPr txBox="true"/>
                      <wps:spPr>
                        <a:xfrm>
                          <a:off x="0" y="0"/>
                          <a:ext cx="38227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L2</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145.95pt;margin-top:319.45pt;height:21.35pt;width:30.1pt;z-index:251678720;mso-width-relative:page;mso-height-relative:page;" filled="f" stroked="f" coordsize="21600,21600" o:gfxdata="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DTp8ri2wAAAAsBAAAPAAAAAAAAAAEAIAAAADgAAABk&#10;cnMvZG93bnJldi54bWxQSwECFAAUAAAACACHTuJA7zVSACYCAAAtBAAADgAAAAAAAAABACAAAABA&#10;AQAAZHJzL2Uyb0RvYy54bWxQSwUGAAAAAAYABgBZAQAA2AUAAAAA&#10;">
                <v:fill on="f" focussize="0,0"/>
                <v:stroke on="f" weight="0.5pt"/>
                <v:imagedata o:title=""/>
                <o:lock v:ext="edit" aspectratio="f"/>
                <v:textbo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L2</w:t>
                      </w:r>
                    </w:p>
                  </w:txbxContent>
                </v:textbox>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1602740</wp:posOffset>
                </wp:positionH>
                <wp:positionV relativeFrom="paragraph">
                  <wp:posOffset>3937000</wp:posOffset>
                </wp:positionV>
                <wp:extent cx="382270" cy="271145"/>
                <wp:effectExtent l="0" t="0" r="0" b="0"/>
                <wp:wrapNone/>
                <wp:docPr id="100" name="文本框 100"/>
                <wp:cNvGraphicFramePr/>
                <a:graphic xmlns:a="http://schemas.openxmlformats.org/drawingml/2006/main">
                  <a:graphicData uri="http://schemas.microsoft.com/office/word/2010/wordprocessingShape">
                    <wps:wsp>
                      <wps:cNvSpPr txBox="true"/>
                      <wps:spPr>
                        <a:xfrm>
                          <a:off x="0" y="0"/>
                          <a:ext cx="38227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A4</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126.2pt;margin-top:310pt;height:21.35pt;width:30.1pt;z-index:251666432;mso-width-relative:page;mso-height-relative:page;" filled="f" stroked="f" coordsize="21600,21600" o:gfxdata="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Amv/hx2wAAAAsBAAAPAAAAAAAAAAEAIAAAADgAAABk&#10;cnMvZG93bnJldi54bWxQSwECFAAUAAAACACHTuJA17n5EyYCAAAtBAAADgAAAAAAAAABACAAAABA&#10;AQAAZHJzL2Uyb0RvYy54bWxQSwUGAAAAAAYABgBZAQAA2AUAAAAA&#10;">
                <v:fill on="f" focussize="0,0"/>
                <v:stroke on="f" weight="0.5pt"/>
                <v:imagedata o:title=""/>
                <o:lock v:ext="edit" aspectratio="f"/>
                <v:textbo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A4</w:t>
                      </w:r>
                    </w:p>
                  </w:txbxContent>
                </v:textbox>
              </v:shape>
            </w:pict>
          </mc:Fallback>
        </mc:AlternateContent>
      </w:r>
      <w:r>
        <w:rPr>
          <w:sz w:val="24"/>
        </w:rPr>
        <mc:AlternateContent>
          <mc:Choice Requires="wps">
            <w:drawing>
              <wp:anchor distT="0" distB="0" distL="114300" distR="114300" simplePos="0" relativeHeight="251677696" behindDoc="0" locked="0" layoutInCell="1" allowOverlap="1">
                <wp:simplePos x="0" y="0"/>
                <wp:positionH relativeFrom="column">
                  <wp:posOffset>4008120</wp:posOffset>
                </wp:positionH>
                <wp:positionV relativeFrom="paragraph">
                  <wp:posOffset>742315</wp:posOffset>
                </wp:positionV>
                <wp:extent cx="477520" cy="271145"/>
                <wp:effectExtent l="0" t="0" r="0" b="0"/>
                <wp:wrapNone/>
                <wp:docPr id="111" name="文本框 111"/>
                <wp:cNvGraphicFramePr/>
                <a:graphic xmlns:a="http://schemas.openxmlformats.org/drawingml/2006/main">
                  <a:graphicData uri="http://schemas.microsoft.com/office/word/2010/wordprocessingShape">
                    <wps:wsp>
                      <wps:cNvSpPr txBox="true"/>
                      <wps:spPr>
                        <a:xfrm>
                          <a:off x="0" y="0"/>
                          <a:ext cx="47752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A15</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15.6pt;margin-top:58.45pt;height:21.35pt;width:37.6pt;z-index:251677696;mso-width-relative:page;mso-height-relative:page;" filled="f" stroked="f" coordsize="21600,21600" o:gfxdata="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&#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BYAAABkcnMvUEsBAhQAFAAAAAgAh07iQMILbYrbAAAACwEAAA8AAAAAAAAAAQAgAAAAOAAAAGRy&#10;cy9kb3ducmV2LnhtbFBLAQIUABQAAAAIAIdO4kB3ViWQJQIAAC0EAAAOAAAAAAAAAAEAIAAAAEAB&#10;AABkcnMvZTJvRG9jLnhtbFBLBQYAAAAABgAGAFkBAADXBQAAAAA=&#10;">
                <v:fill on="f" focussize="0,0"/>
                <v:stroke on="f" weight="0.5pt"/>
                <v:imagedata o:title=""/>
                <o:lock v:ext="edit" aspectratio="f"/>
                <v:textbo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A15</w:t>
                      </w:r>
                    </w:p>
                  </w:txbxContent>
                </v:textbox>
              </v:shape>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4347845</wp:posOffset>
                </wp:positionH>
                <wp:positionV relativeFrom="paragraph">
                  <wp:posOffset>1092835</wp:posOffset>
                </wp:positionV>
                <wp:extent cx="497205" cy="271145"/>
                <wp:effectExtent l="0" t="0" r="0" b="0"/>
                <wp:wrapNone/>
                <wp:docPr id="123" name="文本框 123"/>
                <wp:cNvGraphicFramePr/>
                <a:graphic xmlns:a="http://schemas.openxmlformats.org/drawingml/2006/main">
                  <a:graphicData uri="http://schemas.microsoft.com/office/word/2010/wordprocessingShape">
                    <wps:wsp>
                      <wps:cNvSpPr txBox="true"/>
                      <wps:spPr>
                        <a:xfrm>
                          <a:off x="0" y="0"/>
                          <a:ext cx="497205"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L13</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42.35pt;margin-top:86.05pt;height:21.35pt;width:39.15pt;z-index:251689984;mso-width-relative:page;mso-height-relative:page;" filled="f" stroked="f" coordsize="21600,21600" o:gfxdata="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2l4z/9sAAAALAQAADwAAAAAAAAABACAAAAA4AAAA&#10;ZHJzL2Rvd25yZXYueG1sUEsBAhQAFAAAAAgAh07iQKZ1sUsnAgAALQQAAA4AAAAAAAAAAQAgAAAA&#10;QAEAAGRycy9lMm9Eb2MueG1sUEsFBgAAAAAGAAYAWQEAANkFAAAAAA==&#10;">
                <v:fill on="f" focussize="0,0"/>
                <v:stroke on="f" weight="0.5pt"/>
                <v:imagedata o:title=""/>
                <o:lock v:ext="edit" aspectratio="f"/>
                <v:textbo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L13</w:t>
                      </w:r>
                    </w:p>
                  </w:txbxContent>
                </v:textbox>
              </v:shape>
            </w:pict>
          </mc:Fallback>
        </mc:AlternateContent>
      </w:r>
      <w:r>
        <w:rPr>
          <w:sz w:val="24"/>
        </w:rPr>
        <mc:AlternateContent>
          <mc:Choice Requires="wps">
            <w:drawing>
              <wp:anchor distT="0" distB="0" distL="114300" distR="114300" simplePos="0" relativeHeight="251676672" behindDoc="0" locked="0" layoutInCell="1" allowOverlap="1">
                <wp:simplePos x="0" y="0"/>
                <wp:positionH relativeFrom="column">
                  <wp:posOffset>4009390</wp:posOffset>
                </wp:positionH>
                <wp:positionV relativeFrom="paragraph">
                  <wp:posOffset>1089660</wp:posOffset>
                </wp:positionV>
                <wp:extent cx="477520" cy="271145"/>
                <wp:effectExtent l="0" t="0" r="0" b="0"/>
                <wp:wrapNone/>
                <wp:docPr id="110" name="文本框 110"/>
                <wp:cNvGraphicFramePr/>
                <a:graphic xmlns:a="http://schemas.openxmlformats.org/drawingml/2006/main">
                  <a:graphicData uri="http://schemas.microsoft.com/office/word/2010/wordprocessingShape">
                    <wps:wsp>
                      <wps:cNvSpPr txBox="true"/>
                      <wps:spPr>
                        <a:xfrm>
                          <a:off x="0" y="0"/>
                          <a:ext cx="47752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A14</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15.7pt;margin-top:85.8pt;height:21.35pt;width:37.6pt;z-index:251676672;mso-width-relative:page;mso-height-relative:page;" filled="f" stroked="f" coordsize="21600,21600" o:gfxdata="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&#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BYAAABkcnMvUEsBAhQAFAAAAAgAh07iQAWKE3PbAAAACwEAAA8AAAAAAAAAAQAgAAAAOAAAAGRy&#10;cy9kb3ducmV2LnhtbFBLAQIUABQAAAAIAIdO4kA6mA5wJQIAAC0EAAAOAAAAAAAAAAEAIAAAAEAB&#10;AABkcnMvZTJvRG9jLnhtbFBLBQYAAAAABgAGAFkBAADXBQAAAAA=&#10;">
                <v:fill on="f" focussize="0,0"/>
                <v:stroke on="f" weight="0.5pt"/>
                <v:imagedata o:title=""/>
                <o:lock v:ext="edit" aspectratio="f"/>
                <v:textbo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A14</w:t>
                      </w:r>
                    </w:p>
                  </w:txbxContent>
                </v:textbox>
              </v:shape>
            </w:pict>
          </mc:Fallback>
        </mc:AlternateContent>
      </w:r>
      <w:r>
        <w:rPr>
          <w:sz w:val="24"/>
        </w:rPr>
        <mc:AlternateContent>
          <mc:Choice Requires="wps">
            <w:drawing>
              <wp:anchor distT="0" distB="0" distL="114300" distR="114300" simplePos="0" relativeHeight="251675648" behindDoc="0" locked="0" layoutInCell="1" allowOverlap="1">
                <wp:simplePos x="0" y="0"/>
                <wp:positionH relativeFrom="column">
                  <wp:posOffset>4006215</wp:posOffset>
                </wp:positionH>
                <wp:positionV relativeFrom="paragraph">
                  <wp:posOffset>1367790</wp:posOffset>
                </wp:positionV>
                <wp:extent cx="477520" cy="271145"/>
                <wp:effectExtent l="0" t="0" r="0" b="0"/>
                <wp:wrapNone/>
                <wp:docPr id="109" name="文本框 109"/>
                <wp:cNvGraphicFramePr/>
                <a:graphic xmlns:a="http://schemas.openxmlformats.org/drawingml/2006/main">
                  <a:graphicData uri="http://schemas.microsoft.com/office/word/2010/wordprocessingShape">
                    <wps:wsp>
                      <wps:cNvSpPr txBox="true"/>
                      <wps:spPr>
                        <a:xfrm>
                          <a:off x="0" y="0"/>
                          <a:ext cx="47752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A13</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15.45pt;margin-top:107.7pt;height:21.35pt;width:37.6pt;z-index:251675648;mso-width-relative:page;mso-height-relative:page;" filled="f" stroked="f" coordsize="21600,21600" o:gfxdata="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HTTyb9wAAAALAQAADwAAAAAAAAABACAAAAA4AAAA&#10;ZHJzL2Rvd25yZXYueG1sUEsBAhQAFAAAAAgAh07iQPgrMvQmAgAALQQAAA4AAAAAAAAAAQAgAAAA&#10;QQEAAGRycy9lMm9Eb2MueG1sUEsFBgAAAAAGAAYAWQEAANkFAAAAAA==&#10;">
                <v:fill on="f" focussize="0,0"/>
                <v:stroke on="f" weight="0.5pt"/>
                <v:imagedata o:title=""/>
                <o:lock v:ext="edit" aspectratio="f"/>
                <v:textbo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A13</w:t>
                      </w:r>
                    </w:p>
                  </w:txbxContent>
                </v:textbox>
              </v:shape>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3935095</wp:posOffset>
                </wp:positionH>
                <wp:positionV relativeFrom="paragraph">
                  <wp:posOffset>1669415</wp:posOffset>
                </wp:positionV>
                <wp:extent cx="477520" cy="271145"/>
                <wp:effectExtent l="0" t="0" r="0" b="0"/>
                <wp:wrapNone/>
                <wp:docPr id="108" name="文本框 108"/>
                <wp:cNvGraphicFramePr/>
                <a:graphic xmlns:a="http://schemas.openxmlformats.org/drawingml/2006/main">
                  <a:graphicData uri="http://schemas.microsoft.com/office/word/2010/wordprocessingShape">
                    <wps:wsp>
                      <wps:cNvSpPr txBox="true"/>
                      <wps:spPr>
                        <a:xfrm>
                          <a:off x="0" y="0"/>
                          <a:ext cx="47752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A12</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09.85pt;margin-top:131.45pt;height:21.35pt;width:37.6pt;z-index:251674624;mso-width-relative:page;mso-height-relative:page;" filled="f" stroked="f" coordsize="21600,21600" o:gfxdata="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&#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BYAAABkcnMvUEsBAhQAFAAAAAgAh07iQMw6DqLcAAAACwEAAA8AAAAAAAAAAQAgAAAAOAAAAGRy&#10;cy9kb3ducmV2LnhtbFBLAQIUABQAAAAIAIdO4kC15RkUJAIAAC0EAAAOAAAAAAAAAAEAIAAAAEEB&#10;AABkcnMvZTJvRG9jLnhtbFBLBQYAAAAABgAGAFkBAADXBQAAAAA=&#10;">
                <v:fill on="f" focussize="0,0"/>
                <v:stroke on="f" weight="0.5pt"/>
                <v:imagedata o:title=""/>
                <o:lock v:ext="edit" aspectratio="f"/>
                <v:textbo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A12</w:t>
                      </w:r>
                    </w:p>
                  </w:txbxContent>
                </v:textbox>
              </v:shape>
            </w:pict>
          </mc:Fallback>
        </mc:AlternateContent>
      </w:r>
      <w:r>
        <w:rPr>
          <w:sz w:val="24"/>
        </w:rPr>
        <mc:AlternateContent>
          <mc:Choice Requires="wps">
            <w:drawing>
              <wp:anchor distT="0" distB="0" distL="114300" distR="114300" simplePos="0" relativeHeight="251686912" behindDoc="0" locked="0" layoutInCell="1" allowOverlap="1">
                <wp:simplePos x="0" y="0"/>
                <wp:positionH relativeFrom="column">
                  <wp:posOffset>4080510</wp:posOffset>
                </wp:positionH>
                <wp:positionV relativeFrom="paragraph">
                  <wp:posOffset>1992630</wp:posOffset>
                </wp:positionV>
                <wp:extent cx="497205" cy="271145"/>
                <wp:effectExtent l="0" t="0" r="0" b="0"/>
                <wp:wrapNone/>
                <wp:docPr id="120" name="文本框 120"/>
                <wp:cNvGraphicFramePr/>
                <a:graphic xmlns:a="http://schemas.openxmlformats.org/drawingml/2006/main">
                  <a:graphicData uri="http://schemas.microsoft.com/office/word/2010/wordprocessingShape">
                    <wps:wsp>
                      <wps:cNvSpPr txBox="true"/>
                      <wps:spPr>
                        <a:xfrm>
                          <a:off x="0" y="0"/>
                          <a:ext cx="497205"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L10</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21.3pt;margin-top:156.9pt;height:21.35pt;width:39.15pt;z-index:251686912;mso-width-relative:page;mso-height-relative:page;" filled="f" stroked="f" coordsize="21600,21600" o:gfxdata="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DQVgZNwAAAALAQAADwAAAAAAAAABACAAAAA4AAAA&#10;ZHJzL2Rvd25yZXYueG1sUEsBAhQAFAAAAAgAh07iQDAhvLAmAgAALQQAAA4AAAAAAAAAAQAgAAAA&#10;QQEAAGRycy9lMm9Eb2MueG1sUEsFBgAAAAAGAAYAWQEAANkFAAAAAA==&#10;">
                <v:fill on="f" focussize="0,0"/>
                <v:stroke on="f" weight="0.5pt"/>
                <v:imagedata o:title=""/>
                <o:lock v:ext="edit" aspectratio="f"/>
                <v:textbo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L10</w:t>
                      </w:r>
                    </w:p>
                  </w:txbxContent>
                </v:textbox>
              </v:shape>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3774440</wp:posOffset>
                </wp:positionH>
                <wp:positionV relativeFrom="paragraph">
                  <wp:posOffset>2018665</wp:posOffset>
                </wp:positionV>
                <wp:extent cx="477520" cy="271145"/>
                <wp:effectExtent l="0" t="0" r="0" b="0"/>
                <wp:wrapNone/>
                <wp:docPr id="107" name="文本框 107"/>
                <wp:cNvGraphicFramePr/>
                <a:graphic xmlns:a="http://schemas.openxmlformats.org/drawingml/2006/main">
                  <a:graphicData uri="http://schemas.microsoft.com/office/word/2010/wordprocessingShape">
                    <wps:wsp>
                      <wps:cNvSpPr txBox="true"/>
                      <wps:spPr>
                        <a:xfrm>
                          <a:off x="0" y="0"/>
                          <a:ext cx="47752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A11</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97.2pt;margin-top:158.95pt;height:21.35pt;width:37.6pt;z-index:251673600;mso-width-relative:page;mso-height-relative:page;" filled="f" stroked="f" coordsize="21600,21600" o:gfxdata="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EpXtzzdAAAACwEAAA8AAAAAAAAAAQAgAAAAOAAA&#10;AGRycy9kb3ducmV2LnhtbFBLAQIUABQAAAAIAIdO4kD578O1JgIAAC0EAAAOAAAAAAAAAAEAIAAA&#10;AEIBAABkcnMvZTJvRG9jLnhtbFBLBQYAAAAABgAGAFkBAADaBQAAAAA=&#10;">
                <v:fill on="f" focussize="0,0"/>
                <v:stroke on="f" weight="0.5pt"/>
                <v:imagedata o:title=""/>
                <o:lock v:ext="edit" aspectratio="f"/>
                <v:textbo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A11</w:t>
                      </w:r>
                    </w:p>
                  </w:txbxContent>
                </v:textbox>
              </v:shape>
            </w:pict>
          </mc:Fallback>
        </mc:AlternateContent>
      </w:r>
      <w:r>
        <w:rPr>
          <w:sz w:val="24"/>
        </w:rPr>
        <mc:AlternateContent>
          <mc:Choice Requires="wps">
            <w:drawing>
              <wp:anchor distT="0" distB="0" distL="114300" distR="114300" simplePos="0" relativeHeight="251684864" behindDoc="0" locked="0" layoutInCell="1" allowOverlap="1">
                <wp:simplePos x="0" y="0"/>
                <wp:positionH relativeFrom="column">
                  <wp:posOffset>3390900</wp:posOffset>
                </wp:positionH>
                <wp:positionV relativeFrom="paragraph">
                  <wp:posOffset>2701290</wp:posOffset>
                </wp:positionV>
                <wp:extent cx="382270" cy="271145"/>
                <wp:effectExtent l="0" t="0" r="0" b="0"/>
                <wp:wrapNone/>
                <wp:docPr id="118" name="文本框 118"/>
                <wp:cNvGraphicFramePr/>
                <a:graphic xmlns:a="http://schemas.openxmlformats.org/drawingml/2006/main">
                  <a:graphicData uri="http://schemas.microsoft.com/office/word/2010/wordprocessingShape">
                    <wps:wsp>
                      <wps:cNvSpPr txBox="true"/>
                      <wps:spPr>
                        <a:xfrm>
                          <a:off x="0" y="0"/>
                          <a:ext cx="38227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L8</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67pt;margin-top:212.7pt;height:21.35pt;width:30.1pt;z-index:251684864;mso-width-relative:page;mso-height-relative:page;" filled="f" stroked="f" coordsize="21600,21600" o:gfxdata="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B5H5w+3AAAAAsBAAAPAAAAAAAAAAEAIAAAADgAAABk&#10;cnMvZG93bnJldi54bWxQSwECFAAUAAAACACHTuJAWMTudyUCAAAtBAAADgAAAAAAAAABACAAAABB&#10;AQAAZHJzL2Uyb0RvYy54bWxQSwUGAAAAAAYABgBZAQAA2AUAAAAA&#10;">
                <v:fill on="f" focussize="0,0"/>
                <v:stroke on="f" weight="0.5pt"/>
                <v:imagedata o:title=""/>
                <o:lock v:ext="edit" aspectratio="f"/>
                <v:textbo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L8</w:t>
                      </w:r>
                    </w:p>
                  </w:txbxContent>
                </v:textbox>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3148965</wp:posOffset>
                </wp:positionH>
                <wp:positionV relativeFrom="paragraph">
                  <wp:posOffset>2736215</wp:posOffset>
                </wp:positionV>
                <wp:extent cx="382270" cy="271145"/>
                <wp:effectExtent l="0" t="0" r="0" b="0"/>
                <wp:wrapNone/>
                <wp:docPr id="105" name="文本框 105"/>
                <wp:cNvGraphicFramePr/>
                <a:graphic xmlns:a="http://schemas.openxmlformats.org/drawingml/2006/main">
                  <a:graphicData uri="http://schemas.microsoft.com/office/word/2010/wordprocessingShape">
                    <wps:wsp>
                      <wps:cNvSpPr txBox="true"/>
                      <wps:spPr>
                        <a:xfrm>
                          <a:off x="0" y="0"/>
                          <a:ext cx="38227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A9</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47.95pt;margin-top:215.45pt;height:21.35pt;width:30.1pt;z-index:251671552;mso-width-relative:page;mso-height-relative:page;" filled="f" stroked="f" coordsize="21600,21600" o:gfxdata="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KKaQeLcAAAACwEAAA8AAAAAAAAAAQAgAAAAOAAA&#10;AGRycy9kb3ducmV2LnhtbFBLAQIUABQAAAAIAIdO4kAsQp/FJwIAAC0EAAAOAAAAAAAAAAEAIAAA&#10;AEEBAABkcnMvZTJvRG9jLnhtbFBLBQYAAAAABgAGAFkBAADaBQAAAAA=&#10;">
                <v:fill on="f" focussize="0,0"/>
                <v:stroke on="f" weight="0.5pt"/>
                <v:imagedata o:title=""/>
                <o:lock v:ext="edit" aspectratio="f"/>
                <v:textbo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A9</w:t>
                      </w:r>
                    </w:p>
                  </w:txbxContent>
                </v:textbox>
              </v:shape>
            </w:pict>
          </mc:Fallback>
        </mc:AlternateContent>
      </w:r>
      <w:r>
        <w:rPr>
          <w:sz w:val="24"/>
        </w:rPr>
        <mc:AlternateContent>
          <mc:Choice Requires="wps">
            <w:drawing>
              <wp:anchor distT="0" distB="0" distL="114300" distR="114300" simplePos="0" relativeHeight="251683840" behindDoc="0" locked="0" layoutInCell="1" allowOverlap="1">
                <wp:simplePos x="0" y="0"/>
                <wp:positionH relativeFrom="column">
                  <wp:posOffset>3156585</wp:posOffset>
                </wp:positionH>
                <wp:positionV relativeFrom="paragraph">
                  <wp:posOffset>2440305</wp:posOffset>
                </wp:positionV>
                <wp:extent cx="382270" cy="271145"/>
                <wp:effectExtent l="0" t="0" r="0" b="0"/>
                <wp:wrapNone/>
                <wp:docPr id="117" name="文本框 117"/>
                <wp:cNvGraphicFramePr/>
                <a:graphic xmlns:a="http://schemas.openxmlformats.org/drawingml/2006/main">
                  <a:graphicData uri="http://schemas.microsoft.com/office/word/2010/wordprocessingShape">
                    <wps:wsp>
                      <wps:cNvSpPr txBox="true"/>
                      <wps:spPr>
                        <a:xfrm>
                          <a:off x="0" y="0"/>
                          <a:ext cx="38227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L7</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48.55pt;margin-top:192.15pt;height:21.35pt;width:30.1pt;z-index:251683840;mso-width-relative:page;mso-height-relative:page;" filled="f" stroked="f" coordsize="21600,21600" o:gfxdata="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G7YmSvcAAAACwEAAA8AAAAAAAAAAQAgAAAAOAAA&#10;AGRycy9kb3ducmV2LnhtbFBLAQIUABQAAAAIAIdO4kAUzjTWJwIAAC0EAAAOAAAAAAAAAAEAIAAA&#10;AEEBAABkcnMvZTJvRG9jLnhtbFBLBQYAAAAABgAGAFkBAADaBQAAAAA=&#10;">
                <v:fill on="f" focussize="0,0"/>
                <v:stroke on="f" weight="0.5pt"/>
                <v:imagedata o:title=""/>
                <o:lock v:ext="edit" aspectratio="f"/>
                <v:textbo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L7</w:t>
                      </w:r>
                    </w:p>
                  </w:txbxContent>
                </v:textbox>
              </v:shape>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2569845</wp:posOffset>
                </wp:positionH>
                <wp:positionV relativeFrom="paragraph">
                  <wp:posOffset>2926715</wp:posOffset>
                </wp:positionV>
                <wp:extent cx="382270" cy="271145"/>
                <wp:effectExtent l="0" t="0" r="0" b="0"/>
                <wp:wrapNone/>
                <wp:docPr id="103" name="文本框 103"/>
                <wp:cNvGraphicFramePr/>
                <a:graphic xmlns:a="http://schemas.openxmlformats.org/drawingml/2006/main">
                  <a:graphicData uri="http://schemas.microsoft.com/office/word/2010/wordprocessingShape">
                    <wps:wsp>
                      <wps:cNvSpPr txBox="true"/>
                      <wps:spPr>
                        <a:xfrm>
                          <a:off x="0" y="0"/>
                          <a:ext cx="38227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A7</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02.35pt;margin-top:230.45pt;height:21.35pt;width:30.1pt;z-index:251669504;mso-width-relative:page;mso-height-relative:page;" filled="f" stroked="f" coordsize="21600,21600" o:gfxdata="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NsToQ9sAAAALAQAADwAAAAAAAAABACAAAAA4AAAA&#10;ZHJzL2Rvd25yZXYueG1sUEsBAhQAFAAAAAgAh07iQEHt9OgnAgAALQQAAA4AAAAAAAAAAQAgAAAA&#10;QAEAAGRycy9lMm9Eb2MueG1sUEsFBgAAAAAGAAYAWQEAANkFAAAAAA==&#10;">
                <v:fill on="f" focussize="0,0"/>
                <v:stroke on="f" weight="0.5pt"/>
                <v:imagedata o:title=""/>
                <o:lock v:ext="edit" aspectratio="f"/>
                <v:textbo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A7</w:t>
                      </w:r>
                    </w:p>
                  </w:txbxContent>
                </v:textbox>
              </v:shape>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767080</wp:posOffset>
                </wp:positionH>
                <wp:positionV relativeFrom="paragraph">
                  <wp:posOffset>4159250</wp:posOffset>
                </wp:positionV>
                <wp:extent cx="594360" cy="271145"/>
                <wp:effectExtent l="0" t="0" r="0" b="0"/>
                <wp:wrapNone/>
                <wp:docPr id="68" name="文本框 68"/>
                <wp:cNvGraphicFramePr/>
                <a:graphic xmlns:a="http://schemas.openxmlformats.org/drawingml/2006/main">
                  <a:graphicData uri="http://schemas.microsoft.com/office/word/2010/wordprocessingShape">
                    <wps:wsp>
                      <wps:cNvSpPr txBox="true"/>
                      <wps:spPr>
                        <a:xfrm>
                          <a:off x="0" y="0"/>
                          <a:ext cx="59436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L1</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60.4pt;margin-top:327.5pt;height:21.35pt;width:46.8pt;z-index:251665408;mso-width-relative:page;mso-height-relative:page;" filled="f" stroked="f" coordsize="21600,21600" o:gfxdata="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&#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BYAAABkcnMvUEsBAhQAFAAAAAgAh07iQG9J+yrbAAAACwEAAA8AAAAAAAAAAQAgAAAAOAAAAGRy&#10;cy9kb3ducmV2LnhtbFBLAQIUABQAAAAIAIdO4kBeV4O9JQIAACsEAAAOAAAAAAAAAAEAIAAAAEAB&#10;AABkcnMvZTJvRG9jLnhtbFBLBQYAAAAABgAGAFkBAADXBQAAAAA=&#10;">
                <v:fill on="f" focussize="0,0"/>
                <v:stroke on="f" weight="0.5pt"/>
                <v:imagedata o:title=""/>
                <o:lock v:ext="edit" aspectratio="f"/>
                <v:textbo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L1</w:t>
                      </w:r>
                    </w:p>
                  </w:txbxContent>
                </v:textbox>
              </v:shape>
            </w:pict>
          </mc:Fallback>
        </mc:AlternateContent>
      </w:r>
      <w:r>
        <w:rPr>
          <w:sz w:val="24"/>
        </w:rPr>
        <mc:AlternateContent>
          <mc:Choice Requires="wps">
            <w:drawing>
              <wp:anchor distT="0" distB="0" distL="114300" distR="114300" simplePos="0" relativeHeight="251664384" behindDoc="0" locked="0" layoutInCell="1" allowOverlap="1">
                <wp:simplePos x="0" y="0"/>
                <wp:positionH relativeFrom="column">
                  <wp:posOffset>499110</wp:posOffset>
                </wp:positionH>
                <wp:positionV relativeFrom="paragraph">
                  <wp:posOffset>4077970</wp:posOffset>
                </wp:positionV>
                <wp:extent cx="382270" cy="271145"/>
                <wp:effectExtent l="0" t="0" r="0" b="0"/>
                <wp:wrapNone/>
                <wp:docPr id="59" name="文本框 59"/>
                <wp:cNvGraphicFramePr/>
                <a:graphic xmlns:a="http://schemas.openxmlformats.org/drawingml/2006/main">
                  <a:graphicData uri="http://schemas.microsoft.com/office/word/2010/wordprocessingShape">
                    <wps:wsp>
                      <wps:cNvSpPr txBox="true"/>
                      <wps:spPr>
                        <a:xfrm>
                          <a:off x="0" y="0"/>
                          <a:ext cx="38227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A3与L1JIBEN CHONG</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9.3pt;margin-top:321.1pt;height:21.35pt;width:30.1pt;z-index:251664384;mso-width-relative:page;mso-height-relative:page;" filled="f" stroked="f" coordsize="21600,21600" o:gfxdata="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&#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BYAAABkcnMvUEsBAhQAFAAAAAgAh07iQM4rqpvaAAAACgEAAA8AAAAAAAAAAQAgAAAAOAAAAGRy&#10;cy9kb3ducmV2LnhtbFBLAQIUABQAAAAIAIdO4kCAifwzJgIAACsEAAAOAAAAAAAAAAEAIAAAAD8B&#10;AABkcnMvZTJvRG9jLnhtbFBLBQYAAAAABgAGAFkBAADXBQAAAAA=&#10;">
                <v:fill on="f" focussize="0,0"/>
                <v:stroke on="f" weight="0.5pt"/>
                <v:imagedata o:title=""/>
                <o:lock v:ext="edit" aspectratio="f"/>
                <v:textbo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A3与L1JIBEN CHONG</w:t>
                      </w:r>
                    </w:p>
                  </w:txbxContent>
                </v:textbox>
              </v:shape>
            </w:pict>
          </mc:Fallback>
        </mc:AlternateContent>
      </w:r>
      <w:r>
        <w:rPr>
          <w:sz w:val="24"/>
        </w:rPr>
        <mc:AlternateContent>
          <mc:Choice Requires="wps">
            <w:drawing>
              <wp:anchor distT="0" distB="0" distL="114300" distR="114300" simplePos="0" relativeHeight="251692032" behindDoc="0" locked="0" layoutInCell="1" allowOverlap="1">
                <wp:simplePos x="0" y="0"/>
                <wp:positionH relativeFrom="column">
                  <wp:posOffset>4745990</wp:posOffset>
                </wp:positionH>
                <wp:positionV relativeFrom="paragraph">
                  <wp:posOffset>361950</wp:posOffset>
                </wp:positionV>
                <wp:extent cx="497205" cy="271145"/>
                <wp:effectExtent l="0" t="0" r="0" b="0"/>
                <wp:wrapNone/>
                <wp:docPr id="125" name="文本框 125"/>
                <wp:cNvGraphicFramePr/>
                <a:graphic xmlns:a="http://schemas.openxmlformats.org/drawingml/2006/main">
                  <a:graphicData uri="http://schemas.microsoft.com/office/word/2010/wordprocessingShape">
                    <wps:wsp>
                      <wps:cNvSpPr txBox="true"/>
                      <wps:spPr>
                        <a:xfrm>
                          <a:off x="0" y="0"/>
                          <a:ext cx="497205"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L15</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73.7pt;margin-top:28.5pt;height:21.35pt;width:39.15pt;z-index:251692032;mso-width-relative:page;mso-height-relative:page;" filled="f" stroked="f" coordsize="21600,21600" o:gfxdata="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NE7prNsAAAAJAQAADwAAAAAAAAABACAAAAA4AAAA&#10;ZHJzL2Rvd25yZXYueG1sUEsBAhQAFAAAAAgAh07iQMva2mYnAgAALQQAAA4AAAAAAAAAAQAgAAAA&#10;QAEAAGRycy9lMm9Eb2MueG1sUEsFBgAAAAAGAAYAWQEAANkFAAAAAA==&#10;">
                <v:fill on="f" focussize="0,0"/>
                <v:stroke on="f" weight="0.5pt"/>
                <v:imagedata o:title=""/>
                <o:lock v:ext="edit" aspectratio="f"/>
                <v:textbo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L15</w:t>
                      </w:r>
                    </w:p>
                  </w:txbxContent>
                </v:textbox>
              </v:shape>
            </w:pict>
          </mc:Fallback>
        </mc:AlternateContent>
      </w:r>
      <w:r>
        <w:rPr>
          <w:sz w:val="24"/>
        </w:rPr>
        <mc:AlternateContent>
          <mc:Choice Requires="wps">
            <w:drawing>
              <wp:anchor distT="0" distB="0" distL="114300" distR="114300" simplePos="0" relativeHeight="251691008" behindDoc="0" locked="0" layoutInCell="1" allowOverlap="1">
                <wp:simplePos x="0" y="0"/>
                <wp:positionH relativeFrom="column">
                  <wp:posOffset>4371975</wp:posOffset>
                </wp:positionH>
                <wp:positionV relativeFrom="paragraph">
                  <wp:posOffset>790575</wp:posOffset>
                </wp:positionV>
                <wp:extent cx="497205" cy="271145"/>
                <wp:effectExtent l="0" t="0" r="0" b="0"/>
                <wp:wrapNone/>
                <wp:docPr id="124" name="文本框 124"/>
                <wp:cNvGraphicFramePr/>
                <a:graphic xmlns:a="http://schemas.openxmlformats.org/drawingml/2006/main">
                  <a:graphicData uri="http://schemas.microsoft.com/office/word/2010/wordprocessingShape">
                    <wps:wsp>
                      <wps:cNvSpPr txBox="true"/>
                      <wps:spPr>
                        <a:xfrm>
                          <a:off x="0" y="0"/>
                          <a:ext cx="497205"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L14</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44.25pt;margin-top:62.25pt;height:21.35pt;width:39.15pt;z-index:251691008;mso-width-relative:page;mso-height-relative:page;" filled="f" stroked="f" coordsize="21600,21600" o:gfxdata="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AFTqVi2wAAAAsBAAAPAAAAAAAAAAEAIAAAADgAAABk&#10;cnMvZG93bnJldi54bWxQSwECFAAUAAAACACHTuJAhhTxhiYCAAAtBAAADgAAAAAAAAABACAAAABA&#10;AQAAZHJzL2Uyb0RvYy54bWxQSwUGAAAAAAYABgBZAQAA2AUAAAAA&#10;">
                <v:fill on="f" focussize="0,0"/>
                <v:stroke on="f" weight="0.5pt"/>
                <v:imagedata o:title=""/>
                <o:lock v:ext="edit" aspectratio="f"/>
                <v:textbo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L14</w:t>
                      </w:r>
                    </w:p>
                  </w:txbxContent>
                </v:textbox>
              </v:shape>
            </w:pict>
          </mc:Fallback>
        </mc:AlternateContent>
      </w:r>
      <w:r>
        <w:rPr>
          <w:sz w:val="24"/>
        </w:rPr>
        <mc:AlternateContent>
          <mc:Choice Requires="wps">
            <w:drawing>
              <wp:anchor distT="0" distB="0" distL="114300" distR="114300" simplePos="0" relativeHeight="251688960" behindDoc="0" locked="0" layoutInCell="1" allowOverlap="1">
                <wp:simplePos x="0" y="0"/>
                <wp:positionH relativeFrom="column">
                  <wp:posOffset>4351020</wp:posOffset>
                </wp:positionH>
                <wp:positionV relativeFrom="paragraph">
                  <wp:posOffset>1361440</wp:posOffset>
                </wp:positionV>
                <wp:extent cx="497205" cy="271145"/>
                <wp:effectExtent l="0" t="0" r="0" b="0"/>
                <wp:wrapNone/>
                <wp:docPr id="122" name="文本框 122"/>
                <wp:cNvGraphicFramePr/>
                <a:graphic xmlns:a="http://schemas.openxmlformats.org/drawingml/2006/main">
                  <a:graphicData uri="http://schemas.microsoft.com/office/word/2010/wordprocessingShape">
                    <wps:wsp>
                      <wps:cNvSpPr txBox="true"/>
                      <wps:spPr>
                        <a:xfrm>
                          <a:off x="0" y="0"/>
                          <a:ext cx="497205"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L12</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42.6pt;margin-top:107.2pt;height:21.35pt;width:39.15pt;z-index:251688960;mso-width-relative:page;mso-height-relative:page;" filled="f" stroked="f" coordsize="21600,21600" o:gfxdata="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tbUtitwAAAALAQAADwAAAAAAAAABACAAAAA4AAAA&#10;ZHJzL2Rvd25yZXYueG1sUEsBAhQAFAAAAAgAh07iQOu7mqsmAgAALQQAAA4AAAAAAAAAAQAgAAAA&#10;QQEAAGRycy9lMm9Eb2MueG1sUEsFBgAAAAAGAAYAWQEAANkFAAAAAA==&#10;">
                <v:fill on="f" focussize="0,0"/>
                <v:stroke on="f" weight="0.5pt"/>
                <v:imagedata o:title=""/>
                <o:lock v:ext="edit" aspectratio="f"/>
                <v:textbo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L12</w:t>
                      </w:r>
                    </w:p>
                  </w:txbxContent>
                </v:textbox>
              </v:shape>
            </w:pict>
          </mc:Fallback>
        </mc:AlternateContent>
      </w:r>
      <w:r>
        <w:rPr>
          <w:sz w:val="24"/>
        </w:rPr>
        <mc:AlternateContent>
          <mc:Choice Requires="wps">
            <w:drawing>
              <wp:anchor distT="0" distB="0" distL="114300" distR="114300" simplePos="0" relativeHeight="251687936" behindDoc="0" locked="0" layoutInCell="1" allowOverlap="1">
                <wp:simplePos x="0" y="0"/>
                <wp:positionH relativeFrom="column">
                  <wp:posOffset>4255770</wp:posOffset>
                </wp:positionH>
                <wp:positionV relativeFrom="paragraph">
                  <wp:posOffset>1749425</wp:posOffset>
                </wp:positionV>
                <wp:extent cx="497205" cy="271145"/>
                <wp:effectExtent l="0" t="0" r="0" b="0"/>
                <wp:wrapNone/>
                <wp:docPr id="121" name="文本框 121"/>
                <wp:cNvGraphicFramePr/>
                <a:graphic xmlns:a="http://schemas.openxmlformats.org/drawingml/2006/main">
                  <a:graphicData uri="http://schemas.microsoft.com/office/word/2010/wordprocessingShape">
                    <wps:wsp>
                      <wps:cNvSpPr txBox="true"/>
                      <wps:spPr>
                        <a:xfrm>
                          <a:off x="0" y="0"/>
                          <a:ext cx="497205"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L11</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35.1pt;margin-top:137.75pt;height:21.35pt;width:39.15pt;z-index:251687936;mso-width-relative:page;mso-height-relative:page;" filled="f" stroked="f" coordsize="21600,21600" o:gfxdata="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11gYw9wAAAALAQAADwAAAAAAAAABACAAAAA4AAAA&#10;ZHJzL2Rvd25yZXYueG1sUEsBAhQAFAAAAAgAh07iQH3vl1AmAgAALQQAAA4AAAAAAAAAAQAgAAAA&#10;QQEAAGRycy9lMm9Eb2MueG1sUEsFBgAAAAAGAAYAWQEAANkFAAAAAA==&#10;">
                <v:fill on="f" focussize="0,0"/>
                <v:stroke on="f" weight="0.5pt"/>
                <v:imagedata o:title=""/>
                <o:lock v:ext="edit" aspectratio="f"/>
                <v:textbo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L11</w:t>
                      </w:r>
                    </w:p>
                  </w:txbxContent>
                </v:textbox>
              </v:shape>
            </w:pict>
          </mc:Fallback>
        </mc:AlternateContent>
      </w:r>
      <w:r>
        <w:rPr>
          <w:sz w:val="24"/>
        </w:rPr>
        <mc:AlternateContent>
          <mc:Choice Requires="wps">
            <w:drawing>
              <wp:anchor distT="0" distB="0" distL="114300" distR="114300" simplePos="0" relativeHeight="251685888" behindDoc="0" locked="0" layoutInCell="1" allowOverlap="1">
                <wp:simplePos x="0" y="0"/>
                <wp:positionH relativeFrom="column">
                  <wp:posOffset>3501390</wp:posOffset>
                </wp:positionH>
                <wp:positionV relativeFrom="paragraph">
                  <wp:posOffset>1938020</wp:posOffset>
                </wp:positionV>
                <wp:extent cx="382270" cy="271145"/>
                <wp:effectExtent l="0" t="0" r="0" b="0"/>
                <wp:wrapNone/>
                <wp:docPr id="119" name="文本框 119"/>
                <wp:cNvGraphicFramePr/>
                <a:graphic xmlns:a="http://schemas.openxmlformats.org/drawingml/2006/main">
                  <a:graphicData uri="http://schemas.microsoft.com/office/word/2010/wordprocessingShape">
                    <wps:wsp>
                      <wps:cNvSpPr txBox="true"/>
                      <wps:spPr>
                        <a:xfrm>
                          <a:off x="0" y="0"/>
                          <a:ext cx="38227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L9</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75.7pt;margin-top:152.6pt;height:21.35pt;width:30.1pt;z-index:251685888;mso-width-relative:page;mso-height-relative:page;" filled="f" stroked="f" coordsize="21600,21600" o:gfxdata="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KOdrb7cAAAACwEAAA8AAAAAAAAAAQAgAAAAOAAA&#10;AGRycy9kb3ducmV2LnhtbFBLAQIUABQAAAAIAIdO4kAVCsWXJwIAAC0EAAAOAAAAAAAAAAEAIAAA&#10;AEEBAABkcnMvZTJvRG9jLnhtbFBLBQYAAAAABgAGAFkBAADaBQAAAAA=&#10;">
                <v:fill on="f" focussize="0,0"/>
                <v:stroke on="f" weight="0.5pt"/>
                <v:imagedata o:title=""/>
                <o:lock v:ext="edit" aspectratio="f"/>
                <v:textbo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L9</w:t>
                      </w:r>
                    </w:p>
                  </w:txbxContent>
                </v:textbox>
              </v:shape>
            </w:pict>
          </mc:Fallback>
        </mc:AlternateContent>
      </w:r>
      <w:r>
        <w:rPr>
          <w:sz w:val="24"/>
        </w:rPr>
        <mc:AlternateContent>
          <mc:Choice Requires="wps">
            <w:drawing>
              <wp:anchor distT="0" distB="0" distL="114300" distR="114300" simplePos="0" relativeHeight="251682816" behindDoc="0" locked="0" layoutInCell="1" allowOverlap="1">
                <wp:simplePos x="0" y="0"/>
                <wp:positionH relativeFrom="column">
                  <wp:posOffset>2686050</wp:posOffset>
                </wp:positionH>
                <wp:positionV relativeFrom="paragraph">
                  <wp:posOffset>2597150</wp:posOffset>
                </wp:positionV>
                <wp:extent cx="382270" cy="271145"/>
                <wp:effectExtent l="0" t="0" r="0" b="0"/>
                <wp:wrapNone/>
                <wp:docPr id="116" name="文本框 116"/>
                <wp:cNvGraphicFramePr/>
                <a:graphic xmlns:a="http://schemas.openxmlformats.org/drawingml/2006/main">
                  <a:graphicData uri="http://schemas.microsoft.com/office/word/2010/wordprocessingShape">
                    <wps:wsp>
                      <wps:cNvSpPr txBox="true"/>
                      <wps:spPr>
                        <a:xfrm>
                          <a:off x="0" y="0"/>
                          <a:ext cx="38227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L6</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11.5pt;margin-top:204.5pt;height:21.35pt;width:30.1pt;z-index:251682816;mso-width-relative:page;mso-height-relative:page;" filled="f" stroked="f" coordsize="21600,21600" o:gfxdata="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nMpkiNsAAAALAQAADwAAAAAAAAABACAAAAA4AAAA&#10;ZHJzL2Rvd25yZXYueG1sUEsBAhQAFAAAAAgAh07iQFkAHzYnAgAALQQAAA4AAAAAAAAAAQAgAAAA&#10;QAEAAGRycy9lMm9Eb2MueG1sUEsFBgAAAAAGAAYAWQEAANkFAAAAAA==&#10;">
                <v:fill on="f" focussize="0,0"/>
                <v:stroke on="f" weight="0.5pt"/>
                <v:imagedata o:title=""/>
                <o:lock v:ext="edit" aspectratio="f"/>
                <v:textbo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L6</w:t>
                      </w:r>
                    </w:p>
                  </w:txbxContent>
                </v:textbox>
              </v:shape>
            </w:pict>
          </mc:Fallback>
        </mc:AlternateContent>
      </w:r>
      <w:r>
        <w:rPr>
          <w:sz w:val="24"/>
        </w:rPr>
        <mc:AlternateContent>
          <mc:Choice Requires="wps">
            <w:drawing>
              <wp:anchor distT="0" distB="0" distL="114300" distR="114300" simplePos="0" relativeHeight="251681792" behindDoc="0" locked="0" layoutInCell="1" allowOverlap="1">
                <wp:simplePos x="0" y="0"/>
                <wp:positionH relativeFrom="column">
                  <wp:posOffset>2878455</wp:posOffset>
                </wp:positionH>
                <wp:positionV relativeFrom="paragraph">
                  <wp:posOffset>2978150</wp:posOffset>
                </wp:positionV>
                <wp:extent cx="382270" cy="271145"/>
                <wp:effectExtent l="0" t="0" r="0" b="0"/>
                <wp:wrapNone/>
                <wp:docPr id="115" name="文本框 115"/>
                <wp:cNvGraphicFramePr/>
                <a:graphic xmlns:a="http://schemas.openxmlformats.org/drawingml/2006/main">
                  <a:graphicData uri="http://schemas.microsoft.com/office/word/2010/wordprocessingShape">
                    <wps:wsp>
                      <wps:cNvSpPr txBox="true"/>
                      <wps:spPr>
                        <a:xfrm>
                          <a:off x="0" y="0"/>
                          <a:ext cx="38227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L5</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26.65pt;margin-top:234.5pt;height:21.35pt;width:30.1pt;z-index:251681792;mso-width-relative:page;mso-height-relative:page;" filled="f" stroked="f" coordsize="21600,21600" o:gfxdata="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HpZRc/cAAAACwEAAA8AAAAAAAAAAQAgAAAAOAAA&#10;AGRycy9kb3ducmV2LnhtbFBLAQIUABQAAAAIAIdO4kDPVBLNJwIAAC0EAAAOAAAAAAAAAAEAIAAA&#10;AEEBAABkcnMvZTJvRG9jLnhtbFBLBQYAAAAABgAGAFkBAADaBQAAAAA=&#10;">
                <v:fill on="f" focussize="0,0"/>
                <v:stroke on="f" weight="0.5pt"/>
                <v:imagedata o:title=""/>
                <o:lock v:ext="edit" aspectratio="f"/>
                <v:textbo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L5</w:t>
                      </w:r>
                    </w:p>
                  </w:txbxContent>
                </v:textbox>
              </v:shape>
            </w:pict>
          </mc:Fallback>
        </mc:AlternateContent>
      </w:r>
      <w:r>
        <w:rPr>
          <w:sz w:val="24"/>
        </w:rPr>
        <mc:AlternateContent>
          <mc:Choice Requires="wps">
            <w:drawing>
              <wp:anchor distT="0" distB="0" distL="114300" distR="114300" simplePos="0" relativeHeight="251680768" behindDoc="0" locked="0" layoutInCell="1" allowOverlap="1">
                <wp:simplePos x="0" y="0"/>
                <wp:positionH relativeFrom="column">
                  <wp:posOffset>2654300</wp:posOffset>
                </wp:positionH>
                <wp:positionV relativeFrom="paragraph">
                  <wp:posOffset>3195955</wp:posOffset>
                </wp:positionV>
                <wp:extent cx="382270" cy="271145"/>
                <wp:effectExtent l="0" t="0" r="0" b="0"/>
                <wp:wrapNone/>
                <wp:docPr id="114" name="文本框 114"/>
                <wp:cNvGraphicFramePr/>
                <a:graphic xmlns:a="http://schemas.openxmlformats.org/drawingml/2006/main">
                  <a:graphicData uri="http://schemas.microsoft.com/office/word/2010/wordprocessingShape">
                    <wps:wsp>
                      <wps:cNvSpPr txBox="true"/>
                      <wps:spPr>
                        <a:xfrm>
                          <a:off x="0" y="0"/>
                          <a:ext cx="38227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L4</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09pt;margin-top:251.65pt;height:21.35pt;width:30.1pt;z-index:251680768;mso-width-relative:page;mso-height-relative:page;" filled="f" stroked="f" coordsize="21600,21600" o:gfxdata="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uMw7r9wAAAALAQAADwAAAAAAAAABACAAAAA4AAAA&#10;ZHJzL2Rvd25yZXYueG1sUEsBAhQAFAAAAAgAh07iQIKaOS0mAgAALQQAAA4AAAAAAAAAAQAgAAAA&#10;QQEAAGRycy9lMm9Eb2MueG1sUEsFBgAAAAAGAAYAWQEAANkFAAAAAA==&#10;">
                <v:fill on="f" focussize="0,0"/>
                <v:stroke on="f" weight="0.5pt"/>
                <v:imagedata o:title=""/>
                <o:lock v:ext="edit" aspectratio="f"/>
                <v:textbo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L4</w:t>
                      </w:r>
                    </w:p>
                  </w:txbxContent>
                </v:textbox>
              </v:shape>
            </w:pict>
          </mc:Fallback>
        </mc:AlternateContent>
      </w:r>
      <w:r>
        <w:rPr>
          <w:sz w:val="24"/>
        </w:rPr>
        <mc:AlternateContent>
          <mc:Choice Requires="wps">
            <w:drawing>
              <wp:anchor distT="0" distB="0" distL="114300" distR="114300" simplePos="0" relativeHeight="251679744" behindDoc="0" locked="0" layoutInCell="1" allowOverlap="1">
                <wp:simplePos x="0" y="0"/>
                <wp:positionH relativeFrom="column">
                  <wp:posOffset>2123440</wp:posOffset>
                </wp:positionH>
                <wp:positionV relativeFrom="paragraph">
                  <wp:posOffset>3896360</wp:posOffset>
                </wp:positionV>
                <wp:extent cx="382270" cy="271145"/>
                <wp:effectExtent l="0" t="0" r="0" b="0"/>
                <wp:wrapNone/>
                <wp:docPr id="113" name="文本框 113"/>
                <wp:cNvGraphicFramePr/>
                <a:graphic xmlns:a="http://schemas.openxmlformats.org/drawingml/2006/main">
                  <a:graphicData uri="http://schemas.microsoft.com/office/word/2010/wordprocessingShape">
                    <wps:wsp>
                      <wps:cNvSpPr txBox="true"/>
                      <wps:spPr>
                        <a:xfrm>
                          <a:off x="0" y="0"/>
                          <a:ext cx="38227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L3</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167.2pt;margin-top:306.8pt;height:21.35pt;width:30.1pt;z-index:251679744;mso-width-relative:page;mso-height-relative:page;" filled="f" stroked="f" coordsize="21600,21600" o:gfxdata="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H4PXoDcAAAACwEAAA8AAAAAAAAAAQAgAAAAOAAA&#10;AGRycy9kb3ducmV2LnhtbFBLAQIUABQAAAAIAIdO4kCi+3ngJwIAAC0EAAAOAAAAAAAAAAEAIAAA&#10;AEEBAABkcnMvZTJvRG9jLnhtbFBLBQYAAAAABgAGAFkBAADaBQAAAAA=&#10;">
                <v:fill on="f" focussize="0,0"/>
                <v:stroke on="f" weight="0.5pt"/>
                <v:imagedata o:title=""/>
                <o:lock v:ext="edit" aspectratio="f"/>
                <v:textbox>
                  <w:txbxContent>
                    <w:p>
                      <w:pPr>
                        <w:ind w:left="0" w:leftChars="0" w:firstLine="0" w:firstLineChars="0"/>
                        <w:rPr>
                          <w:rFonts w:hint="default" w:eastAsia="宋体"/>
                          <w:b/>
                          <w:bCs/>
                          <w:color w:val="FF0000"/>
                          <w:sz w:val="18"/>
                          <w:szCs w:val="18"/>
                          <w:lang w:val="en-US" w:eastAsia="zh-CN"/>
                        </w:rPr>
                      </w:pPr>
                      <w:r>
                        <w:rPr>
                          <w:rFonts w:hint="eastAsia"/>
                          <w:b/>
                          <w:bCs/>
                          <w:color w:val="FF0000"/>
                          <w:sz w:val="18"/>
                          <w:szCs w:val="18"/>
                          <w:lang w:val="en-US" w:eastAsia="zh-CN"/>
                        </w:rPr>
                        <w:t>L3</w:t>
                      </w:r>
                    </w:p>
                  </w:txbxContent>
                </v:textbox>
              </v:shape>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3554095</wp:posOffset>
                </wp:positionH>
                <wp:positionV relativeFrom="paragraph">
                  <wp:posOffset>1638935</wp:posOffset>
                </wp:positionV>
                <wp:extent cx="477520" cy="271145"/>
                <wp:effectExtent l="0" t="0" r="0" b="0"/>
                <wp:wrapNone/>
                <wp:docPr id="106" name="文本框 106"/>
                <wp:cNvGraphicFramePr/>
                <a:graphic xmlns:a="http://schemas.openxmlformats.org/drawingml/2006/main">
                  <a:graphicData uri="http://schemas.microsoft.com/office/word/2010/wordprocessingShape">
                    <wps:wsp>
                      <wps:cNvSpPr txBox="true"/>
                      <wps:spPr>
                        <a:xfrm>
                          <a:off x="0" y="0"/>
                          <a:ext cx="47752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A10</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79.85pt;margin-top:129.05pt;height:21.35pt;width:37.6pt;z-index:251672576;mso-width-relative:page;mso-height-relative:page;" filled="f" stroked="f" coordsize="21600,21600" o:gfxdata="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xlYsmd0AAAALAQAADwAAAAAAAAABACAAAAA4AAAA&#10;ZHJzL2Rvd25yZXYueG1sUEsBAhQAFAAAAAgAh07iQLQh6FUlAgAALQQAAA4AAAAAAAAAAQAgAAAA&#10;QgEAAGRycy9lMm9Eb2MueG1sUEsFBgAAAAAGAAYAWQEAANkFAAAAAA==&#10;">
                <v:fill on="f" focussize="0,0"/>
                <v:stroke on="f" weight="0.5pt"/>
                <v:imagedata o:title=""/>
                <o:lock v:ext="edit" aspectratio="f"/>
                <v:textbo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A10</w:t>
                      </w:r>
                    </w:p>
                  </w:txbxContent>
                </v:textbox>
              </v:shape>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2893695</wp:posOffset>
                </wp:positionH>
                <wp:positionV relativeFrom="paragraph">
                  <wp:posOffset>2369185</wp:posOffset>
                </wp:positionV>
                <wp:extent cx="382270" cy="271145"/>
                <wp:effectExtent l="0" t="0" r="0" b="0"/>
                <wp:wrapNone/>
                <wp:docPr id="104" name="文本框 104"/>
                <wp:cNvGraphicFramePr/>
                <a:graphic xmlns:a="http://schemas.openxmlformats.org/drawingml/2006/main">
                  <a:graphicData uri="http://schemas.microsoft.com/office/word/2010/wordprocessingShape">
                    <wps:wsp>
                      <wps:cNvSpPr txBox="true"/>
                      <wps:spPr>
                        <a:xfrm>
                          <a:off x="0" y="0"/>
                          <a:ext cx="38227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A8</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27.85pt;margin-top:186.55pt;height:21.35pt;width:30.1pt;z-index:251670528;mso-width-relative:page;mso-height-relative:page;" filled="f" stroked="f" coordsize="21600,21600" o:gfxdata="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Mgxc4TcAAAACwEAAA8AAAAAAAAAAQAgAAAAOAAA&#10;AGRycy9kb3ducmV2LnhtbFBLAQIUABQAAAAIAIdO4kBhjLQlJwIAAC0EAAAOAAAAAAAAAAEAIAAA&#10;AEEBAABkcnMvZTJvRG9jLnhtbFBLBQYAAAAABgAGAFkBAADaBQAAAAA=&#10;">
                <v:fill on="f" focussize="0,0"/>
                <v:stroke on="f" weight="0.5pt"/>
                <v:imagedata o:title=""/>
                <o:lock v:ext="edit" aspectratio="f"/>
                <v:textbo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A8</w:t>
                      </w:r>
                    </w:p>
                  </w:txbxContent>
                </v:textbox>
              </v:shape>
            </w:pict>
          </mc:Fallback>
        </mc:AlternateContent>
      </w:r>
      <w:r>
        <w:rPr>
          <w:sz w:val="24"/>
        </w:rPr>
        <mc:AlternateContent>
          <mc:Choice Requires="wps">
            <w:drawing>
              <wp:anchor distT="0" distB="0" distL="114300" distR="114300" simplePos="0" relativeHeight="251668480" behindDoc="0" locked="0" layoutInCell="1" allowOverlap="1">
                <wp:simplePos x="0" y="0"/>
                <wp:positionH relativeFrom="column">
                  <wp:posOffset>2315210</wp:posOffset>
                </wp:positionH>
                <wp:positionV relativeFrom="paragraph">
                  <wp:posOffset>3192145</wp:posOffset>
                </wp:positionV>
                <wp:extent cx="382270" cy="271145"/>
                <wp:effectExtent l="0" t="0" r="0" b="0"/>
                <wp:wrapNone/>
                <wp:docPr id="102" name="文本框 102"/>
                <wp:cNvGraphicFramePr/>
                <a:graphic xmlns:a="http://schemas.openxmlformats.org/drawingml/2006/main">
                  <a:graphicData uri="http://schemas.microsoft.com/office/word/2010/wordprocessingShape">
                    <wps:wsp>
                      <wps:cNvSpPr txBox="true"/>
                      <wps:spPr>
                        <a:xfrm>
                          <a:off x="0" y="0"/>
                          <a:ext cx="38227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A6</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182.3pt;margin-top:251.35pt;height:21.35pt;width:30.1pt;z-index:251668480;mso-width-relative:page;mso-height-relative:page;" filled="f" stroked="f" coordsize="21600,21600" o:gfxdata="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5mwwtwAAAALAQAADwAAAAAAAAABACAAAAA4AAAA&#10;ZHJzL2Rvd25yZXYueG1sUEsBAhQAFAAAAAgAh07iQAwj3wgmAgAALQQAAA4AAAAAAAAAAQAgAAAA&#10;QQEAAGRycy9lMm9Eb2MueG1sUEsFBgAAAAAGAAYAWQEAANkFAAAAAA==&#10;">
                <v:fill on="f" focussize="0,0"/>
                <v:stroke on="f" weight="0.5pt"/>
                <v:imagedata o:title=""/>
                <o:lock v:ext="edit" aspectratio="f"/>
                <v:textbo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A6</w:t>
                      </w:r>
                    </w:p>
                  </w:txbxContent>
                </v:textbox>
              </v:shape>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1842135</wp:posOffset>
                </wp:positionH>
                <wp:positionV relativeFrom="paragraph">
                  <wp:posOffset>3712210</wp:posOffset>
                </wp:positionV>
                <wp:extent cx="382270" cy="271145"/>
                <wp:effectExtent l="0" t="0" r="0" b="0"/>
                <wp:wrapNone/>
                <wp:docPr id="101" name="文本框 101"/>
                <wp:cNvGraphicFramePr/>
                <a:graphic xmlns:a="http://schemas.openxmlformats.org/drawingml/2006/main">
                  <a:graphicData uri="http://schemas.microsoft.com/office/word/2010/wordprocessingShape">
                    <wps:wsp>
                      <wps:cNvSpPr txBox="true"/>
                      <wps:spPr>
                        <a:xfrm>
                          <a:off x="0" y="0"/>
                          <a:ext cx="38227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A5</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145.05pt;margin-top:292.3pt;height:21.35pt;width:30.1pt;z-index:251667456;mso-width-relative:page;mso-height-relative:page;" filled="f" stroked="f" coordsize="21600,21600" o:gfxdata="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D4UX5ndAAAACwEAAA8AAAAAAAAAAQAgAAAAOAAA&#10;AGRycy9kb3ducmV2LnhtbFBLAQIUABQAAAAIAIdO4kCad9LzJgIAAC0EAAAOAAAAAAAAAAEAIAAA&#10;AEIBAABkcnMvZTJvRG9jLnhtbFBLBQYAAAAABgAGAFkBAADaBQAAAAA=&#10;">
                <v:fill on="f" focussize="0,0"/>
                <v:stroke on="f" weight="0.5pt"/>
                <v:imagedata o:title=""/>
                <o:lock v:ext="edit" aspectratio="f"/>
                <v:textbo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A5</w:t>
                      </w:r>
                    </w:p>
                  </w:txbxContent>
                </v:textbox>
              </v:shape>
            </w:pict>
          </mc:Fallback>
        </mc:AlternateContent>
      </w:r>
      <w:r>
        <w:rPr>
          <w:sz w:val="24"/>
        </w:rPr>
        <mc:AlternateContent>
          <mc:Choice Requires="wps">
            <w:drawing>
              <wp:anchor distT="0" distB="0" distL="114300" distR="114300" simplePos="0" relativeHeight="251663360" behindDoc="0" locked="0" layoutInCell="1" allowOverlap="1">
                <wp:simplePos x="0" y="0"/>
                <wp:positionH relativeFrom="column">
                  <wp:posOffset>1026795</wp:posOffset>
                </wp:positionH>
                <wp:positionV relativeFrom="paragraph">
                  <wp:posOffset>2607310</wp:posOffset>
                </wp:positionV>
                <wp:extent cx="382270" cy="271145"/>
                <wp:effectExtent l="0" t="0" r="0" b="0"/>
                <wp:wrapNone/>
                <wp:docPr id="58" name="文本框 58"/>
                <wp:cNvGraphicFramePr/>
                <a:graphic xmlns:a="http://schemas.openxmlformats.org/drawingml/2006/main">
                  <a:graphicData uri="http://schemas.microsoft.com/office/word/2010/wordprocessingShape">
                    <wps:wsp>
                      <wps:cNvSpPr txBox="true"/>
                      <wps:spPr>
                        <a:xfrm>
                          <a:off x="0" y="0"/>
                          <a:ext cx="38227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A2</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80.85pt;margin-top:205.3pt;height:21.35pt;width:30.1pt;z-index:251663360;mso-width-relative:page;mso-height-relative:page;" filled="f" stroked="f" coordsize="21600,21600" o:gfxdata="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ABzGqb2wAAAAsBAAAPAAAAAAAAAAEAIAAAADgAAABk&#10;cnMvZG93bnJldi54bWxQSwECFAAUAAAACACHTuJA8ksajyYCAAArBAAADgAAAAAAAAABACAAAABA&#10;AQAAZHJzL2Uyb0RvYy54bWxQSwUGAAAAAAYABgBZAQAA2AUAAAAA&#10;">
                <v:fill on="f" focussize="0,0"/>
                <v:stroke on="f" weight="0.5pt"/>
                <v:imagedata o:title=""/>
                <o:lock v:ext="edit" aspectratio="f"/>
                <v:textbo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A2</w:t>
                      </w:r>
                    </w:p>
                  </w:txbxContent>
                </v:textbox>
              </v:shape>
            </w:pict>
          </mc:Fallback>
        </mc:AlternateContent>
      </w:r>
      <w:r>
        <w:rPr>
          <w:sz w:val="24"/>
        </w:rPr>
        <mc:AlternateContent>
          <mc:Choice Requires="wps">
            <w:drawing>
              <wp:anchor distT="0" distB="0" distL="114300" distR="114300" simplePos="0" relativeHeight="251662336" behindDoc="0" locked="0" layoutInCell="1" allowOverlap="1">
                <wp:simplePos x="0" y="0"/>
                <wp:positionH relativeFrom="column">
                  <wp:posOffset>993140</wp:posOffset>
                </wp:positionH>
                <wp:positionV relativeFrom="paragraph">
                  <wp:posOffset>2284730</wp:posOffset>
                </wp:positionV>
                <wp:extent cx="382270" cy="271145"/>
                <wp:effectExtent l="0" t="0" r="0" b="0"/>
                <wp:wrapNone/>
                <wp:docPr id="57" name="文本框 57"/>
                <wp:cNvGraphicFramePr/>
                <a:graphic xmlns:a="http://schemas.openxmlformats.org/drawingml/2006/main">
                  <a:graphicData uri="http://schemas.microsoft.com/office/word/2010/wordprocessingShape">
                    <wps:wsp>
                      <wps:cNvSpPr txBox="true"/>
                      <wps:spPr>
                        <a:xfrm>
                          <a:off x="2008505" y="3055620"/>
                          <a:ext cx="38227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A1</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78.2pt;margin-top:179.9pt;height:21.35pt;width:30.1pt;z-index:251662336;mso-width-relative:page;mso-height-relative:page;" filled="f" stroked="f" coordsize="21600,21600" o:gfxdata="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BYAAABkcnMvUEsBAhQAFAAAAAgAh07iQLzs4BvbAAAACwEAAA8AAAAAAAAA&#10;AQAgAAAAOAAAAGRycy9kb3ducmV2LnhtbFBLAQIUABQAAAAIAIdO4kCUgq70MQIAADcEAAAOAAAA&#10;AAAAAAEAIAAAAEABAABkcnMvZTJvRG9jLnhtbFBLBQYAAAAABgAGAFkBAADjBQAAAAA=&#10;">
                <v:fill on="f" focussize="0,0"/>
                <v:stroke on="f" weight="0.5pt"/>
                <v:imagedata o:title=""/>
                <o:lock v:ext="edit" aspectratio="f"/>
                <v:textbox>
                  <w:txbxContent>
                    <w:p>
                      <w:pPr>
                        <w:ind w:left="0" w:leftChars="0" w:firstLine="0" w:firstLineChars="0"/>
                        <w:rPr>
                          <w:rFonts w:hint="default" w:eastAsia="宋体"/>
                          <w:b/>
                          <w:bCs/>
                          <w:color w:val="FFFFFF" w:themeColor="background1"/>
                          <w:sz w:val="18"/>
                          <w:szCs w:val="18"/>
                          <w:lang w:val="en-US" w:eastAsia="zh-CN"/>
                          <w14:textFill>
                            <w14:solidFill>
                              <w14:schemeClr w14:val="bg1"/>
                            </w14:solidFill>
                          </w14:textFill>
                        </w:rPr>
                      </w:pPr>
                      <w:r>
                        <w:rPr>
                          <w:rFonts w:hint="eastAsia"/>
                          <w:b/>
                          <w:bCs/>
                          <w:color w:val="FFFFFF" w:themeColor="background1"/>
                          <w:sz w:val="18"/>
                          <w:szCs w:val="18"/>
                          <w:lang w:val="en-US" w:eastAsia="zh-CN"/>
                          <w14:textFill>
                            <w14:solidFill>
                              <w14:schemeClr w14:val="bg1"/>
                            </w14:solidFill>
                          </w14:textFill>
                        </w:rPr>
                        <w:t>A1</w:t>
                      </w:r>
                    </w:p>
                  </w:txbxContent>
                </v:textbox>
              </v:shape>
            </w:pict>
          </mc:Fallback>
        </mc:AlternateContent>
      </w:r>
      <w:r>
        <w:drawing>
          <wp:inline distT="0" distB="0" distL="114300" distR="114300">
            <wp:extent cx="5750560" cy="4714240"/>
            <wp:effectExtent l="0" t="0" r="2540" b="10160"/>
            <wp:docPr id="50"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true"/>
                    </pic:cNvPicPr>
                  </pic:nvPicPr>
                  <pic:blipFill>
                    <a:blip r:embed="rId32"/>
                    <a:stretch>
                      <a:fillRect/>
                    </a:stretch>
                  </pic:blipFill>
                  <pic:spPr>
                    <a:xfrm>
                      <a:off x="0" y="0"/>
                      <a:ext cx="5750560" cy="4714240"/>
                    </a:xfrm>
                    <a:prstGeom prst="rect">
                      <a:avLst/>
                    </a:prstGeom>
                    <a:noFill/>
                    <a:ln>
                      <a:noFill/>
                    </a:ln>
                  </pic:spPr>
                </pic:pic>
              </a:graphicData>
            </a:graphic>
          </wp:inline>
        </w:drawing>
      </w:r>
    </w:p>
    <w:p>
      <w:pPr>
        <w:bidi w:val="0"/>
        <w:ind w:left="0" w:leftChars="0" w:firstLine="0" w:firstLineChars="0"/>
        <w:jc w:val="center"/>
        <w:rPr>
          <w:rFonts w:hint="default" w:eastAsia="宋体"/>
          <w:b/>
          <w:bCs/>
          <w:lang w:val="en-US" w:eastAsia="zh-CN"/>
        </w:rPr>
      </w:pPr>
      <w:r>
        <w:rPr>
          <w:rFonts w:hint="eastAsia"/>
          <w:b/>
          <w:bCs/>
          <w:lang w:val="en-US" w:eastAsia="zh-CN"/>
        </w:rPr>
        <w:t>图2-1 风机布置图</w:t>
      </w:r>
    </w:p>
    <w:p>
      <w:pPr>
        <w:pStyle w:val="458"/>
        <w:ind w:firstLine="60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风机基础工程</w:t>
      </w:r>
    </w:p>
    <w:p>
      <w:pPr>
        <w:keepNext w:val="0"/>
        <w:keepLines w:val="0"/>
        <w:pageBreakBefore w:val="0"/>
        <w:widowControl w:val="0"/>
        <w:tabs>
          <w:tab w:val="left" w:pos="1256"/>
          <w:tab w:val="clear" w:pos="480"/>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u w:val="none" w:color="auto"/>
        </w:rPr>
      </w:pPr>
      <w:r>
        <w:rPr>
          <w:rFonts w:hint="default" w:ascii="Times New Roman" w:hAnsi="Times New Roman" w:eastAsia="宋体" w:cs="Times New Roman"/>
          <w:sz w:val="24"/>
          <w:u w:val="none" w:color="auto"/>
        </w:rPr>
        <w:t>（1）风机</w:t>
      </w:r>
      <w:r>
        <w:rPr>
          <w:rFonts w:hint="default" w:ascii="Times New Roman" w:hAnsi="Times New Roman" w:eastAsia="宋体" w:cs="Times New Roman"/>
          <w:color w:val="auto"/>
          <w:sz w:val="24"/>
          <w:szCs w:val="24"/>
          <w:u w:val="none" w:color="auto"/>
          <w:lang w:eastAsia="zh-CN"/>
        </w:rPr>
        <w:t>基础</w:t>
      </w:r>
    </w:p>
    <w:p>
      <w:pPr>
        <w:bidi w:val="0"/>
        <w:rPr>
          <w:rFonts w:hint="default"/>
        </w:rPr>
      </w:pPr>
      <w:r>
        <w:rPr>
          <w:rFonts w:hint="default"/>
        </w:rPr>
        <w:t>风电机组基础拟采用现浇C40 圆形扩展式基础。基础分上、下两部分，上部为直径7.2m的圆形柱台，高1.7m；下部为直径 Φ=22.2m 的圆形柱台，最大高度为3.0m，最小高度为1.0m，风机基础埋深 4.5m。</w:t>
      </w:r>
    </w:p>
    <w:p>
      <w:pPr>
        <w:bidi w:val="0"/>
        <w:rPr>
          <w:rFonts w:hint="default"/>
        </w:rPr>
      </w:pPr>
      <w:r>
        <w:rPr>
          <w:rFonts w:hint="default"/>
        </w:rPr>
        <w:t>（2）箱式</w:t>
      </w:r>
      <w:r>
        <w:rPr>
          <w:rFonts w:hint="eastAsia"/>
          <w:lang w:eastAsia="zh-CN"/>
        </w:rPr>
        <w:t>变压器</w:t>
      </w:r>
      <w:r>
        <w:rPr>
          <w:rFonts w:hint="default"/>
        </w:rPr>
        <w:t>基础</w:t>
      </w:r>
    </w:p>
    <w:p>
      <w:pPr>
        <w:bidi w:val="0"/>
        <w:rPr>
          <w:rFonts w:hint="default"/>
        </w:rPr>
      </w:pPr>
      <w:r>
        <w:rPr>
          <w:rFonts w:hint="default"/>
        </w:rPr>
        <w:t>每台风电机组</w:t>
      </w:r>
      <w:r>
        <w:rPr>
          <w:rFonts w:hint="eastAsia"/>
          <w:lang w:val="en-US" w:eastAsia="zh-CN"/>
        </w:rPr>
        <w:t>配置</w:t>
      </w:r>
      <w:r>
        <w:rPr>
          <w:rFonts w:hint="default"/>
        </w:rPr>
        <w:t>一台箱式变压器，根据本工程地质条件，箱变基础采用天然地基，板式基础，基础厚度250mm，砖砌体强度等级为MU15，M10水泥砂浆砌筑。基础混凝土强度等级为C30，基底设100mm厚的C20 素混凝土垫层。箱变基础</w:t>
      </w:r>
      <w:r>
        <w:rPr>
          <w:rFonts w:hint="eastAsia"/>
          <w:lang w:val="en-US" w:eastAsia="zh-CN"/>
        </w:rPr>
        <w:t>设置</w:t>
      </w:r>
      <w:r>
        <w:rPr>
          <w:rFonts w:hint="default"/>
        </w:rPr>
        <w:t>事故油池，油池混凝土采用 C30P8。箱变四周</w:t>
      </w:r>
      <w:r>
        <w:rPr>
          <w:rFonts w:hint="eastAsia"/>
          <w:lang w:val="en-US" w:eastAsia="zh-CN"/>
        </w:rPr>
        <w:t>设置</w:t>
      </w:r>
      <w:r>
        <w:rPr>
          <w:rFonts w:hint="default"/>
        </w:rPr>
        <w:t>不锈钢围栏，围栏高度2.20m。</w:t>
      </w:r>
    </w:p>
    <w:p>
      <w:pPr>
        <w:bidi w:val="0"/>
        <w:rPr>
          <w:rFonts w:hint="eastAsia"/>
          <w:lang w:eastAsia="zh-CN"/>
        </w:rPr>
      </w:pPr>
      <w:r>
        <w:rPr>
          <w:rFonts w:hint="default"/>
        </w:rPr>
        <w:t>（3）风机安装</w:t>
      </w:r>
      <w:r>
        <w:rPr>
          <w:rFonts w:hint="default"/>
          <w:lang w:eastAsia="zh-CN"/>
        </w:rPr>
        <w:t>场地</w:t>
      </w:r>
    </w:p>
    <w:p>
      <w:pPr>
        <w:bidi w:val="0"/>
        <w:rPr>
          <w:rFonts w:hint="default"/>
          <w:lang w:eastAsia="zh-CN"/>
        </w:rPr>
      </w:pPr>
      <w:r>
        <w:rPr>
          <w:rFonts w:hint="default"/>
        </w:rPr>
        <w:t>根据单机设备制造商提供的现场道路和起重机硬化操作平台规范，整平夯实一块施工场地。风机安装场地占地总面积为2.</w:t>
      </w:r>
      <w:r>
        <w:rPr>
          <w:rFonts w:hint="eastAsia"/>
          <w:lang w:val="en-US" w:eastAsia="zh-CN"/>
        </w:rPr>
        <w:t>159</w:t>
      </w:r>
      <w:r>
        <w:rPr>
          <w:rFonts w:hint="default"/>
        </w:rPr>
        <w:t>万m</w:t>
      </w:r>
      <w:r>
        <w:rPr>
          <w:rFonts w:hint="default"/>
          <w:vertAlign w:val="superscript"/>
        </w:rPr>
        <w:t>2</w:t>
      </w:r>
      <w:r>
        <w:rPr>
          <w:rFonts w:hint="default"/>
        </w:rPr>
        <w:t>。在施工场地边安装风力发电机组和升压变压器。</w:t>
      </w:r>
    </w:p>
    <w:p>
      <w:pPr>
        <w:pStyle w:val="458"/>
        <w:ind w:firstLine="60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cs="Times New Roman"/>
          <w:color w:val="000000" w:themeColor="text1"/>
          <w:u w:val="none" w:color="auto"/>
          <w:lang w:val="en-US" w:eastAsia="zh-CN"/>
          <w14:textFill>
            <w14:solidFill>
              <w14:schemeClr w14:val="tx1"/>
            </w14:solidFill>
          </w14:textFill>
        </w:rPr>
        <w:t>汇集站</w:t>
      </w:r>
    </w:p>
    <w:p>
      <w:pPr>
        <w:bidi w:val="0"/>
        <w:rPr>
          <w:rFonts w:hint="default"/>
          <w:color w:val="auto"/>
          <w:szCs w:val="21"/>
          <w:lang w:val="en-US" w:eastAsia="zh-CN"/>
        </w:rPr>
      </w:pPr>
      <w:r>
        <w:rPr>
          <w:rFonts w:hint="eastAsia"/>
          <w:color w:val="auto"/>
          <w:szCs w:val="21"/>
          <w:lang w:val="en-US" w:eastAsia="zh-CN"/>
        </w:rPr>
        <w:t>（1）概况</w:t>
      </w:r>
    </w:p>
    <w:p>
      <w:pPr>
        <w:bidi w:val="0"/>
        <w:rPr>
          <w:rFonts w:hint="eastAsia"/>
        </w:rPr>
      </w:pPr>
      <w:r>
        <w:rPr>
          <w:rFonts w:hint="eastAsia"/>
          <w:color w:val="auto"/>
          <w:szCs w:val="21"/>
          <w:lang w:val="en-US" w:eastAsia="zh-CN"/>
        </w:rPr>
        <w:t>建设单位</w:t>
      </w:r>
      <w:r>
        <w:rPr>
          <w:rFonts w:hint="eastAsia"/>
          <w:color w:val="auto"/>
          <w:szCs w:val="21"/>
        </w:rPr>
        <w:t>在蓝山县建设一座220</w:t>
      </w:r>
      <w:r>
        <w:rPr>
          <w:rFonts w:hint="eastAsia"/>
          <w:color w:val="auto"/>
          <w:szCs w:val="21"/>
          <w:lang w:eastAsia="zh-CN"/>
        </w:rPr>
        <w:t>kV</w:t>
      </w:r>
      <w:r>
        <w:rPr>
          <w:rFonts w:hint="eastAsia"/>
          <w:color w:val="auto"/>
          <w:szCs w:val="21"/>
        </w:rPr>
        <w:t xml:space="preserve">汇集站，该汇集站主要作为蓝山大源75MW风电项目升压站及在蓝山县开发的蓝山白毛坪二期50MW、蓝山四海坪三期150MW、蓝山毛俊100MW风电项目等新能源项目送出线路中转变电站。汇集站场址位于湖南省永州市蓝山县所城镇岩口洞村西南部。站址西侧紧临乡村公路，站址东侧距离乡道 </w:t>
      </w:r>
      <w:r>
        <w:rPr>
          <w:rFonts w:hint="eastAsia"/>
        </w:rPr>
        <w:t>Y208约600m，距离国道 G537直线距离约2.6km。</w:t>
      </w:r>
    </w:p>
    <w:p>
      <w:pPr>
        <w:bidi w:val="0"/>
        <w:rPr>
          <w:rFonts w:hint="eastAsia"/>
          <w:color w:val="auto"/>
          <w:szCs w:val="21"/>
        </w:rPr>
      </w:pPr>
      <w:r>
        <w:rPr>
          <w:rFonts w:hint="eastAsia"/>
        </w:rPr>
        <w:t>汇集站</w:t>
      </w:r>
      <w:r>
        <w:rPr>
          <w:rFonts w:hint="eastAsia"/>
          <w:lang w:val="en-US" w:eastAsia="zh-CN"/>
        </w:rPr>
        <w:t>主变压器容量：</w:t>
      </w:r>
      <w:r>
        <w:rPr>
          <w:rFonts w:hint="eastAsia"/>
        </w:rPr>
        <w:t>近期2×240MVA主变，远期</w:t>
      </w:r>
      <w:r>
        <w:rPr>
          <w:rFonts w:hint="eastAsia"/>
          <w:lang w:val="en-US" w:eastAsia="zh-CN"/>
        </w:rPr>
        <w:t>为</w:t>
      </w:r>
      <w:r>
        <w:rPr>
          <w:rFonts w:hint="eastAsia"/>
        </w:rPr>
        <w:t>3×240MVA 主变。</w:t>
      </w:r>
      <w:r>
        <w:rPr>
          <w:rFonts w:hint="eastAsia"/>
          <w:color w:val="auto"/>
          <w:szCs w:val="21"/>
        </w:rPr>
        <w:t>本风电场以4回集电线路接至220</w:t>
      </w:r>
      <w:r>
        <w:rPr>
          <w:rFonts w:hint="eastAsia"/>
          <w:color w:val="auto"/>
          <w:szCs w:val="21"/>
          <w:lang w:eastAsia="zh-CN"/>
        </w:rPr>
        <w:t>kV</w:t>
      </w:r>
      <w:r>
        <w:rPr>
          <w:rFonts w:hint="eastAsia"/>
          <w:color w:val="auto"/>
          <w:szCs w:val="21"/>
        </w:rPr>
        <w:t>汇集站1#主变35</w:t>
      </w:r>
      <w:r>
        <w:rPr>
          <w:rFonts w:hint="eastAsia"/>
          <w:color w:val="auto"/>
          <w:szCs w:val="21"/>
          <w:lang w:eastAsia="zh-CN"/>
        </w:rPr>
        <w:t>kV</w:t>
      </w:r>
      <w:r>
        <w:rPr>
          <w:rFonts w:hint="eastAsia"/>
          <w:color w:val="auto"/>
          <w:szCs w:val="21"/>
        </w:rPr>
        <w:t>母线侧。汇集站以1回220</w:t>
      </w:r>
      <w:r>
        <w:rPr>
          <w:rFonts w:hint="eastAsia"/>
          <w:color w:val="auto"/>
          <w:szCs w:val="21"/>
          <w:lang w:eastAsia="zh-CN"/>
        </w:rPr>
        <w:t>kV</w:t>
      </w:r>
      <w:r>
        <w:rPr>
          <w:rFonts w:hint="eastAsia"/>
          <w:color w:val="auto"/>
          <w:szCs w:val="21"/>
        </w:rPr>
        <w:t>架空线至紫霞500</w:t>
      </w:r>
      <w:r>
        <w:rPr>
          <w:rFonts w:hint="eastAsia"/>
          <w:color w:val="auto"/>
          <w:szCs w:val="21"/>
          <w:lang w:eastAsia="zh-CN"/>
        </w:rPr>
        <w:t>kV</w:t>
      </w:r>
      <w:r>
        <w:rPr>
          <w:rFonts w:hint="eastAsia"/>
          <w:color w:val="auto"/>
          <w:szCs w:val="21"/>
        </w:rPr>
        <w:t>变电站220</w:t>
      </w:r>
      <w:r>
        <w:rPr>
          <w:rFonts w:hint="eastAsia"/>
          <w:color w:val="auto"/>
          <w:szCs w:val="21"/>
          <w:lang w:eastAsia="zh-CN"/>
        </w:rPr>
        <w:t>kV</w:t>
      </w:r>
      <w:r>
        <w:rPr>
          <w:rFonts w:hint="eastAsia"/>
          <w:color w:val="auto"/>
          <w:szCs w:val="21"/>
        </w:rPr>
        <w:t>侧</w:t>
      </w:r>
      <w:r>
        <w:rPr>
          <w:rFonts w:hint="eastAsia"/>
          <w:color w:val="auto"/>
          <w:szCs w:val="21"/>
          <w:lang w:eastAsia="zh-CN"/>
        </w:rPr>
        <w:t>，</w:t>
      </w:r>
      <w:r>
        <w:rPr>
          <w:rFonts w:hint="eastAsia"/>
          <w:color w:val="auto"/>
          <w:szCs w:val="21"/>
          <w:lang w:val="en-US" w:eastAsia="zh-CN"/>
        </w:rPr>
        <w:t>送出线路工程不在本评价范围，另行环评</w:t>
      </w:r>
      <w:r>
        <w:rPr>
          <w:rFonts w:hint="eastAsia"/>
          <w:color w:val="auto"/>
          <w:szCs w:val="21"/>
        </w:rPr>
        <w:t>。</w:t>
      </w:r>
    </w:p>
    <w:p>
      <w:pPr>
        <w:bidi w:val="0"/>
        <w:rPr>
          <w:rFonts w:hint="default"/>
          <w:lang w:val="en-US" w:eastAsia="zh-CN"/>
        </w:rPr>
      </w:pPr>
      <w:r>
        <w:rPr>
          <w:rFonts w:hint="eastAsia"/>
          <w:lang w:val="en-US" w:eastAsia="zh-CN"/>
        </w:rPr>
        <w:t>（2）平面布置</w:t>
      </w:r>
    </w:p>
    <w:p>
      <w:pPr>
        <w:bidi w:val="0"/>
        <w:rPr>
          <w:rFonts w:hint="eastAsia"/>
        </w:rPr>
      </w:pPr>
      <w:r>
        <w:rPr>
          <w:rFonts w:hint="eastAsia"/>
          <w:lang w:val="en-US" w:eastAsia="zh-CN"/>
        </w:rPr>
        <w:t>本次变更后</w:t>
      </w:r>
      <w:r>
        <w:rPr>
          <w:rFonts w:hint="eastAsia"/>
          <w:color w:val="auto"/>
          <w:szCs w:val="21"/>
        </w:rPr>
        <w:t>汇集站</w:t>
      </w:r>
      <w:r>
        <w:rPr>
          <w:rFonts w:hint="eastAsia"/>
          <w:color w:val="auto"/>
          <w:szCs w:val="21"/>
          <w:lang w:val="en-US" w:eastAsia="zh-CN"/>
        </w:rPr>
        <w:t>选址和平面布置不变，</w:t>
      </w:r>
      <w:r>
        <w:rPr>
          <w:rFonts w:hint="eastAsia"/>
          <w:color w:val="auto"/>
          <w:szCs w:val="21"/>
        </w:rPr>
        <w:t>坐标为：E112°8′9.63″，N25°16′47.68″，汇集站占地1.</w:t>
      </w:r>
      <w:r>
        <w:rPr>
          <w:rFonts w:hint="eastAsia"/>
          <w:color w:val="auto"/>
          <w:szCs w:val="21"/>
          <w:lang w:val="en-US" w:eastAsia="zh-CN"/>
        </w:rPr>
        <w:t>588</w:t>
      </w:r>
      <w:r>
        <w:rPr>
          <w:rFonts w:hint="eastAsia"/>
          <w:color w:val="auto"/>
          <w:szCs w:val="21"/>
        </w:rPr>
        <w:t>万m</w:t>
      </w:r>
      <w:r>
        <w:rPr>
          <w:rFonts w:hint="eastAsia"/>
          <w:color w:val="auto"/>
          <w:szCs w:val="21"/>
          <w:vertAlign w:val="superscript"/>
        </w:rPr>
        <w:t>2</w:t>
      </w:r>
      <w:r>
        <w:rPr>
          <w:rFonts w:hint="eastAsia"/>
          <w:color w:val="auto"/>
          <w:szCs w:val="21"/>
        </w:rPr>
        <w:t>，全站建筑物包括：生产综合楼、35</w:t>
      </w:r>
      <w:r>
        <w:rPr>
          <w:rFonts w:hint="eastAsia"/>
          <w:color w:val="auto"/>
          <w:szCs w:val="21"/>
          <w:lang w:eastAsia="zh-CN"/>
        </w:rPr>
        <w:t>kV</w:t>
      </w:r>
      <w:r>
        <w:rPr>
          <w:rFonts w:hint="eastAsia"/>
          <w:color w:val="auto"/>
          <w:szCs w:val="21"/>
        </w:rPr>
        <w:t>配电装置室</w:t>
      </w:r>
      <w:r>
        <w:rPr>
          <w:rFonts w:hint="eastAsia"/>
          <w:color w:val="auto"/>
          <w:szCs w:val="21"/>
          <w:lang w:eastAsia="zh-CN"/>
        </w:rPr>
        <w:t>。</w:t>
      </w:r>
    </w:p>
    <w:p>
      <w:pPr>
        <w:spacing w:line="360" w:lineRule="auto"/>
        <w:ind w:firstLine="480" w:firstLineChars="200"/>
        <w:rPr>
          <w:rFonts w:hint="eastAsia"/>
          <w:color w:val="auto"/>
          <w:szCs w:val="21"/>
        </w:rPr>
      </w:pPr>
      <w:r>
        <w:rPr>
          <w:rFonts w:hint="eastAsia"/>
          <w:color w:val="auto"/>
          <w:szCs w:val="21"/>
        </w:rPr>
        <w:t>生产综合楼为地上两层框架结构建筑，布置有中控室、消防水泵房、生活水泵房、餐厅、厨房、办公室、工具室、备品备件室、门卫室等。二层布置有活动室、会议室、资料室、值休室等。</w:t>
      </w:r>
    </w:p>
    <w:p>
      <w:pPr>
        <w:bidi w:val="0"/>
        <w:rPr>
          <w:rFonts w:hint="eastAsia"/>
          <w:color w:val="auto"/>
          <w:szCs w:val="21"/>
          <w:lang w:eastAsia="zh-CN"/>
        </w:rPr>
      </w:pPr>
      <w:r>
        <w:rPr>
          <w:rFonts w:hint="eastAsia"/>
          <w:color w:val="auto"/>
          <w:szCs w:val="21"/>
        </w:rPr>
        <w:t>35</w:t>
      </w:r>
      <w:r>
        <w:rPr>
          <w:rFonts w:hint="eastAsia"/>
          <w:color w:val="auto"/>
          <w:szCs w:val="21"/>
          <w:lang w:eastAsia="zh-CN"/>
        </w:rPr>
        <w:t>kV</w:t>
      </w:r>
      <w:r>
        <w:rPr>
          <w:rFonts w:hint="eastAsia"/>
          <w:color w:val="auto"/>
          <w:szCs w:val="21"/>
        </w:rPr>
        <w:t>配电装置室为地上一层框架结构建筑。全站为户外站布置。220</w:t>
      </w:r>
      <w:r>
        <w:rPr>
          <w:rFonts w:hint="eastAsia"/>
          <w:color w:val="auto"/>
          <w:szCs w:val="21"/>
          <w:lang w:eastAsia="zh-CN"/>
        </w:rPr>
        <w:t>kV</w:t>
      </w:r>
      <w:r>
        <w:rPr>
          <w:rFonts w:hint="eastAsia"/>
          <w:color w:val="auto"/>
          <w:szCs w:val="21"/>
        </w:rPr>
        <w:t>配电装置采用户外HGIS布置，母线采用支持式，布置于站区北侧，架空向北出线；110</w:t>
      </w:r>
      <w:r>
        <w:rPr>
          <w:rFonts w:hint="eastAsia"/>
          <w:color w:val="auto"/>
          <w:szCs w:val="21"/>
          <w:lang w:eastAsia="zh-CN"/>
        </w:rPr>
        <w:t>kV</w:t>
      </w:r>
      <w:r>
        <w:rPr>
          <w:rFonts w:hint="eastAsia"/>
          <w:color w:val="auto"/>
          <w:szCs w:val="21"/>
        </w:rPr>
        <w:t>布置于站区南侧，采用户外HGIS布置，远期架空出线；主变压器、35</w:t>
      </w:r>
      <w:r>
        <w:rPr>
          <w:rFonts w:hint="eastAsia"/>
          <w:color w:val="auto"/>
          <w:szCs w:val="21"/>
          <w:lang w:eastAsia="zh-CN"/>
        </w:rPr>
        <w:t>kV</w:t>
      </w:r>
      <w:r>
        <w:rPr>
          <w:rFonts w:hint="eastAsia"/>
          <w:color w:val="auto"/>
          <w:szCs w:val="21"/>
        </w:rPr>
        <w:t>配电装置室于站区中部，35</w:t>
      </w:r>
      <w:r>
        <w:rPr>
          <w:rFonts w:hint="eastAsia"/>
          <w:color w:val="auto"/>
          <w:szCs w:val="21"/>
          <w:lang w:eastAsia="zh-CN"/>
        </w:rPr>
        <w:t>kV</w:t>
      </w:r>
      <w:r>
        <w:rPr>
          <w:rFonts w:hint="eastAsia"/>
          <w:color w:val="auto"/>
          <w:szCs w:val="21"/>
        </w:rPr>
        <w:t>充气柜出线经站内高压电缆沟向北出线；35</w:t>
      </w:r>
      <w:r>
        <w:rPr>
          <w:rFonts w:hint="eastAsia"/>
          <w:color w:val="auto"/>
          <w:szCs w:val="21"/>
          <w:lang w:eastAsia="zh-CN"/>
        </w:rPr>
        <w:t>kV</w:t>
      </w:r>
      <w:r>
        <w:rPr>
          <w:rFonts w:hint="eastAsia"/>
          <w:color w:val="auto"/>
          <w:szCs w:val="21"/>
        </w:rPr>
        <w:t>电容器、35</w:t>
      </w:r>
      <w:r>
        <w:rPr>
          <w:rFonts w:hint="eastAsia"/>
          <w:color w:val="auto"/>
          <w:szCs w:val="21"/>
          <w:lang w:eastAsia="zh-CN"/>
        </w:rPr>
        <w:t>kV</w:t>
      </w:r>
      <w:r>
        <w:rPr>
          <w:rFonts w:hint="eastAsia"/>
          <w:color w:val="auto"/>
          <w:szCs w:val="21"/>
        </w:rPr>
        <w:t>SVG及35</w:t>
      </w:r>
      <w:r>
        <w:rPr>
          <w:rFonts w:hint="eastAsia"/>
          <w:color w:val="auto"/>
          <w:szCs w:val="21"/>
          <w:lang w:eastAsia="zh-CN"/>
        </w:rPr>
        <w:t>kV</w:t>
      </w:r>
      <w:r>
        <w:rPr>
          <w:rFonts w:hint="eastAsia"/>
          <w:color w:val="auto"/>
          <w:szCs w:val="21"/>
        </w:rPr>
        <w:t>FC所接35</w:t>
      </w:r>
      <w:r>
        <w:rPr>
          <w:rFonts w:hint="eastAsia"/>
          <w:color w:val="auto"/>
          <w:szCs w:val="21"/>
          <w:lang w:eastAsia="zh-CN"/>
        </w:rPr>
        <w:t>kV</w:t>
      </w:r>
      <w:r>
        <w:rPr>
          <w:rFonts w:hint="eastAsia"/>
          <w:color w:val="auto"/>
          <w:szCs w:val="21"/>
        </w:rPr>
        <w:t>母线为单位布置于站区东北角及西北角；进站道路从东南角引进变电站。二次预制舱及综合楼以及其他功能房间分别布置于进站道路东侧，围墙内东西向尺寸为120米，南北向尺寸为120米</w:t>
      </w:r>
      <w:r>
        <w:rPr>
          <w:rFonts w:hint="eastAsia"/>
          <w:color w:val="auto"/>
          <w:szCs w:val="21"/>
          <w:lang w:eastAsia="zh-CN"/>
        </w:rPr>
        <w:t>。</w:t>
      </w:r>
    </w:p>
    <w:p>
      <w:pPr>
        <w:bidi w:val="0"/>
        <w:rPr>
          <w:rFonts w:hint="eastAsia"/>
        </w:rPr>
      </w:pPr>
      <w:r>
        <w:rPr>
          <w:rFonts w:hint="eastAsia"/>
        </w:rPr>
        <w:t>（3）给排水</w:t>
      </w:r>
    </w:p>
    <w:p>
      <w:pPr>
        <w:bidi w:val="0"/>
        <w:rPr>
          <w:rFonts w:hint="eastAsia"/>
        </w:rPr>
      </w:pPr>
      <w:r>
        <w:rPr>
          <w:rFonts w:hint="eastAsia"/>
        </w:rPr>
        <w:t>升压站用水水源采用地下水，站内已打一口深井，地下水通过潜水泵加压经给水管道送至升压站生活水箱。</w:t>
      </w:r>
    </w:p>
    <w:p>
      <w:pPr>
        <w:bidi w:val="0"/>
        <w:rPr>
          <w:rFonts w:hint="eastAsia"/>
        </w:rPr>
      </w:pPr>
      <w:r>
        <w:rPr>
          <w:rFonts w:hint="eastAsia"/>
        </w:rPr>
        <w:t>升压站排水系统采用雨、污分流制，主要包括：雨水、生活污水排放。</w:t>
      </w:r>
    </w:p>
    <w:p>
      <w:pPr>
        <w:bidi w:val="0"/>
        <w:rPr>
          <w:rFonts w:hint="eastAsia"/>
        </w:rPr>
      </w:pPr>
      <w:r>
        <w:rPr>
          <w:rFonts w:hint="eastAsia"/>
        </w:rPr>
        <w:t>雨水排放：站区场地雨水通过室外埋地雨水管道排至站外。</w:t>
      </w:r>
    </w:p>
    <w:p>
      <w:pPr>
        <w:bidi w:val="0"/>
        <w:rPr>
          <w:rFonts w:hint="eastAsia"/>
        </w:rPr>
      </w:pPr>
      <w:r>
        <w:rPr>
          <w:rFonts w:hint="eastAsia"/>
        </w:rPr>
        <w:t>生活污水排放：升压站生活污水系统由污水管道、生活污水调节池、一体化污水处理设备组成。升压站内各用水点的生活污水通过污水管道汇集至调节池，经一体化污水处理设备处理达到《污水综合排放标准》（GB8978-1996）一级标准后，定期回用作为</w:t>
      </w:r>
      <w:r>
        <w:rPr>
          <w:rFonts w:hint="eastAsia"/>
          <w:lang w:val="en-US" w:eastAsia="zh-CN"/>
        </w:rPr>
        <w:t>汇集</w:t>
      </w:r>
      <w:r>
        <w:rPr>
          <w:rFonts w:hint="eastAsia"/>
        </w:rPr>
        <w:t>站绿化用水。</w:t>
      </w:r>
    </w:p>
    <w:p>
      <w:pPr>
        <w:pStyle w:val="458"/>
        <w:ind w:firstLine="60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道路工程</w:t>
      </w:r>
    </w:p>
    <w:p>
      <w:pPr>
        <w:bidi w:val="0"/>
        <w:rPr>
          <w:rFonts w:hint="eastAsia"/>
          <w:lang w:eastAsia="zh-CN"/>
        </w:rPr>
      </w:pPr>
      <w:r>
        <w:rPr>
          <w:rFonts w:hint="eastAsia"/>
          <w:lang w:eastAsia="zh-CN"/>
        </w:rPr>
        <w:t>（</w:t>
      </w:r>
      <w:r>
        <w:rPr>
          <w:rFonts w:hint="eastAsia"/>
          <w:lang w:val="en-US" w:eastAsia="zh-CN"/>
        </w:rPr>
        <w:t>1</w:t>
      </w:r>
      <w:r>
        <w:rPr>
          <w:rFonts w:hint="eastAsia"/>
          <w:lang w:eastAsia="zh-CN"/>
        </w:rPr>
        <w:t>）</w:t>
      </w:r>
      <w:r>
        <w:rPr>
          <w:rFonts w:hint="eastAsia"/>
          <w:lang w:val="en-US" w:eastAsia="zh-CN"/>
        </w:rPr>
        <w:t>进场</w:t>
      </w:r>
      <w:r>
        <w:rPr>
          <w:rFonts w:hint="eastAsia"/>
          <w:lang w:eastAsia="zh-CN"/>
        </w:rPr>
        <w:t>道路</w:t>
      </w:r>
    </w:p>
    <w:p>
      <w:pPr>
        <w:bidi w:val="0"/>
        <w:rPr>
          <w:rFonts w:hint="default"/>
        </w:rPr>
      </w:pPr>
      <w:r>
        <w:rPr>
          <w:rFonts w:hint="default"/>
        </w:rPr>
        <w:t>本工程进场道路主要利用</w:t>
      </w:r>
      <w:r>
        <w:rPr>
          <w:rFonts w:hint="eastAsia"/>
          <w:color w:val="auto"/>
          <w:szCs w:val="21"/>
        </w:rPr>
        <w:t>塔峰镇、汇源瑶族乡</w:t>
      </w:r>
      <w:r>
        <w:rPr>
          <w:rFonts w:hint="eastAsia"/>
          <w:color w:val="auto"/>
          <w:szCs w:val="21"/>
          <w:lang w:eastAsia="zh-CN"/>
        </w:rPr>
        <w:t>、</w:t>
      </w:r>
      <w:r>
        <w:rPr>
          <w:rFonts w:hint="eastAsia"/>
          <w:color w:val="auto"/>
          <w:szCs w:val="21"/>
          <w:lang w:val="en-US" w:eastAsia="zh-CN"/>
        </w:rPr>
        <w:t>所城镇</w:t>
      </w:r>
      <w:r>
        <w:rPr>
          <w:rFonts w:hint="eastAsia"/>
          <w:color w:val="auto"/>
          <w:szCs w:val="21"/>
        </w:rPr>
        <w:t>修建的防火巡护道路，</w:t>
      </w:r>
      <w:r>
        <w:rPr>
          <w:rFonts w:hint="default"/>
        </w:rPr>
        <w:t>进场</w:t>
      </w:r>
      <w:r>
        <w:rPr>
          <w:rFonts w:hint="eastAsia"/>
          <w:lang w:val="en-US" w:eastAsia="zh-CN"/>
        </w:rPr>
        <w:t>道路总长约13.5km，其中</w:t>
      </w:r>
      <w:r>
        <w:rPr>
          <w:rFonts w:hint="eastAsia"/>
          <w:color w:val="auto"/>
          <w:szCs w:val="21"/>
        </w:rPr>
        <w:t>塔峰镇11.5km，汇源瑶族乡</w:t>
      </w:r>
      <w:r>
        <w:rPr>
          <w:rFonts w:hint="eastAsia"/>
          <w:color w:val="auto"/>
          <w:szCs w:val="21"/>
          <w:lang w:val="en-US" w:eastAsia="zh-CN"/>
        </w:rPr>
        <w:t>1</w:t>
      </w:r>
      <w:r>
        <w:rPr>
          <w:rFonts w:hint="eastAsia"/>
          <w:color w:val="auto"/>
          <w:szCs w:val="21"/>
        </w:rPr>
        <w:t>km，</w:t>
      </w:r>
      <w:r>
        <w:rPr>
          <w:rFonts w:hint="eastAsia"/>
          <w:color w:val="auto"/>
          <w:szCs w:val="21"/>
          <w:lang w:val="en-US" w:eastAsia="zh-CN"/>
        </w:rPr>
        <w:t>所城镇1</w:t>
      </w:r>
      <w:r>
        <w:rPr>
          <w:rFonts w:hint="eastAsia"/>
          <w:color w:val="auto"/>
          <w:szCs w:val="21"/>
        </w:rPr>
        <w:t>km</w:t>
      </w:r>
      <w:r>
        <w:rPr>
          <w:rFonts w:hint="eastAsia"/>
          <w:color w:val="auto"/>
          <w:szCs w:val="21"/>
          <w:lang w:eastAsia="zh-CN"/>
        </w:rPr>
        <w:t>，</w:t>
      </w:r>
      <w:r>
        <w:rPr>
          <w:rFonts w:hint="eastAsia"/>
          <w:color w:val="auto"/>
          <w:szCs w:val="21"/>
        </w:rPr>
        <w:t>路基宽度为8.5m，满足本项目运输要求</w:t>
      </w:r>
      <w:r>
        <w:rPr>
          <w:rFonts w:hint="default"/>
        </w:rPr>
        <w:t>。</w:t>
      </w:r>
    </w:p>
    <w:p>
      <w:pPr>
        <w:pStyle w:val="33"/>
        <w:ind w:left="0" w:leftChars="0" w:firstLine="0" w:firstLineChars="0"/>
        <w:jc w:val="center"/>
        <w:rPr>
          <w:u w:val="none" w:color="auto"/>
        </w:rPr>
      </w:pPr>
      <w:r>
        <w:rPr>
          <w:sz w:val="21"/>
        </w:rPr>
        <mc:AlternateContent>
          <mc:Choice Requires="wps">
            <w:drawing>
              <wp:anchor distT="0" distB="0" distL="114300" distR="114300" simplePos="0" relativeHeight="251703296" behindDoc="0" locked="0" layoutInCell="1" allowOverlap="1">
                <wp:simplePos x="0" y="0"/>
                <wp:positionH relativeFrom="column">
                  <wp:posOffset>3811270</wp:posOffset>
                </wp:positionH>
                <wp:positionV relativeFrom="paragraph">
                  <wp:posOffset>5358130</wp:posOffset>
                </wp:positionV>
                <wp:extent cx="252095" cy="0"/>
                <wp:effectExtent l="0" t="9525" r="14605" b="9525"/>
                <wp:wrapNone/>
                <wp:docPr id="35" name="直接连接符 35"/>
                <wp:cNvGraphicFramePr/>
                <a:graphic xmlns:a="http://schemas.openxmlformats.org/drawingml/2006/main">
                  <a:graphicData uri="http://schemas.microsoft.com/office/word/2010/wordprocessingShape">
                    <wps:wsp>
                      <wps:cNvCnPr/>
                      <wps:spPr>
                        <a:xfrm>
                          <a:off x="0" y="0"/>
                          <a:ext cx="252095" cy="0"/>
                        </a:xfrm>
                        <a:prstGeom prst="line">
                          <a:avLst/>
                        </a:prstGeom>
                        <a:ln w="19050">
                          <a:solidFill>
                            <a:srgbClr val="0000FF"/>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00.1pt;margin-top:421.9pt;height:0pt;width:19.85pt;z-index:251703296;mso-width-relative:page;mso-height-relative:page;" filled="f" stroked="t" coordsize="21600,21600" o:gfxdata="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FgAAAGRycy9QSwECFAAUAAAACACHTuJAmHSn9NgAAAAL&#10;AQAADwAAAAAAAAABACAAAAA4AAAAZHJzL2Rvd25yZXYueG1sUEsBAhQAFAAAAAgAh07iQHq16jLN&#10;AQAAZQMAAA4AAAAAAAAAAQAgAAAAPQEAAGRycy9lMm9Eb2MueG1sUEsFBgAAAAAGAAYAWQEAAHwF&#10;AAAAAA==&#10;">
                <v:fill on="f" focussize="0,0"/>
                <v:stroke weight="1.5pt" color="#0000FF [3204]" miterlimit="8" joinstyle="miter"/>
                <v:imagedata o:title=""/>
                <o:lock v:ext="edit" aspectratio="f"/>
              </v:line>
            </w:pict>
          </mc:Fallback>
        </mc:AlternateContent>
      </w:r>
      <w:r>
        <w:rPr>
          <w:sz w:val="21"/>
        </w:rPr>
        <mc:AlternateContent>
          <mc:Choice Requires="wps">
            <w:drawing>
              <wp:anchor distT="0" distB="0" distL="114300" distR="114300" simplePos="0" relativeHeight="251702272" behindDoc="0" locked="0" layoutInCell="1" allowOverlap="1">
                <wp:simplePos x="0" y="0"/>
                <wp:positionH relativeFrom="column">
                  <wp:posOffset>3804285</wp:posOffset>
                </wp:positionH>
                <wp:positionV relativeFrom="paragraph">
                  <wp:posOffset>5088890</wp:posOffset>
                </wp:positionV>
                <wp:extent cx="252095" cy="0"/>
                <wp:effectExtent l="0" t="9525" r="14605" b="9525"/>
                <wp:wrapNone/>
                <wp:docPr id="34" name="直接连接符 34"/>
                <wp:cNvGraphicFramePr/>
                <a:graphic xmlns:a="http://schemas.openxmlformats.org/drawingml/2006/main">
                  <a:graphicData uri="http://schemas.microsoft.com/office/word/2010/wordprocessingShape">
                    <wps:wsp>
                      <wps:cNvCnPr/>
                      <wps:spPr>
                        <a:xfrm>
                          <a:off x="0" y="0"/>
                          <a:ext cx="252095" cy="0"/>
                        </a:xfrm>
                        <a:prstGeom prst="line">
                          <a:avLst/>
                        </a:prstGeom>
                        <a:ln w="19050">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99.55pt;margin-top:400.7pt;height:0pt;width:19.85pt;z-index:251702272;mso-width-relative:page;mso-height-relative:page;" filled="f" stroked="t" coordsize="21600,21600" o:gfxdata="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FgAAAGRycy9QSwECFAAUAAAACACHTuJALWgGzdYAAAALAQAA&#10;DwAAAAAAAAABACAAAAA4AAAAZHJzL2Rvd25yZXYueG1sUEsBAhQAFAAAAAgAh07iQIayAJvMAQAA&#10;ZQMAAA4AAAAAAAAAAQAgAAAAOwEAAGRycy9lMm9Eb2MueG1sUEsFBgAAAAAGAAYAWQEAAHkFAAAA&#10;AA==&#10;">
                <v:fill on="f" focussize="0,0"/>
                <v:stroke weight="1.5pt" color="#FF0000 [3204]" miterlimit="8" joinstyle="miter"/>
                <v:imagedata o:title=""/>
                <o:lock v:ext="edit" aspectratio="f"/>
              </v:line>
            </w:pict>
          </mc:Fallback>
        </mc:AlternateContent>
      </w:r>
      <w:r>
        <w:rPr>
          <w:sz w:val="21"/>
        </w:rPr>
        <mc:AlternateContent>
          <mc:Choice Requires="wps">
            <w:drawing>
              <wp:anchor distT="0" distB="0" distL="114300" distR="114300" simplePos="0" relativeHeight="251701248" behindDoc="0" locked="0" layoutInCell="1" allowOverlap="1">
                <wp:simplePos x="0" y="0"/>
                <wp:positionH relativeFrom="column">
                  <wp:posOffset>3796665</wp:posOffset>
                </wp:positionH>
                <wp:positionV relativeFrom="paragraph">
                  <wp:posOffset>4848225</wp:posOffset>
                </wp:positionV>
                <wp:extent cx="252095" cy="0"/>
                <wp:effectExtent l="0" t="9525" r="14605" b="9525"/>
                <wp:wrapNone/>
                <wp:docPr id="33" name="直接连接符 33"/>
                <wp:cNvGraphicFramePr/>
                <a:graphic xmlns:a="http://schemas.openxmlformats.org/drawingml/2006/main">
                  <a:graphicData uri="http://schemas.microsoft.com/office/word/2010/wordprocessingShape">
                    <wps:wsp>
                      <wps:cNvCnPr/>
                      <wps:spPr>
                        <a:xfrm>
                          <a:off x="0" y="0"/>
                          <a:ext cx="252095" cy="0"/>
                        </a:xfrm>
                        <a:prstGeom prst="line">
                          <a:avLst/>
                        </a:prstGeom>
                        <a:ln w="19050">
                          <a:solidFill>
                            <a:srgbClr val="F308F6"/>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98.95pt;margin-top:381.75pt;height:0pt;width:19.85pt;z-index:251701248;mso-width-relative:page;mso-height-relative:page;" filled="f" stroked="t" coordsize="21600,21600" o:gfxdata="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FgAAAGRycy9QSwECFAAUAAAACACHTuJAJL5eLdcAAAAL&#10;AQAADwAAAAAAAAABACAAAAA4AAAAZHJzL2Rvd25yZXYueG1sUEsBAhQAFAAAAAgAh07iQM/5vF7O&#10;AQAAZQMAAA4AAAAAAAAAAQAgAAAAPAEAAGRycy9lMm9Eb2MueG1sUEsFBgAAAAAGAAYAWQEAAHwF&#10;AAAAAA==&#10;">
                <v:fill on="f" focussize="0,0"/>
                <v:stroke weight="1.5pt" color="#F308F6 [3204]" miterlimit="8" joinstyle="miter"/>
                <v:imagedata o:title=""/>
                <o:lock v:ext="edit" aspectratio="f"/>
              </v:line>
            </w:pict>
          </mc:Fallback>
        </mc:AlternateContent>
      </w:r>
      <w:r>
        <w:rPr>
          <w:sz w:val="21"/>
        </w:rPr>
        <mc:AlternateContent>
          <mc:Choice Requires="wps">
            <w:drawing>
              <wp:anchor distT="0" distB="0" distL="114300" distR="114300" simplePos="0" relativeHeight="251700224" behindDoc="0" locked="0" layoutInCell="1" allowOverlap="1">
                <wp:simplePos x="0" y="0"/>
                <wp:positionH relativeFrom="column">
                  <wp:posOffset>3790950</wp:posOffset>
                </wp:positionH>
                <wp:positionV relativeFrom="paragraph">
                  <wp:posOffset>4571365</wp:posOffset>
                </wp:positionV>
                <wp:extent cx="252095" cy="0"/>
                <wp:effectExtent l="0" t="9525" r="14605" b="9525"/>
                <wp:wrapNone/>
                <wp:docPr id="20" name="直接连接符 20"/>
                <wp:cNvGraphicFramePr/>
                <a:graphic xmlns:a="http://schemas.openxmlformats.org/drawingml/2006/main">
                  <a:graphicData uri="http://schemas.microsoft.com/office/word/2010/wordprocessingShape">
                    <wps:wsp>
                      <wps:cNvCnPr/>
                      <wps:spPr>
                        <a:xfrm>
                          <a:off x="4728845" y="4627245"/>
                          <a:ext cx="252095" cy="0"/>
                        </a:xfrm>
                        <a:prstGeom prst="line">
                          <a:avLst/>
                        </a:prstGeom>
                        <a:ln w="19050">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98.5pt;margin-top:359.95pt;height:0pt;width:19.85pt;z-index:251700224;mso-width-relative:page;mso-height-relative:page;" filled="f" stroked="t" coordsize="21600,21600" o:gfxdata="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BYAAABkcnMvUEsBAhQAFAAAAAgAh07i&#10;QPUJ4ffXAAAACwEAAA8AAAAAAAAAAQAgAAAAOAAAAGRycy9kb3ducmV2LnhtbFBLAQIUABQAAAAI&#10;AIdO4kD+r9NQ2AEAAHEDAAAOAAAAAAAAAAEAIAAAADwBAABkcnMvZTJvRG9jLnhtbFBLBQYAAAAA&#10;BgAGAFkBAACGBQAAAAA=&#10;">
                <v:fill on="f" focussize="0,0"/>
                <v:stroke weight="1.5pt" color="#FFFF00 [3204]" miterlimit="8" joinstyle="miter"/>
                <v:imagedata o:title=""/>
                <o:lock v:ext="edit" aspectratio="f"/>
              </v:line>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3733800</wp:posOffset>
                </wp:positionH>
                <wp:positionV relativeFrom="paragraph">
                  <wp:posOffset>4445635</wp:posOffset>
                </wp:positionV>
                <wp:extent cx="1948815" cy="1098550"/>
                <wp:effectExtent l="4445" t="4445" r="8890" b="20955"/>
                <wp:wrapNone/>
                <wp:docPr id="17" name="文本框 17"/>
                <wp:cNvGraphicFramePr/>
                <a:graphic xmlns:a="http://schemas.openxmlformats.org/drawingml/2006/main">
                  <a:graphicData uri="http://schemas.microsoft.com/office/word/2010/wordprocessingShape">
                    <wps:wsp>
                      <wps:cNvSpPr txBox="true"/>
                      <wps:spPr>
                        <a:xfrm>
                          <a:off x="5197475" y="5403850"/>
                          <a:ext cx="1948815" cy="10985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left="0" w:leftChars="0" w:firstLine="420" w:firstLineChars="200"/>
                              <w:rPr>
                                <w:rFonts w:hint="eastAsia"/>
                                <w:color w:val="auto"/>
                                <w:sz w:val="21"/>
                                <w:szCs w:val="21"/>
                                <w:lang w:val="en-US" w:eastAsia="zh-CN"/>
                              </w:rPr>
                            </w:pPr>
                            <w:r>
                              <w:rPr>
                                <w:rFonts w:hint="eastAsia"/>
                                <w:color w:val="auto"/>
                                <w:sz w:val="21"/>
                                <w:szCs w:val="21"/>
                                <w:lang w:val="en-US" w:eastAsia="zh-CN"/>
                              </w:rPr>
                              <w:t>塔峰镇防火巡护道路</w:t>
                            </w:r>
                          </w:p>
                          <w:p>
                            <w:pPr>
                              <w:ind w:left="0" w:leftChars="0" w:firstLine="420" w:firstLineChars="200"/>
                              <w:rPr>
                                <w:rFonts w:hint="eastAsia"/>
                                <w:color w:val="auto"/>
                                <w:sz w:val="21"/>
                                <w:szCs w:val="21"/>
                                <w:lang w:val="en-US" w:eastAsia="zh-CN"/>
                              </w:rPr>
                            </w:pPr>
                            <w:r>
                              <w:rPr>
                                <w:rFonts w:hint="eastAsia"/>
                                <w:color w:val="auto"/>
                                <w:sz w:val="21"/>
                                <w:szCs w:val="21"/>
                                <w:lang w:val="en-US" w:eastAsia="zh-CN"/>
                              </w:rPr>
                              <w:t>汇源瑶族乡防火巡护道路</w:t>
                            </w:r>
                          </w:p>
                          <w:p>
                            <w:pPr>
                              <w:pStyle w:val="74"/>
                              <w:ind w:left="0" w:leftChars="0" w:firstLine="420" w:firstLineChars="200"/>
                              <w:rPr>
                                <w:rFonts w:hint="eastAsia"/>
                                <w:color w:val="auto"/>
                                <w:sz w:val="21"/>
                                <w:szCs w:val="21"/>
                              </w:rPr>
                            </w:pPr>
                            <w:r>
                              <w:rPr>
                                <w:rFonts w:hint="eastAsia"/>
                                <w:color w:val="auto"/>
                                <w:sz w:val="21"/>
                                <w:szCs w:val="21"/>
                                <w:lang w:val="en-US" w:eastAsia="zh-CN"/>
                              </w:rPr>
                              <w:t>所城镇</w:t>
                            </w:r>
                            <w:r>
                              <w:rPr>
                                <w:rFonts w:hint="eastAsia"/>
                                <w:color w:val="auto"/>
                                <w:sz w:val="21"/>
                                <w:szCs w:val="21"/>
                              </w:rPr>
                              <w:t>防火巡护道路</w:t>
                            </w:r>
                          </w:p>
                          <w:p>
                            <w:pPr>
                              <w:rPr>
                                <w:rFonts w:hint="default" w:eastAsia="宋体"/>
                                <w:sz w:val="21"/>
                                <w:szCs w:val="16"/>
                                <w:lang w:val="en-US" w:eastAsia="zh-CN"/>
                              </w:rPr>
                            </w:pPr>
                            <w:r>
                              <w:rPr>
                                <w:rFonts w:hint="eastAsia"/>
                                <w:sz w:val="21"/>
                                <w:szCs w:val="16"/>
                                <w:lang w:val="en-US" w:eastAsia="zh-CN"/>
                              </w:rPr>
                              <w:t>场内道路</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94pt;margin-top:350.05pt;height:86.5pt;width:153.45pt;z-index:251699200;mso-width-relative:page;mso-height-relative:page;" fillcolor="#FFFFFF [3201]" filled="t" stroked="t" coordsize="21600,21600" o:gfxdata="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FgAAAGRycy9QSwECFAAU&#10;AAAACACHTuJAQ1x4ntkAAAALAQAADwAAAAAAAAABACAAAAA4AAAAZHJzL2Rvd25yZXYueG1sUEsB&#10;AhQAFAAAAAgAh07iQEy5msBQAgAAigQAAA4AAAAAAAAAAQAgAAAAPgEAAGRycy9lMm9Eb2MueG1s&#10;UEsFBgAAAAAGAAYAWQEAAAAGAAAAAA==&#10;">
                <v:fill on="t" focussize="0,0"/>
                <v:stroke weight="0.5pt" color="#000000 [3204]" joinstyle="round"/>
                <v:imagedata o:title=""/>
                <o:lock v:ext="edit" aspectratio="f"/>
                <v:textbox>
                  <w:txbxContent>
                    <w:p>
                      <w:pPr>
                        <w:ind w:left="0" w:leftChars="0" w:firstLine="420" w:firstLineChars="200"/>
                        <w:rPr>
                          <w:rFonts w:hint="eastAsia"/>
                          <w:color w:val="auto"/>
                          <w:sz w:val="21"/>
                          <w:szCs w:val="21"/>
                          <w:lang w:val="en-US" w:eastAsia="zh-CN"/>
                        </w:rPr>
                      </w:pPr>
                      <w:r>
                        <w:rPr>
                          <w:rFonts w:hint="eastAsia"/>
                          <w:color w:val="auto"/>
                          <w:sz w:val="21"/>
                          <w:szCs w:val="21"/>
                          <w:lang w:val="en-US" w:eastAsia="zh-CN"/>
                        </w:rPr>
                        <w:t>塔峰镇防火巡护道路</w:t>
                      </w:r>
                    </w:p>
                    <w:p>
                      <w:pPr>
                        <w:ind w:left="0" w:leftChars="0" w:firstLine="420" w:firstLineChars="200"/>
                        <w:rPr>
                          <w:rFonts w:hint="eastAsia"/>
                          <w:color w:val="auto"/>
                          <w:sz w:val="21"/>
                          <w:szCs w:val="21"/>
                          <w:lang w:val="en-US" w:eastAsia="zh-CN"/>
                        </w:rPr>
                      </w:pPr>
                      <w:r>
                        <w:rPr>
                          <w:rFonts w:hint="eastAsia"/>
                          <w:color w:val="auto"/>
                          <w:sz w:val="21"/>
                          <w:szCs w:val="21"/>
                          <w:lang w:val="en-US" w:eastAsia="zh-CN"/>
                        </w:rPr>
                        <w:t>汇源瑶族乡防火巡护道路</w:t>
                      </w:r>
                    </w:p>
                    <w:p>
                      <w:pPr>
                        <w:pStyle w:val="74"/>
                        <w:ind w:left="0" w:leftChars="0" w:firstLine="420" w:firstLineChars="200"/>
                        <w:rPr>
                          <w:rFonts w:hint="eastAsia"/>
                          <w:color w:val="auto"/>
                          <w:sz w:val="21"/>
                          <w:szCs w:val="21"/>
                        </w:rPr>
                      </w:pPr>
                      <w:r>
                        <w:rPr>
                          <w:rFonts w:hint="eastAsia"/>
                          <w:color w:val="auto"/>
                          <w:sz w:val="21"/>
                          <w:szCs w:val="21"/>
                          <w:lang w:val="en-US" w:eastAsia="zh-CN"/>
                        </w:rPr>
                        <w:t>所城镇</w:t>
                      </w:r>
                      <w:r>
                        <w:rPr>
                          <w:rFonts w:hint="eastAsia"/>
                          <w:color w:val="auto"/>
                          <w:sz w:val="21"/>
                          <w:szCs w:val="21"/>
                        </w:rPr>
                        <w:t>防火巡护道路</w:t>
                      </w:r>
                    </w:p>
                    <w:p>
                      <w:pPr>
                        <w:rPr>
                          <w:rFonts w:hint="default" w:eastAsia="宋体"/>
                          <w:sz w:val="21"/>
                          <w:szCs w:val="16"/>
                          <w:lang w:val="en-US" w:eastAsia="zh-CN"/>
                        </w:rPr>
                      </w:pPr>
                      <w:r>
                        <w:rPr>
                          <w:rFonts w:hint="eastAsia"/>
                          <w:sz w:val="21"/>
                          <w:szCs w:val="16"/>
                          <w:lang w:val="en-US" w:eastAsia="zh-CN"/>
                        </w:rPr>
                        <w:t>场内道路</w:t>
                      </w:r>
                    </w:p>
                  </w:txbxContent>
                </v:textbox>
              </v:shape>
            </w:pict>
          </mc:Fallback>
        </mc:AlternateContent>
      </w:r>
      <w:r>
        <w:drawing>
          <wp:inline distT="0" distB="0" distL="114300" distR="114300">
            <wp:extent cx="5754370" cy="5637530"/>
            <wp:effectExtent l="0" t="0" r="17780" b="1270"/>
            <wp:docPr id="5"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true"/>
                    </pic:cNvPicPr>
                  </pic:nvPicPr>
                  <pic:blipFill>
                    <a:blip r:embed="rId33"/>
                    <a:stretch>
                      <a:fillRect/>
                    </a:stretch>
                  </pic:blipFill>
                  <pic:spPr>
                    <a:xfrm>
                      <a:off x="0" y="0"/>
                      <a:ext cx="5754370" cy="5637530"/>
                    </a:xfrm>
                    <a:prstGeom prst="rect">
                      <a:avLst/>
                    </a:prstGeom>
                    <a:noFill/>
                    <a:ln>
                      <a:noFill/>
                    </a:ln>
                  </pic:spPr>
                </pic:pic>
              </a:graphicData>
            </a:graphic>
          </wp:inline>
        </w:drawing>
      </w:r>
    </w:p>
    <w:p>
      <w:pPr>
        <w:jc w:val="center"/>
        <w:rPr>
          <w:rFonts w:hint="default"/>
          <w:sz w:val="21"/>
          <w:szCs w:val="21"/>
          <w:u w:val="none" w:color="auto"/>
        </w:rPr>
      </w:pPr>
      <w:r>
        <w:rPr>
          <w:rFonts w:hint="default" w:ascii="Times New Roman" w:hAnsi="Times New Roman" w:cs="Times New Roman"/>
          <w:b/>
          <w:bCs/>
          <w:sz w:val="21"/>
          <w:szCs w:val="24"/>
          <w:u w:val="none" w:color="auto"/>
        </w:rPr>
        <w:t>图</w:t>
      </w:r>
      <w:r>
        <w:rPr>
          <w:rFonts w:hint="eastAsia" w:ascii="Times New Roman" w:hAnsi="Times New Roman" w:cs="Times New Roman"/>
          <w:b/>
          <w:bCs/>
          <w:sz w:val="21"/>
          <w:szCs w:val="24"/>
          <w:u w:val="none" w:color="auto"/>
          <w:lang w:val="en-US" w:eastAsia="zh-CN"/>
        </w:rPr>
        <w:t>2</w:t>
      </w:r>
      <w:r>
        <w:rPr>
          <w:rFonts w:hint="eastAsia" w:cs="Times New Roman"/>
          <w:b/>
          <w:bCs/>
          <w:sz w:val="21"/>
          <w:szCs w:val="24"/>
          <w:u w:val="none" w:color="auto"/>
          <w:lang w:val="en-US" w:eastAsia="zh-CN"/>
        </w:rPr>
        <w:t>-2</w:t>
      </w:r>
      <w:r>
        <w:rPr>
          <w:rFonts w:hint="default" w:ascii="Times New Roman" w:hAnsi="Times New Roman" w:cs="Times New Roman"/>
          <w:b/>
          <w:bCs/>
          <w:sz w:val="21"/>
          <w:szCs w:val="24"/>
          <w:u w:val="none" w:color="auto"/>
        </w:rPr>
        <w:t>风电场进场道路示意图</w:t>
      </w:r>
    </w:p>
    <w:p>
      <w:pPr>
        <w:bidi w:val="0"/>
        <w:rPr>
          <w:rFonts w:hint="default"/>
        </w:rPr>
      </w:pPr>
      <w:r>
        <w:rPr>
          <w:rFonts w:hint="default"/>
        </w:rPr>
        <w:t>（2）场内</w:t>
      </w:r>
      <w:r>
        <w:rPr>
          <w:rFonts w:hint="default"/>
          <w:lang w:eastAsia="zh-CN"/>
        </w:rPr>
        <w:t>道路</w:t>
      </w:r>
    </w:p>
    <w:p>
      <w:pPr>
        <w:bidi w:val="0"/>
        <w:rPr>
          <w:rFonts w:hint="default" w:ascii="Times New Roman" w:hAnsi="Times New Roman" w:cs="Times New Roman"/>
        </w:rPr>
      </w:pPr>
      <w:r>
        <w:rPr>
          <w:rFonts w:hint="eastAsia"/>
          <w:color w:val="auto"/>
          <w:szCs w:val="21"/>
        </w:rPr>
        <w:t>本次新建场内道路总长约</w:t>
      </w:r>
      <w:r>
        <w:rPr>
          <w:rFonts w:hint="eastAsia"/>
          <w:color w:val="auto"/>
          <w:szCs w:val="21"/>
          <w:lang w:val="en-US" w:eastAsia="zh-CN"/>
        </w:rPr>
        <w:t>22.5</w:t>
      </w:r>
      <w:r>
        <w:rPr>
          <w:rFonts w:hint="eastAsia"/>
          <w:color w:val="auto"/>
          <w:szCs w:val="21"/>
        </w:rPr>
        <w:t>km</w:t>
      </w:r>
      <w:r>
        <w:rPr>
          <w:rFonts w:hint="eastAsia"/>
          <w:color w:val="auto"/>
          <w:szCs w:val="21"/>
          <w:lang w:eastAsia="zh-CN"/>
        </w:rPr>
        <w:t>，</w:t>
      </w:r>
      <w:r>
        <w:rPr>
          <w:rFonts w:hint="default" w:ascii="Times New Roman" w:hAnsi="Times New Roman" w:cs="Times New Roman"/>
        </w:rPr>
        <w:t>新建道路路基宽6m，路面宽4.5m，采用20cm厚山皮石路面结构。主干道纵坡控制在14%以内(特殊段适当增加1%~2%)，风机支路控制在 16%以内(特殊段适当增加 1%~2%)，并进行局部路面硬化处理。 截排水沟及边沟采用M7.5 浆砌片石水沟，跨沟排水设施采用 ф1.0m 单孔或双孔圆管涵，路基局部采用 M7.5 浆砌石路肩墙或护脚墙。</w:t>
      </w:r>
    </w:p>
    <w:p>
      <w:pPr>
        <w:pStyle w:val="458"/>
        <w:ind w:firstLine="60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集电线路</w:t>
      </w:r>
    </w:p>
    <w:p>
      <w:pPr>
        <w:bidi w:val="0"/>
        <w:rPr>
          <w:rFonts w:hint="default"/>
        </w:rPr>
      </w:pPr>
      <w:r>
        <w:rPr>
          <w:rFonts w:hint="default"/>
        </w:rPr>
        <w:t>本工程集电线路电压等级为35</w:t>
      </w:r>
      <w:r>
        <w:rPr>
          <w:rFonts w:hint="eastAsia"/>
          <w:lang w:eastAsia="zh-CN"/>
        </w:rPr>
        <w:t>kV</w:t>
      </w:r>
      <w:r>
        <w:rPr>
          <w:rFonts w:hint="default"/>
        </w:rPr>
        <w:t>，采用直埋电缆，电缆沟长度 26.7km，直埋电缆开槽底宽 0.8m，深1m，按 1 :0.5开挖边坡，基础开挖完成后，应将槽底清理干净并夯实，敷设电缆的上下侧各铺 100mm细砂，并在电缆上侧做盖砖保护。</w:t>
      </w:r>
    </w:p>
    <w:p>
      <w:pPr>
        <w:bidi w:val="0"/>
        <w:rPr>
          <w:rFonts w:hint="eastAsia"/>
          <w:lang w:eastAsia="zh-CN"/>
        </w:rPr>
      </w:pPr>
      <w:r>
        <w:rPr>
          <w:rFonts w:hint="default"/>
        </w:rPr>
        <w:t>风电场共选用15台35/1.14</w:t>
      </w:r>
      <w:r>
        <w:rPr>
          <w:rFonts w:hint="eastAsia"/>
          <w:lang w:eastAsia="zh-CN"/>
        </w:rPr>
        <w:t>kV</w:t>
      </w:r>
      <w:r>
        <w:rPr>
          <w:rFonts w:hint="default"/>
        </w:rPr>
        <w:t>容量为5500</w:t>
      </w:r>
      <w:r>
        <w:rPr>
          <w:rFonts w:hint="eastAsia"/>
          <w:lang w:eastAsia="zh-CN"/>
        </w:rPr>
        <w:t>kV</w:t>
      </w:r>
      <w:r>
        <w:rPr>
          <w:rFonts w:hint="default"/>
        </w:rPr>
        <w:t>A的箱式变压器，箱式变压器高压35</w:t>
      </w:r>
      <w:r>
        <w:rPr>
          <w:rFonts w:hint="eastAsia"/>
          <w:lang w:eastAsia="zh-CN"/>
        </w:rPr>
        <w:t>kV</w:t>
      </w:r>
      <w:r>
        <w:rPr>
          <w:rFonts w:hint="default"/>
        </w:rPr>
        <w:t>侧均采用并联接线方式。本风电场以4回集电线路接至220</w:t>
      </w:r>
      <w:r>
        <w:rPr>
          <w:rFonts w:hint="eastAsia"/>
          <w:lang w:eastAsia="zh-CN"/>
        </w:rPr>
        <w:t>kV</w:t>
      </w:r>
      <w:r>
        <w:rPr>
          <w:rFonts w:hint="default"/>
        </w:rPr>
        <w:t>汇集站1#主变35</w:t>
      </w:r>
      <w:r>
        <w:rPr>
          <w:rFonts w:hint="eastAsia"/>
          <w:lang w:eastAsia="zh-CN"/>
        </w:rPr>
        <w:t>kV</w:t>
      </w:r>
      <w:r>
        <w:rPr>
          <w:rFonts w:hint="default"/>
        </w:rPr>
        <w:t>母线侧</w:t>
      </w:r>
      <w:r>
        <w:rPr>
          <w:rFonts w:hint="eastAsia"/>
          <w:lang w:eastAsia="zh-CN"/>
        </w:rPr>
        <w:t>。</w:t>
      </w:r>
      <w:r>
        <w:rPr>
          <w:rFonts w:hint="default"/>
        </w:rPr>
        <w:t>4回</w:t>
      </w:r>
      <w:r>
        <w:rPr>
          <w:rFonts w:hint="eastAsia"/>
          <w:lang w:val="en-US" w:eastAsia="zh-CN"/>
        </w:rPr>
        <w:t>集电线路</w:t>
      </w:r>
      <w:r>
        <w:rPr>
          <w:rFonts w:hint="eastAsia"/>
          <w:lang w:eastAsia="zh-CN"/>
        </w:rPr>
        <w:t>具体分组情况如下：</w:t>
      </w:r>
    </w:p>
    <w:p>
      <w:pPr>
        <w:bidi w:val="0"/>
        <w:rPr>
          <w:rFonts w:hint="eastAsia"/>
          <w:lang w:eastAsia="zh-CN"/>
        </w:rPr>
      </w:pPr>
      <w:r>
        <w:rPr>
          <w:rFonts w:hint="eastAsia"/>
          <w:lang w:eastAsia="zh-CN"/>
        </w:rPr>
        <w:t>第一组4台：L1、L2、L3、L4</w:t>
      </w:r>
    </w:p>
    <w:p>
      <w:pPr>
        <w:bidi w:val="0"/>
        <w:rPr>
          <w:rFonts w:hint="eastAsia"/>
          <w:lang w:eastAsia="zh-CN"/>
        </w:rPr>
      </w:pPr>
      <w:r>
        <w:rPr>
          <w:rFonts w:hint="eastAsia"/>
          <w:lang w:eastAsia="zh-CN"/>
        </w:rPr>
        <w:t>第二组4台：L5、L6、L7、L8</w:t>
      </w:r>
    </w:p>
    <w:p>
      <w:pPr>
        <w:bidi w:val="0"/>
        <w:rPr>
          <w:rFonts w:hint="eastAsia"/>
          <w:lang w:eastAsia="zh-CN"/>
        </w:rPr>
      </w:pPr>
      <w:r>
        <w:rPr>
          <w:rFonts w:hint="eastAsia"/>
          <w:lang w:eastAsia="zh-CN"/>
        </w:rPr>
        <w:t>第三组4台：L9、L10、L11、L12</w:t>
      </w:r>
    </w:p>
    <w:p>
      <w:pPr>
        <w:bidi w:val="0"/>
        <w:rPr>
          <w:rFonts w:hint="eastAsia" w:eastAsia="宋体"/>
          <w:lang w:eastAsia="zh-CN"/>
        </w:rPr>
      </w:pPr>
      <w:r>
        <w:rPr>
          <w:rFonts w:hint="eastAsia"/>
          <w:lang w:eastAsia="zh-CN"/>
        </w:rPr>
        <w:t>第四组</w:t>
      </w:r>
      <w:r>
        <w:rPr>
          <w:rFonts w:hint="eastAsia"/>
          <w:lang w:val="en-US" w:eastAsia="zh-CN"/>
        </w:rPr>
        <w:t>3</w:t>
      </w:r>
      <w:r>
        <w:rPr>
          <w:rFonts w:hint="eastAsia"/>
          <w:lang w:eastAsia="zh-CN"/>
        </w:rPr>
        <w:t>台：L13、L14、L15</w:t>
      </w:r>
    </w:p>
    <w:p>
      <w:pPr>
        <w:pStyle w:val="458"/>
        <w:ind w:firstLine="60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施工总布置</w:t>
      </w:r>
    </w:p>
    <w:p>
      <w:pPr>
        <w:keepNext/>
        <w:keepLines/>
        <w:pageBreakBefore w:val="0"/>
        <w:widowControl w:val="0"/>
        <w:kinsoku/>
        <w:wordWrap/>
        <w:overflowPunct/>
        <w:topLinePunct w:val="0"/>
        <w:autoSpaceDE/>
        <w:autoSpaceDN/>
        <w:bidi w:val="0"/>
        <w:adjustRightInd/>
        <w:snapToGrid/>
        <w:spacing w:before="0" w:beforeLines="0" w:after="0" w:afterLines="0" w:line="360" w:lineRule="auto"/>
        <w:textAlignment w:val="auto"/>
        <w:outlineLvl w:val="9"/>
        <w:rPr>
          <w:rFonts w:hint="default" w:ascii="Times New Roman" w:hAnsi="Times New Roman" w:eastAsia="宋体" w:cs="Times New Roman"/>
          <w:b/>
          <w:bCs/>
          <w:sz w:val="24"/>
          <w:szCs w:val="24"/>
          <w:u w:val="none" w:color="auto"/>
          <w:lang w:val="en-US" w:eastAsia="zh-CN"/>
        </w:rPr>
      </w:pPr>
      <w:r>
        <w:rPr>
          <w:rFonts w:hint="eastAsia" w:cs="Times New Roman"/>
          <w:b/>
          <w:bCs/>
          <w:sz w:val="24"/>
          <w:szCs w:val="24"/>
          <w:u w:val="none" w:color="auto"/>
          <w:lang w:val="en-US" w:eastAsia="zh-CN"/>
        </w:rPr>
        <w:t>1、</w:t>
      </w:r>
      <w:r>
        <w:rPr>
          <w:rFonts w:hint="default" w:ascii="Times New Roman" w:hAnsi="Times New Roman" w:eastAsia="宋体" w:cs="Times New Roman"/>
          <w:b/>
          <w:bCs/>
          <w:sz w:val="24"/>
          <w:szCs w:val="24"/>
          <w:u w:val="none" w:color="auto"/>
          <w:lang w:val="en-US" w:eastAsia="zh-CN"/>
        </w:rPr>
        <w:t>场区施工条件及水、电供应条件</w:t>
      </w:r>
    </w:p>
    <w:p>
      <w:pPr>
        <w:bidi w:val="0"/>
        <w:rPr>
          <w:rFonts w:hint="default"/>
          <w:lang w:eastAsia="zh-CN"/>
        </w:rPr>
      </w:pPr>
      <w:r>
        <w:rPr>
          <w:rFonts w:hint="eastAsia"/>
          <w:lang w:eastAsia="zh-CN"/>
        </w:rPr>
        <w:t>（</w:t>
      </w:r>
      <w:r>
        <w:rPr>
          <w:rFonts w:hint="eastAsia"/>
          <w:lang w:val="en-US" w:eastAsia="zh-CN"/>
        </w:rPr>
        <w:t>1</w:t>
      </w:r>
      <w:r>
        <w:rPr>
          <w:rFonts w:hint="eastAsia"/>
          <w:lang w:eastAsia="zh-CN"/>
        </w:rPr>
        <w:t>）</w:t>
      </w:r>
      <w:r>
        <w:rPr>
          <w:rFonts w:hint="default"/>
          <w:lang w:eastAsia="zh-CN"/>
        </w:rPr>
        <w:t>施工材料：本工程所需的砂石料、砖砌体、水泥、钢材、木材等从</w:t>
      </w:r>
      <w:r>
        <w:rPr>
          <w:rFonts w:hint="eastAsia"/>
          <w:lang w:eastAsia="zh-CN"/>
        </w:rPr>
        <w:t>蓝山</w:t>
      </w:r>
      <w:r>
        <w:rPr>
          <w:rFonts w:hint="default"/>
          <w:lang w:eastAsia="zh-CN"/>
        </w:rPr>
        <w:t>县采购。其中防护工程建设所需石料，充分利用工程开挖的石料，减少弃渣和工程投资。</w:t>
      </w:r>
    </w:p>
    <w:p>
      <w:pPr>
        <w:bidi w:val="0"/>
        <w:rPr>
          <w:rFonts w:hint="default"/>
          <w:lang w:eastAsia="zh-CN"/>
        </w:rPr>
      </w:pPr>
      <w:r>
        <w:rPr>
          <w:rFonts w:hint="eastAsia"/>
          <w:lang w:eastAsia="zh-CN"/>
        </w:rPr>
        <w:t>（</w:t>
      </w:r>
      <w:r>
        <w:rPr>
          <w:rFonts w:hint="eastAsia"/>
          <w:lang w:val="en-US" w:eastAsia="zh-CN"/>
        </w:rPr>
        <w:t>2</w:t>
      </w:r>
      <w:r>
        <w:rPr>
          <w:rFonts w:hint="eastAsia"/>
          <w:lang w:eastAsia="zh-CN"/>
        </w:rPr>
        <w:t>）</w:t>
      </w:r>
      <w:r>
        <w:rPr>
          <w:rFonts w:hint="default"/>
          <w:lang w:eastAsia="zh-CN"/>
        </w:rPr>
        <w:t>施工用水：施工用水</w:t>
      </w:r>
      <w:r>
        <w:rPr>
          <w:rFonts w:hint="eastAsia"/>
          <w:lang w:eastAsia="zh-CN"/>
        </w:rPr>
        <w:t>从附近村庄引水至施工营地，风机用水</w:t>
      </w:r>
      <w:r>
        <w:rPr>
          <w:rFonts w:hint="eastAsia"/>
          <w:lang w:val="en-US" w:eastAsia="zh-CN"/>
        </w:rPr>
        <w:t>通过</w:t>
      </w:r>
      <w:r>
        <w:rPr>
          <w:rFonts w:hint="eastAsia"/>
          <w:lang w:eastAsia="zh-CN"/>
        </w:rPr>
        <w:t>用水车运往各风机用水点，在风机用水点附近设置临时蓄水池</w:t>
      </w:r>
      <w:r>
        <w:rPr>
          <w:rFonts w:hint="default"/>
          <w:lang w:eastAsia="zh-CN"/>
        </w:rPr>
        <w:t>。</w:t>
      </w:r>
    </w:p>
    <w:p>
      <w:pPr>
        <w:bidi w:val="0"/>
        <w:rPr>
          <w:rFonts w:hint="default"/>
          <w:lang w:eastAsia="zh-CN"/>
        </w:rPr>
      </w:pPr>
      <w:r>
        <w:rPr>
          <w:rFonts w:hint="eastAsia"/>
          <w:lang w:eastAsia="zh-CN"/>
        </w:rPr>
        <w:t>（</w:t>
      </w:r>
      <w:r>
        <w:rPr>
          <w:rFonts w:hint="eastAsia"/>
          <w:lang w:val="en-US" w:eastAsia="zh-CN"/>
        </w:rPr>
        <w:t>3</w:t>
      </w:r>
      <w:r>
        <w:rPr>
          <w:rFonts w:hint="eastAsia"/>
          <w:lang w:eastAsia="zh-CN"/>
        </w:rPr>
        <w:t>）</w:t>
      </w:r>
      <w:r>
        <w:rPr>
          <w:rFonts w:hint="default"/>
          <w:lang w:eastAsia="zh-CN"/>
        </w:rPr>
        <w:t>施工供电：施工临时用电考虑从汇集站引接。为适应风电机组分布比较散的特点，施工用电还考虑配备2台50kW 移动式柴油发电机发电，远离汇集站的施工用电由柴油发电机供电。</w:t>
      </w:r>
    </w:p>
    <w:p>
      <w:pPr>
        <w:keepNext/>
        <w:keepLines/>
        <w:pageBreakBefore w:val="0"/>
        <w:widowControl w:val="0"/>
        <w:kinsoku/>
        <w:wordWrap/>
        <w:overflowPunct/>
        <w:topLinePunct w:val="0"/>
        <w:autoSpaceDE/>
        <w:autoSpaceDN/>
        <w:bidi w:val="0"/>
        <w:adjustRightInd/>
        <w:snapToGrid/>
        <w:spacing w:before="0" w:beforeLines="0" w:after="0" w:afterLines="0" w:line="360" w:lineRule="auto"/>
        <w:textAlignment w:val="auto"/>
        <w:outlineLvl w:val="9"/>
        <w:rPr>
          <w:rFonts w:hint="default" w:ascii="Times New Roman" w:hAnsi="Times New Roman" w:eastAsia="宋体" w:cs="Times New Roman"/>
          <w:b/>
          <w:bCs/>
          <w:sz w:val="24"/>
          <w:szCs w:val="24"/>
          <w:u w:val="none" w:color="auto"/>
          <w:lang w:val="en-US" w:eastAsia="zh-CN"/>
        </w:rPr>
      </w:pPr>
      <w:r>
        <w:rPr>
          <w:rFonts w:hint="eastAsia" w:cs="Times New Roman"/>
          <w:b/>
          <w:bCs/>
          <w:sz w:val="24"/>
          <w:szCs w:val="24"/>
          <w:u w:val="none" w:color="auto"/>
          <w:lang w:val="en-US" w:eastAsia="zh-CN"/>
        </w:rPr>
        <w:t>2、</w:t>
      </w:r>
      <w:r>
        <w:rPr>
          <w:rFonts w:hint="default" w:ascii="Times New Roman" w:hAnsi="Times New Roman" w:eastAsia="宋体" w:cs="Times New Roman"/>
          <w:b/>
          <w:bCs/>
          <w:sz w:val="24"/>
          <w:szCs w:val="24"/>
          <w:u w:val="none" w:color="auto"/>
          <w:lang w:val="en-US" w:eastAsia="zh-CN"/>
        </w:rPr>
        <w:t>施工布置</w:t>
      </w:r>
    </w:p>
    <w:p>
      <w:pPr>
        <w:bidi w:val="0"/>
        <w:rPr>
          <w:rFonts w:hint="default"/>
        </w:rPr>
      </w:pPr>
      <w:r>
        <w:rPr>
          <w:rFonts w:hint="eastAsia"/>
        </w:rPr>
        <w:t>施工</w:t>
      </w:r>
      <w:r>
        <w:rPr>
          <w:rFonts w:hint="default"/>
        </w:rPr>
        <w:t>营地</w:t>
      </w:r>
      <w:r>
        <w:rPr>
          <w:rFonts w:hint="eastAsia"/>
        </w:rPr>
        <w:t>位置未发生变化，位于</w:t>
      </w:r>
      <w:r>
        <w:rPr>
          <w:rFonts w:hint="eastAsia"/>
          <w:lang w:val="en-US" w:eastAsia="zh-CN"/>
        </w:rPr>
        <w:t>汇集站</w:t>
      </w:r>
      <w:r>
        <w:rPr>
          <w:rFonts w:hint="eastAsia"/>
        </w:rPr>
        <w:t>附近</w:t>
      </w:r>
      <w:r>
        <w:rPr>
          <w:rFonts w:hint="default"/>
        </w:rPr>
        <w:t>。施工营地包括混凝土系统及砂石料堆场、综合加工厂、综合仓库、机械停放场、临时生活、办公区等。</w:t>
      </w:r>
    </w:p>
    <w:p>
      <w:pPr>
        <w:spacing w:line="360" w:lineRule="auto"/>
        <w:ind w:firstLine="480" w:firstLineChars="200"/>
        <w:rPr>
          <w:rFonts w:hint="eastAsia"/>
          <w:color w:val="auto"/>
          <w:szCs w:val="21"/>
        </w:rPr>
      </w:pPr>
      <w:r>
        <w:rPr>
          <w:rFonts w:hint="eastAsia"/>
          <w:color w:val="auto"/>
          <w:szCs w:val="21"/>
          <w:lang w:eastAsia="zh-CN"/>
        </w:rPr>
        <w:t>（</w:t>
      </w:r>
      <w:r>
        <w:rPr>
          <w:rFonts w:hint="eastAsia"/>
          <w:color w:val="auto"/>
          <w:szCs w:val="21"/>
          <w:lang w:val="en-US" w:eastAsia="zh-CN"/>
        </w:rPr>
        <w:t>1</w:t>
      </w:r>
      <w:r>
        <w:rPr>
          <w:rFonts w:hint="eastAsia"/>
          <w:color w:val="auto"/>
          <w:szCs w:val="21"/>
          <w:lang w:eastAsia="zh-CN"/>
        </w:rPr>
        <w:t>）</w:t>
      </w:r>
      <w:r>
        <w:rPr>
          <w:rFonts w:hint="eastAsia"/>
          <w:color w:val="auto"/>
          <w:szCs w:val="21"/>
        </w:rPr>
        <w:t>施工管理及生活区：根据施工总进度安排，本工程施工期的平均人数为60人，高峰人数为100人。施工临时生活办公区布置在</w:t>
      </w:r>
      <w:r>
        <w:rPr>
          <w:rFonts w:hint="eastAsia"/>
          <w:lang w:val="en-US" w:eastAsia="zh-CN"/>
        </w:rPr>
        <w:t>汇集站</w:t>
      </w:r>
      <w:r>
        <w:rPr>
          <w:rFonts w:hint="eastAsia"/>
          <w:color w:val="auto"/>
          <w:szCs w:val="21"/>
        </w:rPr>
        <w:t>附近，该处场地交通便利。</w:t>
      </w:r>
    </w:p>
    <w:p>
      <w:pPr>
        <w:spacing w:line="360" w:lineRule="auto"/>
        <w:ind w:firstLine="480" w:firstLineChars="200"/>
        <w:rPr>
          <w:rFonts w:hint="eastAsia"/>
          <w:color w:val="auto"/>
          <w:szCs w:val="21"/>
        </w:rPr>
      </w:pPr>
      <w:r>
        <w:rPr>
          <w:rFonts w:hint="eastAsia"/>
          <w:color w:val="auto"/>
          <w:szCs w:val="21"/>
          <w:lang w:eastAsia="zh-CN"/>
        </w:rPr>
        <w:t>（</w:t>
      </w:r>
      <w:r>
        <w:rPr>
          <w:rFonts w:hint="eastAsia"/>
          <w:color w:val="auto"/>
          <w:szCs w:val="21"/>
          <w:lang w:val="en-US" w:eastAsia="zh-CN"/>
        </w:rPr>
        <w:t>2</w:t>
      </w:r>
      <w:r>
        <w:rPr>
          <w:rFonts w:hint="eastAsia"/>
          <w:color w:val="auto"/>
          <w:szCs w:val="21"/>
          <w:lang w:eastAsia="zh-CN"/>
        </w:rPr>
        <w:t>）</w:t>
      </w:r>
      <w:r>
        <w:rPr>
          <w:rFonts w:hint="eastAsia"/>
          <w:color w:val="auto"/>
          <w:szCs w:val="21"/>
        </w:rPr>
        <w:t>施工工厂布置：根据风电场场址附近的地势条件，初步考虑按集中与分散相结合的原则，把施工工厂和仓库等设施和建筑布置在</w:t>
      </w:r>
      <w:r>
        <w:rPr>
          <w:rFonts w:hint="eastAsia"/>
          <w:lang w:val="en-US" w:eastAsia="zh-CN"/>
        </w:rPr>
        <w:t>汇集站</w:t>
      </w:r>
      <w:r>
        <w:rPr>
          <w:rFonts w:hint="eastAsia"/>
          <w:color w:val="auto"/>
          <w:szCs w:val="21"/>
        </w:rPr>
        <w:t>附近，场区内主要布置辅助加工厂、材料设备仓库、临时房屋等。</w:t>
      </w:r>
    </w:p>
    <w:p>
      <w:pPr>
        <w:spacing w:line="360" w:lineRule="auto"/>
        <w:ind w:firstLine="480" w:firstLineChars="200"/>
        <w:rPr>
          <w:rFonts w:hint="eastAsia"/>
          <w:color w:val="auto"/>
          <w:szCs w:val="21"/>
        </w:rPr>
      </w:pPr>
      <w:r>
        <w:rPr>
          <w:rFonts w:hint="eastAsia"/>
          <w:color w:val="auto"/>
          <w:szCs w:val="21"/>
          <w:lang w:val="en-US" w:eastAsia="zh-CN"/>
        </w:rPr>
        <w:t>1）</w:t>
      </w:r>
      <w:r>
        <w:rPr>
          <w:rFonts w:hint="eastAsia"/>
          <w:color w:val="auto"/>
          <w:szCs w:val="21"/>
        </w:rPr>
        <w:t>混凝土拌和</w:t>
      </w:r>
      <w:r>
        <w:rPr>
          <w:rFonts w:hint="eastAsia"/>
          <w:color w:val="auto"/>
          <w:szCs w:val="21"/>
          <w:lang w:val="en-US" w:eastAsia="zh-CN"/>
        </w:rPr>
        <w:t>系统</w:t>
      </w:r>
      <w:r>
        <w:rPr>
          <w:rFonts w:hint="eastAsia"/>
          <w:color w:val="auto"/>
          <w:szCs w:val="21"/>
        </w:rPr>
        <w:t>：本工程混凝土总量约1.35万m</w:t>
      </w:r>
      <w:r>
        <w:rPr>
          <w:rFonts w:hint="eastAsia"/>
          <w:color w:val="auto"/>
          <w:szCs w:val="21"/>
          <w:vertAlign w:val="superscript"/>
        </w:rPr>
        <w:t>3</w:t>
      </w:r>
      <w:r>
        <w:rPr>
          <w:rFonts w:hint="eastAsia"/>
          <w:color w:val="auto"/>
          <w:szCs w:val="21"/>
        </w:rPr>
        <w:t>，单台风机基础混凝土浇筑量为831.7m</w:t>
      </w:r>
      <w:r>
        <w:rPr>
          <w:rFonts w:hint="eastAsia"/>
          <w:color w:val="auto"/>
          <w:szCs w:val="21"/>
          <w:vertAlign w:val="superscript"/>
        </w:rPr>
        <w:t>3</w:t>
      </w:r>
      <w:r>
        <w:rPr>
          <w:rFonts w:hint="eastAsia"/>
          <w:color w:val="auto"/>
          <w:szCs w:val="21"/>
        </w:rPr>
        <w:t>。混凝土系统的生产能力受控于风机承台混凝土浇筑的仓面面积，并考虑混凝土初凝时间的影响，单台风机基础混凝土在12小时内一次连续浇筑完成。混凝土平均浇筑强度为70m</w:t>
      </w:r>
      <w:r>
        <w:rPr>
          <w:rFonts w:hint="eastAsia"/>
          <w:color w:val="auto"/>
          <w:szCs w:val="21"/>
          <w:vertAlign w:val="superscript"/>
        </w:rPr>
        <w:t>3</w:t>
      </w:r>
      <w:r>
        <w:rPr>
          <w:rFonts w:hint="eastAsia"/>
          <w:color w:val="auto"/>
          <w:szCs w:val="21"/>
        </w:rPr>
        <w:t>/h。</w:t>
      </w:r>
    </w:p>
    <w:p>
      <w:pPr>
        <w:spacing w:line="360" w:lineRule="auto"/>
        <w:ind w:firstLine="480" w:firstLineChars="200"/>
        <w:rPr>
          <w:rFonts w:hint="eastAsia"/>
          <w:color w:val="auto"/>
          <w:szCs w:val="21"/>
        </w:rPr>
      </w:pPr>
      <w:r>
        <w:rPr>
          <w:rFonts w:hint="eastAsia"/>
          <w:color w:val="auto"/>
          <w:szCs w:val="21"/>
        </w:rPr>
        <w:t>本工程采用商品混凝土，不设置现场混凝土搅拌站。</w:t>
      </w:r>
    </w:p>
    <w:p>
      <w:pPr>
        <w:spacing w:line="360" w:lineRule="auto"/>
        <w:ind w:firstLine="480" w:firstLineChars="200"/>
        <w:rPr>
          <w:rFonts w:hint="eastAsia"/>
          <w:color w:val="auto"/>
          <w:szCs w:val="21"/>
        </w:rPr>
      </w:pPr>
      <w:r>
        <w:rPr>
          <w:rFonts w:hint="eastAsia"/>
          <w:color w:val="auto"/>
          <w:szCs w:val="21"/>
        </w:rPr>
        <w:t>2)  砂石料堆场</w:t>
      </w:r>
    </w:p>
    <w:p>
      <w:pPr>
        <w:spacing w:line="360" w:lineRule="auto"/>
        <w:ind w:firstLine="480" w:firstLineChars="200"/>
        <w:rPr>
          <w:rFonts w:hint="eastAsia"/>
          <w:color w:val="auto"/>
          <w:szCs w:val="21"/>
        </w:rPr>
      </w:pPr>
      <w:r>
        <w:rPr>
          <w:rFonts w:hint="eastAsia"/>
          <w:color w:val="auto"/>
          <w:szCs w:val="21"/>
        </w:rPr>
        <w:t>砂石料从附近砂石料场采购，本工程不设砂石料加工系统，仅设砂石料堆场。</w:t>
      </w:r>
    </w:p>
    <w:p>
      <w:pPr>
        <w:spacing w:line="360" w:lineRule="auto"/>
        <w:ind w:firstLine="480" w:firstLineChars="200"/>
        <w:rPr>
          <w:rFonts w:hint="eastAsia"/>
          <w:color w:val="auto"/>
          <w:szCs w:val="21"/>
        </w:rPr>
      </w:pPr>
      <w:r>
        <w:rPr>
          <w:rFonts w:hint="eastAsia"/>
          <w:color w:val="auto"/>
          <w:szCs w:val="21"/>
        </w:rPr>
        <w:t>砂石料按混凝土高峰期5天砂石骨料用量堆存，堆高4m～5m。砂石料堆场采用100mm厚C15砼地坪，下设100mm厚碎石垫层，砂石料场设0.5%排水坡度，坡向排水沟。</w:t>
      </w:r>
    </w:p>
    <w:p>
      <w:pPr>
        <w:spacing w:line="360" w:lineRule="auto"/>
        <w:ind w:firstLine="480" w:firstLineChars="200"/>
        <w:rPr>
          <w:rFonts w:hint="eastAsia"/>
          <w:color w:val="auto"/>
          <w:szCs w:val="21"/>
        </w:rPr>
      </w:pPr>
      <w:r>
        <w:rPr>
          <w:rFonts w:hint="eastAsia"/>
          <w:color w:val="auto"/>
          <w:szCs w:val="21"/>
          <w:lang w:val="en-US" w:eastAsia="zh-CN"/>
        </w:rPr>
        <w:t>3）</w:t>
      </w:r>
      <w:r>
        <w:rPr>
          <w:rFonts w:hint="eastAsia"/>
          <w:color w:val="auto"/>
          <w:szCs w:val="21"/>
        </w:rPr>
        <w:t>机械修配及综合加工厂：本工程距蓝山县城区较近，部分辅助企业充分利用当地的资源。由于混凝土预制件采取在当地采购的方式，现场不再另外设置混凝土预制件厂，仅设置机械修配厂及综合加工系统(包括钢筋加工厂、木材加工厂)。</w:t>
      </w:r>
    </w:p>
    <w:p>
      <w:pPr>
        <w:spacing w:line="360" w:lineRule="auto"/>
        <w:ind w:firstLine="480" w:firstLineChars="200"/>
        <w:rPr>
          <w:rFonts w:hint="eastAsia"/>
          <w:color w:val="auto"/>
          <w:szCs w:val="21"/>
        </w:rPr>
      </w:pPr>
      <w:r>
        <w:rPr>
          <w:rFonts w:hint="eastAsia"/>
          <w:color w:val="auto"/>
          <w:szCs w:val="21"/>
        </w:rPr>
        <w:t>机械修配场主要承担施工机械的小修及简单零件和金属构件的加工任务，大中修理则由蓝山县相关企业承担。</w:t>
      </w:r>
    </w:p>
    <w:p>
      <w:pPr>
        <w:bidi w:val="0"/>
        <w:rPr>
          <w:rFonts w:hint="default"/>
        </w:rPr>
      </w:pPr>
      <w:r>
        <w:rPr>
          <w:rFonts w:hint="eastAsia"/>
          <w:color w:val="auto"/>
          <w:szCs w:val="21"/>
          <w:lang w:val="en-US" w:eastAsia="zh-CN"/>
        </w:rPr>
        <w:t>4）</w:t>
      </w:r>
      <w:r>
        <w:rPr>
          <w:rFonts w:hint="eastAsia"/>
          <w:color w:val="auto"/>
          <w:szCs w:val="21"/>
        </w:rPr>
        <w:t>仓库布置：本工程所需的仓库主要设有水泥库、木材库、钢筋库、综合仓库、机械停放场及设备堆场。综合仓库包括临时的生产、生活用品仓库等。机械停放场考虑20台机械的停放。</w:t>
      </w:r>
    </w:p>
    <w:p>
      <w:pPr>
        <w:bidi w:val="0"/>
        <w:rPr>
          <w:rFonts w:hint="default"/>
        </w:rPr>
      </w:pPr>
      <w:r>
        <w:rPr>
          <w:rFonts w:hint="default"/>
        </w:rPr>
        <w:t>（3）施工临时设施用地</w:t>
      </w:r>
    </w:p>
    <w:p>
      <w:pPr>
        <w:bidi w:val="0"/>
        <w:rPr>
          <w:rFonts w:hint="default"/>
          <w:color w:val="auto"/>
          <w:szCs w:val="21"/>
        </w:rPr>
      </w:pPr>
      <w:r>
        <w:rPr>
          <w:rFonts w:hint="eastAsia"/>
          <w:color w:val="auto"/>
          <w:szCs w:val="21"/>
        </w:rPr>
        <w:t>本工程临时设施建筑面积约1800m</w:t>
      </w:r>
      <w:r>
        <w:rPr>
          <w:rFonts w:hint="eastAsia"/>
          <w:color w:val="auto"/>
          <w:szCs w:val="21"/>
          <w:vertAlign w:val="superscript"/>
        </w:rPr>
        <w:t>2</w:t>
      </w:r>
      <w:r>
        <w:rPr>
          <w:rFonts w:hint="eastAsia"/>
          <w:color w:val="auto"/>
          <w:szCs w:val="21"/>
        </w:rPr>
        <w:t>，占地面积约5400m</w:t>
      </w:r>
      <w:r>
        <w:rPr>
          <w:rFonts w:hint="eastAsia"/>
          <w:color w:val="auto"/>
          <w:szCs w:val="21"/>
          <w:vertAlign w:val="superscript"/>
        </w:rPr>
        <w:t>2</w:t>
      </w:r>
      <w:r>
        <w:rPr>
          <w:rFonts w:hint="eastAsia"/>
          <w:color w:val="auto"/>
          <w:szCs w:val="21"/>
        </w:rPr>
        <w:t>。</w:t>
      </w:r>
    </w:p>
    <w:p>
      <w:pPr>
        <w:pStyle w:val="2289"/>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pPr>
      <w:r>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t>施工临时设施建筑、占地面积一览表</w:t>
      </w:r>
    </w:p>
    <w:tbl>
      <w:tblPr>
        <w:tblStyle w:val="3633"/>
        <w:tblW w:w="8651" w:type="dxa"/>
        <w:tblInd w:w="278"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64"/>
        <w:gridCol w:w="2997"/>
        <w:gridCol w:w="2303"/>
        <w:gridCol w:w="238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91" w:hRule="atLeast"/>
        </w:trPr>
        <w:tc>
          <w:tcPr>
            <w:tcW w:w="964"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序号</w:t>
            </w:r>
          </w:p>
        </w:tc>
        <w:tc>
          <w:tcPr>
            <w:tcW w:w="2997"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项 目 名 称</w:t>
            </w:r>
          </w:p>
        </w:tc>
        <w:tc>
          <w:tcPr>
            <w:tcW w:w="2303"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建筑面积(m</w:t>
            </w:r>
            <w:r>
              <w:rPr>
                <w:rFonts w:hint="default" w:ascii="Times New Roman" w:hAnsi="Times New Roman" w:eastAsia="宋体" w:cs="Times New Roman"/>
                <w:sz w:val="21"/>
                <w:szCs w:val="21"/>
                <w:u w:val="none" w:color="auto"/>
                <w:vertAlign w:val="superscript"/>
              </w:rPr>
              <w:t>2</w:t>
            </w:r>
            <w:r>
              <w:rPr>
                <w:rFonts w:hint="default" w:ascii="Times New Roman" w:hAnsi="Times New Roman" w:eastAsia="宋体" w:cs="Times New Roman"/>
                <w:sz w:val="21"/>
                <w:szCs w:val="21"/>
                <w:u w:val="none" w:color="auto"/>
              </w:rPr>
              <w:t>)</w:t>
            </w:r>
          </w:p>
        </w:tc>
        <w:tc>
          <w:tcPr>
            <w:tcW w:w="2387"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占地面积(m</w:t>
            </w:r>
            <w:r>
              <w:rPr>
                <w:rFonts w:hint="default" w:ascii="Times New Roman" w:hAnsi="Times New Roman" w:eastAsia="宋体" w:cs="Times New Roman"/>
                <w:sz w:val="21"/>
                <w:szCs w:val="21"/>
                <w:u w:val="none" w:color="auto"/>
                <w:vertAlign w:val="superscript"/>
              </w:rPr>
              <w:t>2</w:t>
            </w:r>
            <w:r>
              <w:rPr>
                <w:rFonts w:hint="default" w:ascii="Times New Roman" w:hAnsi="Times New Roman" w:eastAsia="宋体" w:cs="Times New Roman"/>
                <w:sz w:val="21"/>
                <w:szCs w:val="21"/>
                <w:u w:val="none" w:color="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5" w:hRule="atLeast"/>
        </w:trPr>
        <w:tc>
          <w:tcPr>
            <w:tcW w:w="964"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1</w:t>
            </w:r>
          </w:p>
        </w:tc>
        <w:tc>
          <w:tcPr>
            <w:tcW w:w="2997"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混凝土拌合站</w:t>
            </w:r>
          </w:p>
        </w:tc>
        <w:tc>
          <w:tcPr>
            <w:tcW w:w="2303"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100</w:t>
            </w:r>
          </w:p>
        </w:tc>
        <w:tc>
          <w:tcPr>
            <w:tcW w:w="2387"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400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8" w:hRule="atLeast"/>
        </w:trPr>
        <w:tc>
          <w:tcPr>
            <w:tcW w:w="964"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2</w:t>
            </w:r>
          </w:p>
        </w:tc>
        <w:tc>
          <w:tcPr>
            <w:tcW w:w="2997"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砂石料堆场</w:t>
            </w:r>
          </w:p>
        </w:tc>
        <w:tc>
          <w:tcPr>
            <w:tcW w:w="2303"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eastAsia" w:ascii="Times New Roman" w:hAnsi="Times New Roman" w:eastAsia="宋体" w:cs="Times New Roman"/>
                <w:sz w:val="21"/>
                <w:szCs w:val="21"/>
                <w:u w:val="none" w:color="auto"/>
                <w:lang w:val="en-US" w:eastAsia="zh-CN"/>
              </w:rPr>
            </w:pPr>
            <w:r>
              <w:rPr>
                <w:rFonts w:hint="eastAsia" w:eastAsia="宋体" w:cs="Times New Roman"/>
                <w:sz w:val="21"/>
                <w:szCs w:val="21"/>
                <w:u w:val="none" w:color="auto"/>
                <w:lang w:val="en-US" w:eastAsia="zh-CN"/>
              </w:rPr>
              <w:t>0</w:t>
            </w:r>
          </w:p>
        </w:tc>
        <w:tc>
          <w:tcPr>
            <w:tcW w:w="2387"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1000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5" w:hRule="atLeast"/>
        </w:trPr>
        <w:tc>
          <w:tcPr>
            <w:tcW w:w="964"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3</w:t>
            </w:r>
          </w:p>
        </w:tc>
        <w:tc>
          <w:tcPr>
            <w:tcW w:w="2997"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综合加工厂</w:t>
            </w:r>
          </w:p>
        </w:tc>
        <w:tc>
          <w:tcPr>
            <w:tcW w:w="2303"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300</w:t>
            </w:r>
          </w:p>
        </w:tc>
        <w:tc>
          <w:tcPr>
            <w:tcW w:w="2387"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800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5" w:hRule="atLeast"/>
        </w:trPr>
        <w:tc>
          <w:tcPr>
            <w:tcW w:w="964"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4</w:t>
            </w:r>
          </w:p>
        </w:tc>
        <w:tc>
          <w:tcPr>
            <w:tcW w:w="2997"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综合仓库</w:t>
            </w:r>
          </w:p>
        </w:tc>
        <w:tc>
          <w:tcPr>
            <w:tcW w:w="2303"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200</w:t>
            </w:r>
          </w:p>
        </w:tc>
        <w:tc>
          <w:tcPr>
            <w:tcW w:w="2387"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500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8" w:hRule="atLeast"/>
        </w:trPr>
        <w:tc>
          <w:tcPr>
            <w:tcW w:w="964"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5</w:t>
            </w:r>
          </w:p>
        </w:tc>
        <w:tc>
          <w:tcPr>
            <w:tcW w:w="2997"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机械停放场</w:t>
            </w:r>
          </w:p>
        </w:tc>
        <w:tc>
          <w:tcPr>
            <w:tcW w:w="2303"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eastAsia" w:ascii="Times New Roman" w:hAnsi="Times New Roman" w:eastAsia="宋体" w:cs="Times New Roman"/>
                <w:sz w:val="21"/>
                <w:szCs w:val="21"/>
                <w:u w:val="none" w:color="auto"/>
                <w:lang w:val="en-US" w:eastAsia="zh-CN"/>
              </w:rPr>
            </w:pPr>
            <w:r>
              <w:rPr>
                <w:rFonts w:hint="eastAsia" w:eastAsia="宋体" w:cs="Times New Roman"/>
                <w:sz w:val="21"/>
                <w:szCs w:val="21"/>
                <w:u w:val="none" w:color="auto"/>
                <w:lang w:val="en-US" w:eastAsia="zh-CN"/>
              </w:rPr>
              <w:t>0</w:t>
            </w:r>
          </w:p>
        </w:tc>
        <w:tc>
          <w:tcPr>
            <w:tcW w:w="2387"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900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5" w:hRule="atLeast"/>
        </w:trPr>
        <w:tc>
          <w:tcPr>
            <w:tcW w:w="964"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6</w:t>
            </w:r>
          </w:p>
        </w:tc>
        <w:tc>
          <w:tcPr>
            <w:tcW w:w="2997"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临时生活办公区</w:t>
            </w:r>
          </w:p>
        </w:tc>
        <w:tc>
          <w:tcPr>
            <w:tcW w:w="2303"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1200</w:t>
            </w:r>
          </w:p>
        </w:tc>
        <w:tc>
          <w:tcPr>
            <w:tcW w:w="2387"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1800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4" w:hRule="atLeast"/>
        </w:trPr>
        <w:tc>
          <w:tcPr>
            <w:tcW w:w="964"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7</w:t>
            </w:r>
          </w:p>
        </w:tc>
        <w:tc>
          <w:tcPr>
            <w:tcW w:w="2997"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合  计</w:t>
            </w:r>
          </w:p>
        </w:tc>
        <w:tc>
          <w:tcPr>
            <w:tcW w:w="2303"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1800</w:t>
            </w:r>
          </w:p>
        </w:tc>
        <w:tc>
          <w:tcPr>
            <w:tcW w:w="2387" w:type="dxa"/>
            <w:tcBorders>
              <w:tl2br w:val="nil"/>
              <w:tr2bl w:val="nil"/>
            </w:tcBorders>
            <w:vAlign w:val="center"/>
          </w:tcPr>
          <w:p>
            <w:pPr>
              <w:pStyle w:val="3660"/>
              <w:keepNext w:val="0"/>
              <w:keepLines w:val="0"/>
              <w:pageBreakBefore w:val="0"/>
              <w:widowControl w:val="0"/>
              <w:tabs>
                <w:tab w:val="left" w:pos="480"/>
              </w:tabs>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5400</w:t>
            </w:r>
          </w:p>
        </w:tc>
      </w:tr>
    </w:tbl>
    <w:p>
      <w:pPr>
        <w:pStyle w:val="458"/>
        <w:ind w:firstLine="60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sz w:val="28"/>
          <w:szCs w:val="28"/>
          <w:highlight w:val="none"/>
          <w:u w:val="none" w:color="auto"/>
          <w:lang w:val="en-US" w:eastAsia="zh-CN"/>
        </w:rPr>
        <w:t>工程占地和拆迁</w:t>
      </w:r>
    </w:p>
    <w:p>
      <w:pPr>
        <w:bidi w:val="0"/>
        <w:rPr>
          <w:rFonts w:hint="eastAsia"/>
          <w:lang w:eastAsia="zh-CN"/>
        </w:rPr>
      </w:pPr>
      <w:r>
        <w:rPr>
          <w:rFonts w:hint="eastAsia"/>
          <w:lang w:val="en-US" w:eastAsia="zh-CN"/>
        </w:rPr>
        <w:t>（1）工程占</w:t>
      </w:r>
      <w:r>
        <w:rPr>
          <w:rFonts w:hint="eastAsia"/>
          <w:lang w:eastAsia="zh-CN"/>
        </w:rPr>
        <w:t>地</w:t>
      </w:r>
    </w:p>
    <w:p>
      <w:pPr>
        <w:spacing w:line="360" w:lineRule="auto"/>
        <w:ind w:firstLine="480" w:firstLineChars="200"/>
        <w:rPr>
          <w:rFonts w:hint="default"/>
        </w:rPr>
      </w:pPr>
      <w:r>
        <w:rPr>
          <w:rFonts w:hint="default"/>
        </w:rPr>
        <w:t>工程总占地面积为</w:t>
      </w:r>
      <w:r>
        <w:rPr>
          <w:rFonts w:hint="eastAsia"/>
          <w:lang w:val="en-US" w:eastAsia="zh-CN"/>
        </w:rPr>
        <w:t>413.239</w:t>
      </w:r>
      <w:r>
        <w:rPr>
          <w:rFonts w:hint="default"/>
        </w:rPr>
        <w:t>hm</w:t>
      </w:r>
      <w:r>
        <w:rPr>
          <w:rFonts w:hint="default"/>
          <w:vertAlign w:val="superscript"/>
        </w:rPr>
        <w:t>2</w:t>
      </w:r>
      <w:r>
        <w:rPr>
          <w:rFonts w:hint="default"/>
        </w:rPr>
        <w:t>，其中永久性占地</w:t>
      </w:r>
      <w:r>
        <w:rPr>
          <w:rFonts w:hint="eastAsia"/>
          <w:lang w:val="en-US" w:eastAsia="zh-CN"/>
        </w:rPr>
        <w:t>2.13</w:t>
      </w:r>
      <w:r>
        <w:rPr>
          <w:rFonts w:hint="default"/>
        </w:rPr>
        <w:t>hm</w:t>
      </w:r>
      <w:r>
        <w:rPr>
          <w:rFonts w:hint="default"/>
          <w:vertAlign w:val="superscript"/>
        </w:rPr>
        <w:t>2</w:t>
      </w:r>
      <w:r>
        <w:rPr>
          <w:rFonts w:hint="default"/>
        </w:rPr>
        <w:t>，临时占地</w:t>
      </w:r>
      <w:r>
        <w:rPr>
          <w:rFonts w:hint="eastAsia"/>
          <w:lang w:val="en-US" w:eastAsia="zh-CN"/>
        </w:rPr>
        <w:t>41.109</w:t>
      </w:r>
      <w:r>
        <w:rPr>
          <w:rFonts w:hint="default"/>
        </w:rPr>
        <w:t>hm</w:t>
      </w:r>
      <w:r>
        <w:rPr>
          <w:rFonts w:hint="default"/>
          <w:vertAlign w:val="superscript"/>
        </w:rPr>
        <w:t>2</w:t>
      </w:r>
      <w:r>
        <w:rPr>
          <w:rFonts w:hint="eastAsia"/>
          <w:lang w:eastAsia="zh-CN"/>
        </w:rPr>
        <w:t>，</w:t>
      </w:r>
      <w:r>
        <w:rPr>
          <w:rFonts w:hint="default"/>
        </w:rPr>
        <w:t>占地类型主要为林地。</w:t>
      </w:r>
      <w:r>
        <w:rPr>
          <w:rFonts w:hint="eastAsia"/>
          <w:color w:val="auto"/>
          <w:szCs w:val="21"/>
        </w:rPr>
        <w:t>永久占地主要为：风机基础、箱变基础、汇集站</w:t>
      </w:r>
      <w:r>
        <w:rPr>
          <w:rFonts w:hint="eastAsia"/>
          <w:color w:val="auto"/>
          <w:szCs w:val="21"/>
          <w:lang w:eastAsia="zh-CN"/>
        </w:rPr>
        <w:t>。</w:t>
      </w:r>
      <w:r>
        <w:rPr>
          <w:rFonts w:hint="eastAsia"/>
          <w:color w:val="auto"/>
          <w:szCs w:val="21"/>
        </w:rPr>
        <w:t>临时占地主要为：风机安装场地、新建道路、集电线路、临时施工用地、弃渣场。</w:t>
      </w:r>
      <w:r>
        <w:rPr>
          <w:rFonts w:hint="default"/>
        </w:rPr>
        <w:t>工程占地情况详见下表所示。</w:t>
      </w:r>
    </w:p>
    <w:p>
      <w:pPr>
        <w:pStyle w:val="2289"/>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pPr>
      <w:r>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t>工程占地面积统计一览表   单位：hm</w:t>
      </w:r>
      <w:r>
        <w:rPr>
          <w:rFonts w:hint="default" w:ascii="Times New Roman" w:hAnsi="Times New Roman" w:eastAsia="宋体" w:cs="Times New Roman"/>
          <w:color w:val="000000" w:themeColor="text1"/>
          <w:highlight w:val="none"/>
          <w:u w:val="none" w:color="auto"/>
          <w:vertAlign w:val="superscript"/>
          <w:lang w:eastAsia="zh-CN"/>
          <w14:textFill>
            <w14:solidFill>
              <w14:schemeClr w14:val="tx1"/>
            </w14:solidFill>
          </w14:textFill>
        </w:rPr>
        <w:t>2</w:t>
      </w:r>
    </w:p>
    <w:tbl>
      <w:tblPr>
        <w:tblStyle w:val="88"/>
        <w:tblW w:w="875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0"/>
        <w:gridCol w:w="2117"/>
        <w:gridCol w:w="1212"/>
        <w:gridCol w:w="1079"/>
        <w:gridCol w:w="1144"/>
        <w:gridCol w:w="1336"/>
        <w:gridCol w:w="11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80"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
                <w:kern w:val="0"/>
                <w:sz w:val="21"/>
                <w:szCs w:val="21"/>
                <w:u w:val="none" w:color="auto"/>
              </w:rPr>
            </w:pPr>
            <w:r>
              <w:rPr>
                <w:rFonts w:hint="default" w:ascii="Times New Roman" w:hAnsi="Times New Roman" w:cs="Times New Roman"/>
                <w:b/>
                <w:kern w:val="0"/>
                <w:sz w:val="21"/>
                <w:szCs w:val="21"/>
                <w:u w:val="none" w:color="auto"/>
              </w:rPr>
              <w:t>序号</w:t>
            </w:r>
          </w:p>
        </w:tc>
        <w:tc>
          <w:tcPr>
            <w:tcW w:w="2117"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
                <w:kern w:val="0"/>
                <w:sz w:val="21"/>
                <w:szCs w:val="21"/>
                <w:u w:val="none" w:color="auto"/>
              </w:rPr>
            </w:pPr>
            <w:r>
              <w:rPr>
                <w:rFonts w:hint="default" w:ascii="Times New Roman" w:hAnsi="Times New Roman" w:cs="Times New Roman"/>
                <w:b/>
                <w:kern w:val="0"/>
                <w:sz w:val="21"/>
                <w:szCs w:val="21"/>
                <w:u w:val="none" w:color="auto"/>
              </w:rPr>
              <w:t>项目分区</w:t>
            </w:r>
          </w:p>
        </w:tc>
        <w:tc>
          <w:tcPr>
            <w:tcW w:w="2291"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
                <w:kern w:val="0"/>
                <w:sz w:val="21"/>
                <w:szCs w:val="21"/>
                <w:u w:val="none" w:color="auto"/>
              </w:rPr>
            </w:pPr>
            <w:r>
              <w:rPr>
                <w:rFonts w:hint="default" w:ascii="Times New Roman" w:hAnsi="Times New Roman" w:cs="Times New Roman"/>
                <w:b/>
                <w:kern w:val="0"/>
                <w:sz w:val="21"/>
                <w:szCs w:val="21"/>
                <w:u w:val="none" w:color="auto"/>
              </w:rPr>
              <w:t>占地类型</w:t>
            </w:r>
          </w:p>
        </w:tc>
        <w:tc>
          <w:tcPr>
            <w:tcW w:w="1144"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
                <w:kern w:val="0"/>
                <w:sz w:val="21"/>
                <w:szCs w:val="21"/>
                <w:u w:val="none" w:color="auto"/>
              </w:rPr>
            </w:pPr>
            <w:r>
              <w:rPr>
                <w:rFonts w:hint="default" w:ascii="Times New Roman" w:hAnsi="Times New Roman" w:cs="Times New Roman"/>
                <w:b/>
                <w:kern w:val="0"/>
                <w:sz w:val="21"/>
                <w:szCs w:val="21"/>
                <w:u w:val="none" w:color="auto"/>
              </w:rPr>
              <w:t>占地面积</w:t>
            </w:r>
          </w:p>
        </w:tc>
        <w:tc>
          <w:tcPr>
            <w:tcW w:w="2519"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
                <w:kern w:val="0"/>
                <w:sz w:val="21"/>
                <w:szCs w:val="21"/>
                <w:u w:val="none" w:color="auto"/>
              </w:rPr>
            </w:pPr>
            <w:r>
              <w:rPr>
                <w:rFonts w:hint="default" w:ascii="Times New Roman" w:hAnsi="Times New Roman" w:cs="Times New Roman"/>
                <w:b/>
                <w:kern w:val="0"/>
                <w:sz w:val="21"/>
                <w:szCs w:val="21"/>
                <w:u w:val="none" w:color="auto"/>
              </w:rPr>
              <w:t>其中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680"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
                <w:kern w:val="0"/>
                <w:sz w:val="21"/>
                <w:szCs w:val="21"/>
                <w:u w:val="none" w:color="auto"/>
              </w:rPr>
            </w:pPr>
          </w:p>
        </w:tc>
        <w:tc>
          <w:tcPr>
            <w:tcW w:w="211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
                <w:kern w:val="0"/>
                <w:sz w:val="21"/>
                <w:szCs w:val="21"/>
                <w:u w:val="none" w:color="auto"/>
              </w:rPr>
            </w:pPr>
          </w:p>
        </w:tc>
        <w:tc>
          <w:tcPr>
            <w:tcW w:w="1212"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
                <w:kern w:val="0"/>
                <w:sz w:val="21"/>
                <w:szCs w:val="21"/>
                <w:u w:val="none" w:color="auto"/>
              </w:rPr>
            </w:pPr>
            <w:r>
              <w:rPr>
                <w:rFonts w:hint="default" w:ascii="Times New Roman" w:hAnsi="Times New Roman" w:cs="Times New Roman"/>
                <w:b/>
                <w:kern w:val="0"/>
                <w:sz w:val="21"/>
                <w:szCs w:val="21"/>
                <w:u w:val="none" w:color="auto"/>
              </w:rPr>
              <w:t>林地</w:t>
            </w:r>
          </w:p>
        </w:tc>
        <w:tc>
          <w:tcPr>
            <w:tcW w:w="1079"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
                <w:kern w:val="0"/>
                <w:sz w:val="21"/>
                <w:szCs w:val="21"/>
                <w:u w:val="none" w:color="auto"/>
              </w:rPr>
            </w:pPr>
            <w:r>
              <w:rPr>
                <w:rFonts w:hint="default" w:ascii="Times New Roman" w:hAnsi="Times New Roman" w:cs="Times New Roman"/>
                <w:b/>
                <w:kern w:val="0"/>
                <w:sz w:val="21"/>
                <w:szCs w:val="21"/>
                <w:u w:val="none" w:color="auto"/>
              </w:rPr>
              <w:t>草地</w:t>
            </w:r>
          </w:p>
        </w:tc>
        <w:tc>
          <w:tcPr>
            <w:tcW w:w="114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
                <w:kern w:val="0"/>
                <w:sz w:val="21"/>
                <w:szCs w:val="21"/>
                <w:u w:val="none" w:color="auto"/>
              </w:rPr>
            </w:pPr>
          </w:p>
        </w:tc>
        <w:tc>
          <w:tcPr>
            <w:tcW w:w="133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
                <w:kern w:val="0"/>
                <w:sz w:val="21"/>
                <w:szCs w:val="21"/>
                <w:u w:val="none" w:color="auto"/>
              </w:rPr>
            </w:pPr>
            <w:r>
              <w:rPr>
                <w:rFonts w:hint="default" w:ascii="Times New Roman" w:hAnsi="Times New Roman" w:cs="Times New Roman"/>
                <w:b/>
                <w:kern w:val="0"/>
                <w:sz w:val="21"/>
                <w:szCs w:val="21"/>
                <w:u w:val="none" w:color="auto"/>
              </w:rPr>
              <w:t>永久用地</w:t>
            </w:r>
          </w:p>
        </w:tc>
        <w:tc>
          <w:tcPr>
            <w:tcW w:w="118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b/>
                <w:kern w:val="0"/>
                <w:sz w:val="21"/>
                <w:szCs w:val="21"/>
                <w:u w:val="none" w:color="auto"/>
              </w:rPr>
            </w:pPr>
            <w:r>
              <w:rPr>
                <w:rFonts w:hint="default" w:ascii="Times New Roman" w:hAnsi="Times New Roman" w:cs="Times New Roman"/>
                <w:b/>
                <w:kern w:val="0"/>
                <w:sz w:val="21"/>
                <w:szCs w:val="21"/>
                <w:u w:val="none" w:color="auto"/>
              </w:rPr>
              <w:t>临时用地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68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r>
              <w:rPr>
                <w:rFonts w:hint="default" w:ascii="Times New Roman" w:hAnsi="Times New Roman" w:cs="Times New Roman"/>
                <w:kern w:val="0"/>
                <w:sz w:val="21"/>
                <w:szCs w:val="21"/>
                <w:u w:val="none" w:color="auto"/>
              </w:rPr>
              <w:t>1</w:t>
            </w:r>
          </w:p>
        </w:tc>
        <w:tc>
          <w:tcPr>
            <w:tcW w:w="211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r>
              <w:rPr>
                <w:rFonts w:hint="default" w:ascii="Times New Roman" w:hAnsi="Times New Roman" w:cs="Times New Roman"/>
                <w:kern w:val="0"/>
                <w:sz w:val="21"/>
                <w:szCs w:val="21"/>
                <w:u w:val="none" w:color="auto"/>
              </w:rPr>
              <w:t>风机机组区</w:t>
            </w:r>
          </w:p>
        </w:tc>
        <w:tc>
          <w:tcPr>
            <w:tcW w:w="1212"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2.566</w:t>
            </w:r>
          </w:p>
        </w:tc>
        <w:tc>
          <w:tcPr>
            <w:tcW w:w="1079"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cs="Times New Roman"/>
                <w:kern w:val="0"/>
                <w:sz w:val="21"/>
                <w:szCs w:val="21"/>
                <w:u w:val="none" w:color="auto"/>
                <w:lang w:eastAsia="zh-CN"/>
              </w:rPr>
            </w:pPr>
            <w:r>
              <w:rPr>
                <w:rFonts w:hint="eastAsia" w:ascii="Times New Roman" w:hAnsi="Times New Roman" w:cs="Times New Roman"/>
                <w:kern w:val="0"/>
                <w:sz w:val="21"/>
                <w:szCs w:val="21"/>
                <w:u w:val="none" w:color="auto"/>
                <w:lang w:val="en-US" w:eastAsia="zh-CN"/>
              </w:rPr>
              <w:t>0.135</w:t>
            </w:r>
          </w:p>
        </w:tc>
        <w:tc>
          <w:tcPr>
            <w:tcW w:w="114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2.701</w:t>
            </w:r>
          </w:p>
        </w:tc>
        <w:tc>
          <w:tcPr>
            <w:tcW w:w="133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0.542</w:t>
            </w:r>
          </w:p>
        </w:tc>
        <w:tc>
          <w:tcPr>
            <w:tcW w:w="118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2.159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680" w:type="dxa"/>
            <w:tcBorders>
              <w:tl2br w:val="nil"/>
              <w:tr2bl w:val="nil"/>
            </w:tcBorders>
            <w:shd w:val="clear" w:color="auto" w:fill="auto"/>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rFonts w:hint="default" w:ascii="Times New Roman" w:hAnsi="Times New Roman" w:cs="Times New Roman"/>
                <w:kern w:val="0"/>
                <w:sz w:val="21"/>
                <w:szCs w:val="21"/>
                <w:u w:val="none" w:color="auto"/>
              </w:rPr>
              <w:t>2</w:t>
            </w:r>
          </w:p>
        </w:tc>
        <w:tc>
          <w:tcPr>
            <w:tcW w:w="211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宋体" w:cs="Times New Roman"/>
                <w:kern w:val="0"/>
                <w:sz w:val="21"/>
                <w:szCs w:val="21"/>
                <w:u w:val="none" w:color="auto"/>
                <w:lang w:val="en-US" w:eastAsia="zh-CN"/>
              </w:rPr>
            </w:pPr>
            <w:r>
              <w:rPr>
                <w:rFonts w:hint="eastAsia" w:cs="Times New Roman"/>
                <w:kern w:val="0"/>
                <w:sz w:val="21"/>
                <w:szCs w:val="21"/>
                <w:u w:val="none" w:color="auto"/>
                <w:lang w:val="en-US" w:eastAsia="zh-CN"/>
              </w:rPr>
              <w:t>汇集站</w:t>
            </w:r>
          </w:p>
        </w:tc>
        <w:tc>
          <w:tcPr>
            <w:tcW w:w="1212"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0.397</w:t>
            </w:r>
          </w:p>
        </w:tc>
        <w:tc>
          <w:tcPr>
            <w:tcW w:w="1079"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cs="Times New Roman"/>
                <w:kern w:val="0"/>
                <w:sz w:val="21"/>
                <w:szCs w:val="21"/>
                <w:u w:val="none" w:color="auto"/>
                <w:lang w:eastAsia="zh-CN"/>
              </w:rPr>
            </w:pPr>
            <w:r>
              <w:rPr>
                <w:rFonts w:hint="eastAsia" w:ascii="Times New Roman" w:hAnsi="Times New Roman" w:cs="Times New Roman"/>
                <w:kern w:val="0"/>
                <w:sz w:val="21"/>
                <w:szCs w:val="21"/>
                <w:u w:val="none" w:color="auto"/>
                <w:lang w:val="en-US" w:eastAsia="zh-CN"/>
              </w:rPr>
              <w:t>1.191</w:t>
            </w:r>
          </w:p>
        </w:tc>
        <w:tc>
          <w:tcPr>
            <w:tcW w:w="114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1.588</w:t>
            </w:r>
          </w:p>
        </w:tc>
        <w:tc>
          <w:tcPr>
            <w:tcW w:w="133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1.588</w:t>
            </w:r>
          </w:p>
        </w:tc>
        <w:tc>
          <w:tcPr>
            <w:tcW w:w="118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680" w:type="dxa"/>
            <w:tcBorders>
              <w:tl2br w:val="nil"/>
              <w:tr2bl w:val="nil"/>
            </w:tcBorders>
            <w:shd w:val="clear" w:color="auto" w:fill="auto"/>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rFonts w:hint="default" w:ascii="Times New Roman" w:hAnsi="Times New Roman" w:cs="Times New Roman"/>
                <w:kern w:val="0"/>
                <w:sz w:val="21"/>
                <w:szCs w:val="21"/>
                <w:u w:val="none" w:color="auto"/>
              </w:rPr>
              <w:t>3</w:t>
            </w:r>
          </w:p>
        </w:tc>
        <w:tc>
          <w:tcPr>
            <w:tcW w:w="211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r>
              <w:rPr>
                <w:rFonts w:hint="eastAsia" w:cs="Times New Roman"/>
                <w:kern w:val="0"/>
                <w:sz w:val="21"/>
                <w:szCs w:val="21"/>
                <w:u w:val="none" w:color="auto"/>
                <w:lang w:val="en-US" w:eastAsia="zh-CN"/>
              </w:rPr>
              <w:t>风电场</w:t>
            </w:r>
            <w:r>
              <w:rPr>
                <w:rFonts w:hint="default" w:ascii="Times New Roman" w:hAnsi="Times New Roman" w:cs="Times New Roman"/>
                <w:kern w:val="0"/>
                <w:sz w:val="21"/>
                <w:szCs w:val="21"/>
                <w:u w:val="none" w:color="auto"/>
              </w:rPr>
              <w:t>道路</w:t>
            </w:r>
          </w:p>
        </w:tc>
        <w:tc>
          <w:tcPr>
            <w:tcW w:w="1212"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30.894</w:t>
            </w:r>
          </w:p>
        </w:tc>
        <w:tc>
          <w:tcPr>
            <w:tcW w:w="1079"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r>
              <w:rPr>
                <w:rFonts w:hint="eastAsia" w:ascii="Times New Roman" w:hAnsi="Times New Roman" w:cs="Times New Roman"/>
                <w:kern w:val="0"/>
                <w:sz w:val="21"/>
                <w:szCs w:val="21"/>
                <w:u w:val="none" w:color="auto"/>
                <w:lang w:val="en-US" w:eastAsia="zh-CN"/>
              </w:rPr>
              <w:t>1.626</w:t>
            </w:r>
          </w:p>
        </w:tc>
        <w:tc>
          <w:tcPr>
            <w:tcW w:w="114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32.52</w:t>
            </w:r>
          </w:p>
        </w:tc>
        <w:tc>
          <w:tcPr>
            <w:tcW w:w="133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0</w:t>
            </w:r>
          </w:p>
        </w:tc>
        <w:tc>
          <w:tcPr>
            <w:tcW w:w="118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32.52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680" w:type="dxa"/>
            <w:tcBorders>
              <w:tl2br w:val="nil"/>
              <w:tr2bl w:val="nil"/>
            </w:tcBorders>
            <w:shd w:val="clear" w:color="auto" w:fill="auto"/>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rFonts w:hint="default" w:ascii="Times New Roman" w:hAnsi="Times New Roman" w:cs="Times New Roman"/>
                <w:kern w:val="0"/>
                <w:sz w:val="21"/>
                <w:szCs w:val="21"/>
                <w:u w:val="none" w:color="auto"/>
              </w:rPr>
              <w:t>5</w:t>
            </w:r>
          </w:p>
        </w:tc>
        <w:tc>
          <w:tcPr>
            <w:tcW w:w="211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r>
              <w:rPr>
                <w:rFonts w:hint="default" w:ascii="Times New Roman" w:hAnsi="Times New Roman" w:cs="Times New Roman"/>
                <w:kern w:val="0"/>
                <w:sz w:val="21"/>
                <w:szCs w:val="21"/>
                <w:u w:val="none" w:color="auto"/>
              </w:rPr>
              <w:t>集电线路区</w:t>
            </w:r>
          </w:p>
        </w:tc>
        <w:tc>
          <w:tcPr>
            <w:tcW w:w="1212"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r>
              <w:rPr>
                <w:rFonts w:hint="default" w:ascii="Times New Roman" w:hAnsi="Times New Roman" w:cs="Times New Roman"/>
                <w:kern w:val="0"/>
                <w:sz w:val="21"/>
                <w:szCs w:val="21"/>
                <w:u w:val="none" w:color="auto"/>
                <w:lang w:val="en-US" w:eastAsia="zh-CN"/>
              </w:rPr>
              <w:t>2.76</w:t>
            </w:r>
          </w:p>
        </w:tc>
        <w:tc>
          <w:tcPr>
            <w:tcW w:w="1079"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r>
              <w:rPr>
                <w:rFonts w:hint="eastAsia" w:ascii="Times New Roman" w:hAnsi="Times New Roman" w:cs="Times New Roman"/>
                <w:kern w:val="0"/>
                <w:sz w:val="21"/>
                <w:szCs w:val="21"/>
                <w:u w:val="none" w:color="auto"/>
                <w:lang w:val="en-US" w:eastAsia="zh-CN"/>
              </w:rPr>
              <w:t>0</w:t>
            </w:r>
          </w:p>
        </w:tc>
        <w:tc>
          <w:tcPr>
            <w:tcW w:w="114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2.76</w:t>
            </w:r>
          </w:p>
        </w:tc>
        <w:tc>
          <w:tcPr>
            <w:tcW w:w="133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0</w:t>
            </w:r>
          </w:p>
        </w:tc>
        <w:tc>
          <w:tcPr>
            <w:tcW w:w="118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2.76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680" w:type="dxa"/>
            <w:tcBorders>
              <w:tl2br w:val="nil"/>
              <w:tr2bl w:val="nil"/>
            </w:tcBorders>
            <w:shd w:val="clear" w:color="auto" w:fill="auto"/>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rFonts w:hint="default" w:ascii="Times New Roman" w:hAnsi="Times New Roman" w:cs="Times New Roman"/>
                <w:kern w:val="0"/>
                <w:sz w:val="21"/>
                <w:szCs w:val="21"/>
                <w:u w:val="none" w:color="auto"/>
              </w:rPr>
              <w:t>6</w:t>
            </w:r>
          </w:p>
        </w:tc>
        <w:tc>
          <w:tcPr>
            <w:tcW w:w="211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r>
              <w:rPr>
                <w:rFonts w:hint="default" w:ascii="Times New Roman" w:hAnsi="Times New Roman" w:cs="Times New Roman"/>
                <w:kern w:val="0"/>
                <w:sz w:val="21"/>
                <w:szCs w:val="21"/>
                <w:u w:val="none" w:color="auto"/>
              </w:rPr>
              <w:t>施工生产生活区</w:t>
            </w:r>
          </w:p>
        </w:tc>
        <w:tc>
          <w:tcPr>
            <w:tcW w:w="1212"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r>
              <w:rPr>
                <w:rFonts w:hint="default" w:ascii="Times New Roman" w:hAnsi="Times New Roman" w:cs="Times New Roman"/>
                <w:kern w:val="0"/>
                <w:sz w:val="21"/>
                <w:szCs w:val="21"/>
                <w:u w:val="none" w:color="auto"/>
                <w:lang w:val="en-US" w:eastAsia="zh-CN"/>
              </w:rPr>
              <w:t>0.421</w:t>
            </w:r>
          </w:p>
        </w:tc>
        <w:tc>
          <w:tcPr>
            <w:tcW w:w="1079"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r>
              <w:rPr>
                <w:rFonts w:hint="eastAsia" w:ascii="Times New Roman" w:hAnsi="Times New Roman" w:cs="Times New Roman"/>
                <w:kern w:val="0"/>
                <w:sz w:val="21"/>
                <w:szCs w:val="21"/>
                <w:u w:val="none" w:color="auto"/>
                <w:lang w:val="en-US" w:eastAsia="zh-CN"/>
              </w:rPr>
              <w:t>0.119</w:t>
            </w:r>
          </w:p>
        </w:tc>
        <w:tc>
          <w:tcPr>
            <w:tcW w:w="114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r>
              <w:rPr>
                <w:rFonts w:hint="default" w:ascii="Times New Roman" w:hAnsi="Times New Roman" w:cs="Times New Roman"/>
                <w:kern w:val="0"/>
                <w:sz w:val="21"/>
                <w:szCs w:val="21"/>
                <w:u w:val="none" w:color="auto"/>
                <w:lang w:val="en-US" w:eastAsia="zh-CN"/>
              </w:rPr>
              <w:t>0.54</w:t>
            </w:r>
          </w:p>
        </w:tc>
        <w:tc>
          <w:tcPr>
            <w:tcW w:w="133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0</w:t>
            </w:r>
          </w:p>
        </w:tc>
        <w:tc>
          <w:tcPr>
            <w:tcW w:w="118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r>
              <w:rPr>
                <w:rFonts w:hint="default" w:ascii="Times New Roman" w:hAnsi="Times New Roman" w:cs="Times New Roman"/>
                <w:kern w:val="0"/>
                <w:sz w:val="21"/>
                <w:szCs w:val="21"/>
                <w:u w:val="none" w:color="auto"/>
                <w:lang w:val="en-US" w:eastAsia="zh-CN"/>
              </w:rPr>
              <w:t>0.54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68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宋体" w:cs="Times New Roman"/>
                <w:kern w:val="0"/>
                <w:sz w:val="21"/>
                <w:szCs w:val="21"/>
                <w:u w:val="none" w:color="auto"/>
                <w:lang w:val="en-US" w:eastAsia="zh-CN"/>
              </w:rPr>
            </w:pPr>
            <w:r>
              <w:rPr>
                <w:rFonts w:hint="eastAsia" w:cs="Times New Roman"/>
                <w:kern w:val="0"/>
                <w:sz w:val="21"/>
                <w:szCs w:val="21"/>
                <w:u w:val="none" w:color="auto"/>
                <w:lang w:val="en-US" w:eastAsia="zh-CN"/>
              </w:rPr>
              <w:t>7</w:t>
            </w:r>
          </w:p>
        </w:tc>
        <w:tc>
          <w:tcPr>
            <w:tcW w:w="211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r>
              <w:rPr>
                <w:rFonts w:hint="default" w:ascii="Times New Roman" w:hAnsi="Times New Roman" w:cs="Times New Roman"/>
                <w:kern w:val="0"/>
                <w:sz w:val="21"/>
                <w:szCs w:val="21"/>
                <w:u w:val="none" w:color="auto"/>
              </w:rPr>
              <w:t>弃渣场区</w:t>
            </w:r>
          </w:p>
        </w:tc>
        <w:tc>
          <w:tcPr>
            <w:tcW w:w="1212"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r>
              <w:rPr>
                <w:rFonts w:hint="default" w:ascii="Times New Roman" w:hAnsi="Times New Roman" w:cs="Times New Roman"/>
                <w:kern w:val="0"/>
                <w:sz w:val="21"/>
                <w:szCs w:val="21"/>
                <w:u w:val="none" w:color="auto"/>
                <w:lang w:val="en-US" w:eastAsia="zh-CN"/>
              </w:rPr>
              <w:t>3.01</w:t>
            </w:r>
          </w:p>
        </w:tc>
        <w:tc>
          <w:tcPr>
            <w:tcW w:w="1079"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r>
              <w:rPr>
                <w:rFonts w:hint="eastAsia" w:ascii="Times New Roman" w:hAnsi="Times New Roman" w:cs="Times New Roman"/>
                <w:kern w:val="0"/>
                <w:sz w:val="21"/>
                <w:szCs w:val="21"/>
                <w:u w:val="none" w:color="auto"/>
                <w:lang w:val="en-US" w:eastAsia="zh-CN"/>
              </w:rPr>
              <w:t>0.12</w:t>
            </w:r>
          </w:p>
        </w:tc>
        <w:tc>
          <w:tcPr>
            <w:tcW w:w="114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r>
              <w:rPr>
                <w:rFonts w:hint="default" w:ascii="Times New Roman" w:hAnsi="Times New Roman" w:cs="Times New Roman"/>
                <w:kern w:val="0"/>
                <w:sz w:val="21"/>
                <w:szCs w:val="21"/>
                <w:u w:val="none" w:color="auto"/>
                <w:lang w:val="en-US" w:eastAsia="zh-CN"/>
              </w:rPr>
              <w:t>3.13</w:t>
            </w:r>
          </w:p>
        </w:tc>
        <w:tc>
          <w:tcPr>
            <w:tcW w:w="133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0</w:t>
            </w:r>
          </w:p>
        </w:tc>
        <w:tc>
          <w:tcPr>
            <w:tcW w:w="118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3.13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68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p>
        </w:tc>
        <w:tc>
          <w:tcPr>
            <w:tcW w:w="211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r>
              <w:rPr>
                <w:rFonts w:hint="default" w:ascii="Times New Roman" w:hAnsi="Times New Roman" w:cs="Times New Roman"/>
                <w:kern w:val="0"/>
                <w:sz w:val="21"/>
                <w:szCs w:val="21"/>
                <w:u w:val="none" w:color="auto"/>
              </w:rPr>
              <w:t>合计</w:t>
            </w:r>
          </w:p>
        </w:tc>
        <w:tc>
          <w:tcPr>
            <w:tcW w:w="1212"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r>
              <w:rPr>
                <w:rFonts w:hint="default" w:ascii="Times New Roman" w:hAnsi="Times New Roman" w:cs="Times New Roman"/>
                <w:kern w:val="0"/>
                <w:sz w:val="21"/>
                <w:szCs w:val="21"/>
                <w:u w:val="none" w:color="auto"/>
                <w:lang w:val="en-US" w:eastAsia="zh-CN"/>
              </w:rPr>
              <w:t>40.048</w:t>
            </w:r>
          </w:p>
        </w:tc>
        <w:tc>
          <w:tcPr>
            <w:tcW w:w="1079"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r>
              <w:rPr>
                <w:rFonts w:hint="eastAsia" w:ascii="Times New Roman" w:hAnsi="Times New Roman" w:cs="Times New Roman"/>
                <w:kern w:val="0"/>
                <w:sz w:val="21"/>
                <w:szCs w:val="21"/>
                <w:u w:val="none" w:color="auto"/>
                <w:lang w:val="en-US" w:eastAsia="zh-CN"/>
              </w:rPr>
              <w:t>3.191</w:t>
            </w:r>
          </w:p>
        </w:tc>
        <w:tc>
          <w:tcPr>
            <w:tcW w:w="114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rPr>
            </w:pPr>
            <w:r>
              <w:rPr>
                <w:rFonts w:hint="default" w:ascii="Times New Roman" w:hAnsi="Times New Roman" w:cs="Times New Roman"/>
                <w:kern w:val="0"/>
                <w:sz w:val="21"/>
                <w:szCs w:val="21"/>
                <w:u w:val="none" w:color="auto"/>
                <w:lang w:val="en-US" w:eastAsia="zh-CN"/>
              </w:rPr>
              <w:t>43.239</w:t>
            </w:r>
          </w:p>
        </w:tc>
        <w:tc>
          <w:tcPr>
            <w:tcW w:w="1336" w:type="dxa"/>
            <w:tcBorders>
              <w:tl2br w:val="nil"/>
              <w:tr2bl w:val="nil"/>
            </w:tcBorders>
            <w:shd w:val="clear" w:color="auto" w:fill="auto"/>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2.13</w:t>
            </w:r>
          </w:p>
        </w:tc>
        <w:tc>
          <w:tcPr>
            <w:tcW w:w="118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21"/>
                <w:szCs w:val="21"/>
                <w:u w:val="none" w:color="auto"/>
                <w:lang w:val="en-US" w:eastAsia="zh-CN"/>
              </w:rPr>
            </w:pPr>
            <w:r>
              <w:rPr>
                <w:rFonts w:hint="default" w:ascii="Times New Roman" w:hAnsi="Times New Roman" w:cs="Times New Roman"/>
                <w:kern w:val="0"/>
                <w:sz w:val="21"/>
                <w:szCs w:val="21"/>
                <w:u w:val="none" w:color="auto"/>
                <w:lang w:val="en-US" w:eastAsia="zh-CN"/>
              </w:rPr>
              <w:t>41.109</w:t>
            </w:r>
          </w:p>
        </w:tc>
      </w:tr>
    </w:tbl>
    <w:p>
      <w:pPr>
        <w:bidi w:val="0"/>
        <w:rPr>
          <w:rFonts w:hint="default" w:ascii="Times New Roman" w:hAnsi="Times New Roman" w:eastAsia="宋体" w:cs="Times New Roman"/>
          <w:color w:val="auto"/>
          <w:sz w:val="24"/>
          <w:szCs w:val="24"/>
          <w:highlight w:val="none"/>
          <w:u w:val="none" w:color="auto"/>
          <w:vertAlign w:val="baseline"/>
          <w:lang w:val="en-US" w:eastAsia="zh-CN"/>
        </w:rPr>
      </w:pPr>
      <w:r>
        <w:rPr>
          <w:rFonts w:hint="default" w:ascii="Times New Roman" w:hAnsi="Times New Roman" w:eastAsia="宋体" w:cs="Times New Roman"/>
          <w:color w:val="auto"/>
          <w:sz w:val="24"/>
          <w:szCs w:val="24"/>
          <w:highlight w:val="none"/>
          <w:u w:val="none" w:color="auto"/>
          <w:vertAlign w:val="baseline"/>
          <w:lang w:val="en-US" w:eastAsia="zh-CN"/>
        </w:rPr>
        <w:t>（</w:t>
      </w:r>
      <w:r>
        <w:rPr>
          <w:rFonts w:hint="eastAsia" w:ascii="Times New Roman" w:hAnsi="Times New Roman" w:eastAsia="宋体" w:cs="Times New Roman"/>
          <w:color w:val="auto"/>
          <w:sz w:val="24"/>
          <w:szCs w:val="24"/>
          <w:highlight w:val="none"/>
          <w:u w:val="none" w:color="auto"/>
          <w:vertAlign w:val="baseline"/>
          <w:lang w:val="en-US" w:eastAsia="zh-CN"/>
        </w:rPr>
        <w:t>2</w:t>
      </w:r>
      <w:r>
        <w:rPr>
          <w:rFonts w:hint="default" w:ascii="Times New Roman" w:hAnsi="Times New Roman" w:eastAsia="宋体" w:cs="Times New Roman"/>
          <w:color w:val="auto"/>
          <w:sz w:val="24"/>
          <w:szCs w:val="24"/>
          <w:highlight w:val="none"/>
          <w:u w:val="none" w:color="auto"/>
          <w:vertAlign w:val="baseline"/>
          <w:lang w:val="en-US" w:eastAsia="zh-CN"/>
        </w:rPr>
        <w:t>）</w:t>
      </w:r>
      <w:r>
        <w:rPr>
          <w:rFonts w:hint="default"/>
          <w:lang w:val="en-US" w:eastAsia="zh-CN"/>
        </w:rPr>
        <w:t>拆迁</w:t>
      </w:r>
    </w:p>
    <w:p>
      <w:pPr>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auto"/>
          <w:sz w:val="24"/>
          <w:szCs w:val="24"/>
          <w:highlight w:val="none"/>
          <w:u w:val="none" w:color="auto"/>
          <w:vertAlign w:val="baseline"/>
          <w:lang w:val="en-US" w:eastAsia="zh-CN"/>
        </w:rPr>
        <w:t>本项目变更前后均不占用农田及居民房屋，风电机组距噪声敏感建筑物300m以上，变更前后均不涉及工程拆迁及环保拆迁。</w:t>
      </w:r>
    </w:p>
    <w:p>
      <w:pPr>
        <w:pStyle w:val="458"/>
        <w:ind w:firstLine="60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土石方工程</w:t>
      </w:r>
    </w:p>
    <w:p>
      <w:pPr>
        <w:bidi w:val="0"/>
        <w:rPr>
          <w:rFonts w:hint="default" w:ascii="Times New Roman" w:hAnsi="Times New Roman" w:eastAsia="宋体" w:cs="Times New Roman"/>
          <w:kern w:val="28"/>
          <w:sz w:val="24"/>
          <w:szCs w:val="24"/>
          <w:u w:val="none" w:color="auto"/>
          <w:lang w:val="sq-AL"/>
        </w:rPr>
      </w:pPr>
      <w:r>
        <w:rPr>
          <w:rFonts w:hint="default" w:ascii="Times New Roman" w:hAnsi="Times New Roman" w:eastAsia="宋体" w:cs="Times New Roman"/>
          <w:kern w:val="28"/>
          <w:sz w:val="24"/>
          <w:szCs w:val="24"/>
          <w:u w:val="none" w:color="auto"/>
          <w:lang w:val="sq-AL"/>
        </w:rPr>
        <w:t>（1）</w:t>
      </w:r>
      <w:r>
        <w:rPr>
          <w:rFonts w:hint="default" w:ascii="Times New Roman" w:hAnsi="Times New Roman" w:eastAsia="宋体" w:cs="Times New Roman"/>
          <w:color w:val="auto"/>
          <w:sz w:val="24"/>
          <w:szCs w:val="24"/>
          <w:highlight w:val="none"/>
          <w:u w:val="none" w:color="auto"/>
          <w:vertAlign w:val="baseline"/>
          <w:lang w:val="sq-AL" w:eastAsia="zh-CN"/>
        </w:rPr>
        <w:t>土石方</w:t>
      </w:r>
      <w:r>
        <w:rPr>
          <w:rFonts w:hint="default" w:ascii="Times New Roman" w:hAnsi="Times New Roman" w:eastAsia="宋体" w:cs="Times New Roman"/>
          <w:kern w:val="28"/>
          <w:sz w:val="24"/>
          <w:szCs w:val="24"/>
          <w:u w:val="none" w:color="auto"/>
          <w:lang w:val="sq-AL"/>
        </w:rPr>
        <w:t>平衡</w:t>
      </w:r>
    </w:p>
    <w:p>
      <w:pPr>
        <w:bidi w:val="0"/>
        <w:rPr>
          <w:rFonts w:hint="eastAsia" w:ascii="Times New Roman" w:hAnsi="Times New Roman" w:eastAsia="宋体" w:cs="Times New Roman"/>
          <w:color w:val="auto"/>
          <w:kern w:val="28"/>
          <w:sz w:val="24"/>
          <w:szCs w:val="24"/>
          <w:highlight w:val="none"/>
          <w:u w:val="none" w:color="auto"/>
          <w:lang w:eastAsia="zh-CN"/>
        </w:rPr>
      </w:pPr>
      <w:r>
        <w:rPr>
          <w:rFonts w:hint="eastAsia" w:ascii="Times New Roman" w:hAnsi="Times New Roman" w:eastAsia="宋体" w:cs="Times New Roman"/>
          <w:color w:val="auto"/>
          <w:kern w:val="28"/>
          <w:sz w:val="24"/>
          <w:szCs w:val="24"/>
          <w:highlight w:val="none"/>
          <w:u w:val="none" w:color="auto"/>
          <w:lang w:eastAsia="zh-CN"/>
        </w:rPr>
        <w:t>根据项目水土保持方案，本工程土石方开挖总量约80.30万m</w:t>
      </w:r>
      <w:r>
        <w:rPr>
          <w:rFonts w:hint="eastAsia" w:ascii="Times New Roman" w:hAnsi="Times New Roman" w:eastAsia="宋体" w:cs="Times New Roman"/>
          <w:color w:val="auto"/>
          <w:kern w:val="28"/>
          <w:sz w:val="24"/>
          <w:szCs w:val="24"/>
          <w:highlight w:val="none"/>
          <w:u w:val="none" w:color="auto"/>
          <w:vertAlign w:val="superscript"/>
          <w:lang w:eastAsia="zh-CN"/>
        </w:rPr>
        <w:t>3</w:t>
      </w:r>
      <w:r>
        <w:rPr>
          <w:rFonts w:hint="eastAsia" w:cs="Times New Roman"/>
          <w:color w:val="auto"/>
          <w:kern w:val="28"/>
          <w:sz w:val="24"/>
          <w:szCs w:val="24"/>
          <w:highlight w:val="none"/>
          <w:u w:val="none" w:color="auto"/>
          <w:lang w:eastAsia="zh-CN"/>
        </w:rPr>
        <w:t>，</w:t>
      </w:r>
      <w:r>
        <w:rPr>
          <w:rFonts w:hint="eastAsia" w:ascii="Times New Roman" w:hAnsi="Times New Roman" w:eastAsia="宋体" w:cs="Times New Roman"/>
          <w:color w:val="auto"/>
          <w:kern w:val="28"/>
          <w:sz w:val="24"/>
          <w:szCs w:val="24"/>
          <w:highlight w:val="none"/>
          <w:u w:val="none" w:color="auto"/>
          <w:lang w:eastAsia="zh-CN"/>
        </w:rPr>
        <w:t>（含剥离表土3.77万m</w:t>
      </w:r>
      <w:r>
        <w:rPr>
          <w:rFonts w:hint="eastAsia" w:ascii="Times New Roman" w:hAnsi="Times New Roman" w:eastAsia="宋体" w:cs="Times New Roman"/>
          <w:color w:val="auto"/>
          <w:kern w:val="28"/>
          <w:sz w:val="24"/>
          <w:szCs w:val="24"/>
          <w:highlight w:val="none"/>
          <w:u w:val="none" w:color="auto"/>
          <w:vertAlign w:val="superscript"/>
          <w:lang w:eastAsia="zh-CN"/>
        </w:rPr>
        <w:t>3</w:t>
      </w:r>
      <w:r>
        <w:rPr>
          <w:rFonts w:hint="eastAsia" w:ascii="Times New Roman" w:hAnsi="Times New Roman" w:eastAsia="宋体" w:cs="Times New Roman"/>
          <w:color w:val="auto"/>
          <w:kern w:val="28"/>
          <w:sz w:val="24"/>
          <w:szCs w:val="24"/>
          <w:highlight w:val="none"/>
          <w:u w:val="none" w:color="auto"/>
          <w:lang w:eastAsia="zh-CN"/>
        </w:rPr>
        <w:t>），土石方回填总量约44.98万m</w:t>
      </w:r>
      <w:r>
        <w:rPr>
          <w:rFonts w:hint="eastAsia" w:ascii="Times New Roman" w:hAnsi="Times New Roman" w:eastAsia="宋体" w:cs="Times New Roman"/>
          <w:color w:val="auto"/>
          <w:kern w:val="28"/>
          <w:sz w:val="24"/>
          <w:szCs w:val="24"/>
          <w:highlight w:val="none"/>
          <w:u w:val="none" w:color="auto"/>
          <w:vertAlign w:val="superscript"/>
          <w:lang w:eastAsia="zh-CN"/>
        </w:rPr>
        <w:t>3</w:t>
      </w:r>
      <w:r>
        <w:rPr>
          <w:rFonts w:hint="eastAsia" w:ascii="Times New Roman" w:hAnsi="Times New Roman" w:eastAsia="宋体" w:cs="Times New Roman"/>
          <w:color w:val="auto"/>
          <w:kern w:val="28"/>
          <w:sz w:val="24"/>
          <w:szCs w:val="24"/>
          <w:highlight w:val="none"/>
          <w:u w:val="none" w:color="auto"/>
          <w:lang w:eastAsia="zh-CN"/>
        </w:rPr>
        <w:t>（含表土回填3.77m</w:t>
      </w:r>
      <w:r>
        <w:rPr>
          <w:rFonts w:hint="eastAsia" w:ascii="Times New Roman" w:hAnsi="Times New Roman" w:eastAsia="宋体" w:cs="Times New Roman"/>
          <w:color w:val="auto"/>
          <w:kern w:val="28"/>
          <w:sz w:val="24"/>
          <w:szCs w:val="24"/>
          <w:highlight w:val="none"/>
          <w:u w:val="none" w:color="auto"/>
          <w:vertAlign w:val="superscript"/>
          <w:lang w:eastAsia="zh-CN"/>
        </w:rPr>
        <w:t>3</w:t>
      </w:r>
      <w:r>
        <w:rPr>
          <w:rFonts w:hint="eastAsia" w:ascii="Times New Roman" w:hAnsi="Times New Roman" w:eastAsia="宋体" w:cs="Times New Roman"/>
          <w:color w:val="auto"/>
          <w:kern w:val="28"/>
          <w:sz w:val="24"/>
          <w:szCs w:val="24"/>
          <w:highlight w:val="none"/>
          <w:u w:val="none" w:color="auto"/>
          <w:lang w:eastAsia="zh-CN"/>
        </w:rPr>
        <w:t>），经土石方平衡后，弃方35.32万m</w:t>
      </w:r>
      <w:r>
        <w:rPr>
          <w:rFonts w:hint="eastAsia" w:ascii="Times New Roman" w:hAnsi="Times New Roman" w:eastAsia="宋体" w:cs="Times New Roman"/>
          <w:color w:val="auto"/>
          <w:kern w:val="28"/>
          <w:sz w:val="24"/>
          <w:szCs w:val="24"/>
          <w:highlight w:val="none"/>
          <w:u w:val="none" w:color="auto"/>
          <w:vertAlign w:val="superscript"/>
          <w:lang w:eastAsia="zh-CN"/>
        </w:rPr>
        <w:t>3</w:t>
      </w:r>
      <w:r>
        <w:rPr>
          <w:rFonts w:hint="eastAsia" w:ascii="Times New Roman" w:hAnsi="Times New Roman" w:eastAsia="宋体" w:cs="Times New Roman"/>
          <w:color w:val="auto"/>
          <w:kern w:val="28"/>
          <w:sz w:val="24"/>
          <w:szCs w:val="24"/>
          <w:highlight w:val="none"/>
          <w:u w:val="none" w:color="auto"/>
          <w:lang w:eastAsia="zh-CN"/>
        </w:rPr>
        <w:t>。本风电场各主要施工场地土石方平衡表见下表所示：</w:t>
      </w:r>
    </w:p>
    <w:p>
      <w:pPr>
        <w:pStyle w:val="2289"/>
        <w:rPr>
          <w:rFonts w:hint="default" w:ascii="Times New Roman" w:hAnsi="Times New Roman" w:eastAsia="宋体" w:cs="Times New Roman"/>
          <w:color w:val="000000" w:themeColor="text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t>土石方工程量表</w:t>
      </w:r>
      <w:r>
        <w:rPr>
          <w:rFonts w:hint="eastAsia" w:ascii="Times New Roman" w:hAnsi="Times New Roman" w:eastAsia="宋体" w:cs="Times New Roman"/>
          <w:color w:val="000000" w:themeColor="text1"/>
          <w:highlight w:val="none"/>
          <w:u w:val="none" w:color="auto"/>
          <w:lang w:val="en-US" w:eastAsia="zh-CN"/>
          <w14:textFill>
            <w14:solidFill>
              <w14:schemeClr w14:val="tx1"/>
            </w14:solidFill>
          </w14:textFill>
        </w:rPr>
        <w:t xml:space="preserve">  单位：万m</w:t>
      </w:r>
      <w:r>
        <w:rPr>
          <w:rFonts w:hint="eastAsia" w:ascii="Times New Roman" w:hAnsi="Times New Roman" w:eastAsia="宋体" w:cs="Times New Roman"/>
          <w:color w:val="000000" w:themeColor="text1"/>
          <w:highlight w:val="none"/>
          <w:u w:val="none" w:color="auto"/>
          <w:vertAlign w:val="superscript"/>
          <w:lang w:val="en-US" w:eastAsia="zh-CN"/>
          <w14:textFill>
            <w14:solidFill>
              <w14:schemeClr w14:val="tx1"/>
            </w14:solidFill>
          </w14:textFill>
        </w:rPr>
        <w:t>3</w:t>
      </w:r>
    </w:p>
    <w:tbl>
      <w:tblPr>
        <w:tblStyle w:val="88"/>
        <w:tblW w:w="482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340"/>
        <w:gridCol w:w="1123"/>
        <w:gridCol w:w="1655"/>
        <w:gridCol w:w="1124"/>
        <w:gridCol w:w="1655"/>
        <w:gridCol w:w="106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1305" w:type="pct"/>
            <w:vMerge w:val="restar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分区</w:t>
            </w:r>
          </w:p>
        </w:tc>
        <w:tc>
          <w:tcPr>
            <w:tcW w:w="1549" w:type="pct"/>
            <w:gridSpan w:val="2"/>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挖方</w:t>
            </w:r>
          </w:p>
        </w:tc>
        <w:tc>
          <w:tcPr>
            <w:tcW w:w="1549" w:type="pct"/>
            <w:gridSpan w:val="2"/>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填方</w:t>
            </w:r>
          </w:p>
        </w:tc>
        <w:tc>
          <w:tcPr>
            <w:tcW w:w="595" w:type="pct"/>
            <w:vMerge w:val="restar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弃方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1305" w:type="pct"/>
            <w:vMerge w:val="continue"/>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p>
        </w:tc>
        <w:tc>
          <w:tcPr>
            <w:tcW w:w="626"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表土</w:t>
            </w:r>
          </w:p>
        </w:tc>
        <w:tc>
          <w:tcPr>
            <w:tcW w:w="923"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土石方</w:t>
            </w:r>
          </w:p>
        </w:tc>
        <w:tc>
          <w:tcPr>
            <w:tcW w:w="626"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表土</w:t>
            </w:r>
          </w:p>
        </w:tc>
        <w:tc>
          <w:tcPr>
            <w:tcW w:w="923"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土石方</w:t>
            </w:r>
          </w:p>
        </w:tc>
        <w:tc>
          <w:tcPr>
            <w:tcW w:w="595" w:type="pct"/>
            <w:vMerge w:val="continue"/>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1305"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风机机组区</w:t>
            </w:r>
          </w:p>
        </w:tc>
        <w:tc>
          <w:tcPr>
            <w:tcW w:w="626"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0.40</w:t>
            </w:r>
          </w:p>
        </w:tc>
        <w:tc>
          <w:tcPr>
            <w:tcW w:w="923"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31.87</w:t>
            </w:r>
          </w:p>
        </w:tc>
        <w:tc>
          <w:tcPr>
            <w:tcW w:w="626"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0.79</w:t>
            </w:r>
          </w:p>
        </w:tc>
        <w:tc>
          <w:tcPr>
            <w:tcW w:w="923"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10.43</w:t>
            </w:r>
          </w:p>
        </w:tc>
        <w:tc>
          <w:tcPr>
            <w:tcW w:w="595"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21.44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1305"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220</w:t>
            </w:r>
            <w:r>
              <w:rPr>
                <w:rFonts w:hint="eastAsia" w:cs="Times New Roman"/>
                <w:color w:val="auto"/>
                <w:kern w:val="2"/>
                <w:sz w:val="21"/>
                <w:szCs w:val="21"/>
                <w:lang w:val="en-US" w:eastAsia="zh-CN" w:bidi="ar-SA"/>
              </w:rPr>
              <w:t>kV</w:t>
            </w:r>
            <w:r>
              <w:rPr>
                <w:rFonts w:hint="eastAsia" w:ascii="Times New Roman" w:hAnsi="Times New Roman" w:eastAsia="宋体" w:cs="Times New Roman"/>
                <w:color w:val="auto"/>
                <w:kern w:val="2"/>
                <w:sz w:val="21"/>
                <w:szCs w:val="21"/>
                <w:lang w:val="en-US" w:eastAsia="zh-CN" w:bidi="ar-SA"/>
              </w:rPr>
              <w:t>汇集站区</w:t>
            </w:r>
          </w:p>
        </w:tc>
        <w:tc>
          <w:tcPr>
            <w:tcW w:w="626"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0.06</w:t>
            </w:r>
          </w:p>
        </w:tc>
        <w:tc>
          <w:tcPr>
            <w:tcW w:w="923"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1.35</w:t>
            </w:r>
          </w:p>
        </w:tc>
        <w:tc>
          <w:tcPr>
            <w:tcW w:w="626"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0.06</w:t>
            </w:r>
          </w:p>
        </w:tc>
        <w:tc>
          <w:tcPr>
            <w:tcW w:w="923"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1.35</w:t>
            </w:r>
          </w:p>
        </w:tc>
        <w:tc>
          <w:tcPr>
            <w:tcW w:w="595"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1305"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施工检修道路区</w:t>
            </w:r>
          </w:p>
        </w:tc>
        <w:tc>
          <w:tcPr>
            <w:tcW w:w="626"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2.85</w:t>
            </w:r>
          </w:p>
        </w:tc>
        <w:tc>
          <w:tcPr>
            <w:tcW w:w="923"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38.81</w:t>
            </w:r>
          </w:p>
        </w:tc>
        <w:tc>
          <w:tcPr>
            <w:tcW w:w="626"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1.99</w:t>
            </w:r>
          </w:p>
        </w:tc>
        <w:tc>
          <w:tcPr>
            <w:tcW w:w="923"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24.93</w:t>
            </w:r>
          </w:p>
        </w:tc>
        <w:tc>
          <w:tcPr>
            <w:tcW w:w="595"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13.88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1305"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集电线路区</w:t>
            </w:r>
          </w:p>
        </w:tc>
        <w:tc>
          <w:tcPr>
            <w:tcW w:w="626"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923"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4.15</w:t>
            </w:r>
          </w:p>
        </w:tc>
        <w:tc>
          <w:tcPr>
            <w:tcW w:w="626"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923"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4.15</w:t>
            </w:r>
          </w:p>
        </w:tc>
        <w:tc>
          <w:tcPr>
            <w:tcW w:w="595"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1305"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弃渣场区</w:t>
            </w:r>
          </w:p>
        </w:tc>
        <w:tc>
          <w:tcPr>
            <w:tcW w:w="626"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0.35</w:t>
            </w:r>
          </w:p>
        </w:tc>
        <w:tc>
          <w:tcPr>
            <w:tcW w:w="923"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626"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0.82</w:t>
            </w:r>
          </w:p>
        </w:tc>
        <w:tc>
          <w:tcPr>
            <w:tcW w:w="923"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595"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1305"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表土堆存场</w:t>
            </w:r>
          </w:p>
        </w:tc>
        <w:tc>
          <w:tcPr>
            <w:tcW w:w="626"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923"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626"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923"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595"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1305"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施工生产生活区</w:t>
            </w:r>
          </w:p>
        </w:tc>
        <w:tc>
          <w:tcPr>
            <w:tcW w:w="626"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0.11</w:t>
            </w:r>
          </w:p>
        </w:tc>
        <w:tc>
          <w:tcPr>
            <w:tcW w:w="923"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0.35</w:t>
            </w:r>
          </w:p>
        </w:tc>
        <w:tc>
          <w:tcPr>
            <w:tcW w:w="626"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0.11</w:t>
            </w:r>
          </w:p>
        </w:tc>
        <w:tc>
          <w:tcPr>
            <w:tcW w:w="923"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0.35</w:t>
            </w:r>
          </w:p>
        </w:tc>
        <w:tc>
          <w:tcPr>
            <w:tcW w:w="595"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1305"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合计</w:t>
            </w:r>
          </w:p>
        </w:tc>
        <w:tc>
          <w:tcPr>
            <w:tcW w:w="626"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3.77</w:t>
            </w:r>
          </w:p>
        </w:tc>
        <w:tc>
          <w:tcPr>
            <w:tcW w:w="923"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76.53</w:t>
            </w:r>
          </w:p>
        </w:tc>
        <w:tc>
          <w:tcPr>
            <w:tcW w:w="626"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3.77</w:t>
            </w:r>
          </w:p>
        </w:tc>
        <w:tc>
          <w:tcPr>
            <w:tcW w:w="923"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41.21</w:t>
            </w:r>
          </w:p>
        </w:tc>
        <w:tc>
          <w:tcPr>
            <w:tcW w:w="595" w:type="pct"/>
            <w:noWrap/>
            <w:vAlign w:val="center"/>
          </w:tcPr>
          <w:p>
            <w:pPr>
              <w:keepNext w:val="0"/>
              <w:keepLines w:val="0"/>
              <w:pageBreakBefore w:val="0"/>
              <w:widowControl/>
              <w:kinsoku/>
              <w:wordWrap/>
              <w:overflowPunct/>
              <w:topLinePunct w:val="0"/>
              <w:autoSpaceDE/>
              <w:autoSpaceDN/>
              <w:bidi w:val="0"/>
              <w:adjustRightInd/>
              <w:snapToGrid w:val="0"/>
              <w:spacing w:line="276"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35.32</w:t>
            </w:r>
          </w:p>
        </w:tc>
      </w:tr>
    </w:tbl>
    <w:p>
      <w:pPr>
        <w:bidi w:val="0"/>
        <w:rPr>
          <w:rFonts w:hint="default" w:ascii="Times New Roman" w:hAnsi="Times New Roman" w:cs="Times New Roman"/>
          <w:sz w:val="24"/>
          <w:szCs w:val="24"/>
          <w:highlight w:val="none"/>
          <w:u w:val="none" w:color="auto"/>
        </w:rPr>
      </w:pPr>
      <w:r>
        <w:rPr>
          <w:rFonts w:hint="default" w:ascii="Times New Roman" w:hAnsi="Times New Roman" w:cs="Times New Roman"/>
          <w:sz w:val="24"/>
          <w:szCs w:val="24"/>
          <w:highlight w:val="none"/>
          <w:u w:val="none" w:color="auto"/>
        </w:rPr>
        <w:t>（</w:t>
      </w:r>
      <w:r>
        <w:rPr>
          <w:rFonts w:hint="eastAsia" w:cs="Times New Roman"/>
          <w:sz w:val="24"/>
          <w:szCs w:val="24"/>
          <w:highlight w:val="none"/>
          <w:u w:val="none" w:color="auto"/>
          <w:lang w:val="en-US" w:eastAsia="zh-CN"/>
        </w:rPr>
        <w:t>2</w:t>
      </w:r>
      <w:r>
        <w:rPr>
          <w:rFonts w:hint="default" w:ascii="Times New Roman" w:hAnsi="Times New Roman" w:cs="Times New Roman"/>
          <w:sz w:val="24"/>
          <w:szCs w:val="24"/>
          <w:highlight w:val="none"/>
          <w:u w:val="none" w:color="auto"/>
        </w:rPr>
        <w:t>）表土</w:t>
      </w:r>
      <w:r>
        <w:rPr>
          <w:rFonts w:hint="default" w:ascii="Times New Roman" w:hAnsi="Times New Roman" w:eastAsia="宋体" w:cs="Times New Roman"/>
          <w:color w:val="auto"/>
          <w:sz w:val="24"/>
          <w:szCs w:val="24"/>
          <w:highlight w:val="none"/>
          <w:u w:val="none" w:color="auto"/>
          <w:vertAlign w:val="baseline"/>
          <w:lang w:val="en-US" w:eastAsia="zh-CN"/>
        </w:rPr>
        <w:t>剥离</w:t>
      </w:r>
      <w:r>
        <w:rPr>
          <w:rFonts w:hint="default" w:ascii="Times New Roman" w:hAnsi="Times New Roman" w:cs="Times New Roman"/>
          <w:sz w:val="24"/>
          <w:szCs w:val="24"/>
          <w:highlight w:val="none"/>
          <w:u w:val="none" w:color="auto"/>
        </w:rPr>
        <w:t>及堆置</w:t>
      </w:r>
    </w:p>
    <w:p>
      <w:pPr>
        <w:bidi w:val="0"/>
        <w:rPr>
          <w:rFonts w:hint="default" w:ascii="Times New Roman" w:hAnsi="Times New Roman" w:cs="Times New Roman"/>
          <w:spacing w:val="-1"/>
          <w:u w:val="none" w:color="auto"/>
        </w:rPr>
      </w:pPr>
      <w:r>
        <w:rPr>
          <w:rFonts w:hint="default" w:ascii="Times New Roman" w:hAnsi="Times New Roman" w:cs="Times New Roman"/>
          <w:spacing w:val="-1"/>
          <w:u w:val="none" w:color="auto"/>
        </w:rPr>
        <w:t>本工程在道路路基、风机安装平台等区域土建施工前，需对项目区内可剥离的表土进行剥离，剥离厚度在0.1m~0.3m 之间。本</w:t>
      </w:r>
      <w:r>
        <w:rPr>
          <w:rFonts w:hint="eastAsia" w:cs="Times New Roman"/>
          <w:spacing w:val="-1"/>
          <w:u w:val="none" w:color="auto"/>
          <w:lang w:val="en-US" w:eastAsia="zh-CN"/>
        </w:rPr>
        <w:t>工程</w:t>
      </w:r>
      <w:r>
        <w:rPr>
          <w:rFonts w:hint="default" w:ascii="Times New Roman" w:hAnsi="Times New Roman" w:cs="Times New Roman"/>
          <w:spacing w:val="-1"/>
          <w:u w:val="none" w:color="auto"/>
        </w:rPr>
        <w:t>选取</w:t>
      </w:r>
      <w:r>
        <w:rPr>
          <w:rFonts w:hint="eastAsia" w:cs="Times New Roman"/>
          <w:spacing w:val="-1"/>
          <w:u w:val="none" w:color="auto"/>
          <w:lang w:val="en-US" w:eastAsia="zh-CN"/>
        </w:rPr>
        <w:t>8</w:t>
      </w:r>
      <w:r>
        <w:rPr>
          <w:rFonts w:hint="default" w:ascii="Times New Roman" w:hAnsi="Times New Roman" w:cs="Times New Roman"/>
          <w:spacing w:val="-1"/>
          <w:u w:val="none" w:color="auto"/>
        </w:rPr>
        <w:t>处区域，将清理的表土集中堆存，总计堆存表土量3.60万m</w:t>
      </w:r>
      <w:r>
        <w:rPr>
          <w:rFonts w:hint="default" w:ascii="Times New Roman" w:hAnsi="Times New Roman" w:cs="Times New Roman"/>
          <w:spacing w:val="-1"/>
          <w:u w:val="none" w:color="auto"/>
          <w:vertAlign w:val="superscript"/>
        </w:rPr>
        <w:t>3</w:t>
      </w:r>
      <w:r>
        <w:rPr>
          <w:rFonts w:hint="default" w:ascii="Times New Roman" w:hAnsi="Times New Roman" w:cs="Times New Roman"/>
          <w:spacing w:val="-1"/>
          <w:u w:val="none" w:color="auto"/>
        </w:rPr>
        <w:t>。表土平均堆置高度3m，采取临时拦挡和临时覆盖，以便项目恢复绿化时使用。通过合理安排施工时序，拟将8处表土堆存场设置在弃渣场的弃渣平台上，以减少新增占地和扰动。</w:t>
      </w:r>
    </w:p>
    <w:p>
      <w:pPr>
        <w:bidi w:val="0"/>
        <w:rPr>
          <w:rFonts w:hint="default" w:ascii="Times New Roman" w:hAnsi="Times New Roman" w:cs="Times New Roman"/>
          <w:sz w:val="24"/>
          <w:szCs w:val="24"/>
          <w:highlight w:val="none"/>
          <w:u w:val="none" w:color="auto"/>
        </w:rPr>
      </w:pPr>
      <w:r>
        <w:rPr>
          <w:rFonts w:hint="default" w:ascii="Times New Roman" w:hAnsi="Times New Roman" w:cs="Times New Roman"/>
          <w:sz w:val="24"/>
          <w:szCs w:val="24"/>
          <w:highlight w:val="none"/>
          <w:u w:val="none" w:color="auto"/>
        </w:rPr>
        <w:t>（</w:t>
      </w:r>
      <w:r>
        <w:rPr>
          <w:rFonts w:hint="eastAsia" w:cs="Times New Roman"/>
          <w:sz w:val="24"/>
          <w:szCs w:val="24"/>
          <w:highlight w:val="none"/>
          <w:u w:val="none" w:color="auto"/>
          <w:lang w:val="en-US" w:eastAsia="zh-CN"/>
        </w:rPr>
        <w:t>3</w:t>
      </w:r>
      <w:r>
        <w:rPr>
          <w:rFonts w:hint="default" w:ascii="Times New Roman" w:hAnsi="Times New Roman" w:cs="Times New Roman"/>
          <w:sz w:val="24"/>
          <w:szCs w:val="24"/>
          <w:highlight w:val="none"/>
          <w:u w:val="none" w:color="auto"/>
        </w:rPr>
        <w:t>）弃渣场</w:t>
      </w:r>
    </w:p>
    <w:p>
      <w:pPr>
        <w:bidi w:val="0"/>
        <w:rPr>
          <w:rFonts w:hint="default" w:ascii="Times New Roman" w:hAnsi="Times New Roman" w:cs="Times New Roman"/>
          <w:u w:val="none" w:color="auto"/>
          <w:lang w:eastAsia="zh-CN"/>
        </w:rPr>
        <w:sectPr>
          <w:pgSz w:w="11905"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3" w:charSpace="0"/>
        </w:sectPr>
      </w:pPr>
      <w:r>
        <w:rPr>
          <w:rFonts w:hint="default" w:ascii="Times New Roman" w:hAnsi="Times New Roman" w:cs="Times New Roman"/>
          <w:spacing w:val="6"/>
          <w:sz w:val="24"/>
          <w:u w:val="none" w:color="auto"/>
        </w:rPr>
        <w:t>根据水保方案，本项目共布设</w:t>
      </w:r>
      <w:r>
        <w:rPr>
          <w:rFonts w:hint="eastAsia" w:cs="Times New Roman"/>
          <w:spacing w:val="6"/>
          <w:sz w:val="24"/>
          <w:highlight w:val="none"/>
          <w:u w:val="none" w:color="auto"/>
          <w:lang w:val="en-US" w:eastAsia="zh-CN"/>
        </w:rPr>
        <w:t>7</w:t>
      </w:r>
      <w:r>
        <w:rPr>
          <w:rFonts w:hint="default" w:ascii="Times New Roman" w:hAnsi="Times New Roman" w:cs="Times New Roman"/>
          <w:spacing w:val="6"/>
          <w:sz w:val="24"/>
          <w:highlight w:val="none"/>
          <w:u w:val="none" w:color="auto"/>
        </w:rPr>
        <w:t>处弃渣场，占地面积</w:t>
      </w:r>
      <w:r>
        <w:rPr>
          <w:rFonts w:hint="eastAsia" w:cs="Times New Roman"/>
          <w:spacing w:val="6"/>
          <w:sz w:val="24"/>
          <w:highlight w:val="none"/>
          <w:u w:val="none" w:color="auto"/>
          <w:lang w:val="en-US" w:eastAsia="zh-CN"/>
        </w:rPr>
        <w:t>3.13</w:t>
      </w:r>
      <w:r>
        <w:rPr>
          <w:rFonts w:hint="default" w:ascii="Times New Roman" w:hAnsi="Times New Roman" w:cs="Times New Roman"/>
          <w:spacing w:val="6"/>
          <w:sz w:val="24"/>
          <w:highlight w:val="none"/>
          <w:u w:val="none" w:color="auto"/>
        </w:rPr>
        <w:t>hm</w:t>
      </w:r>
      <w:r>
        <w:rPr>
          <w:rFonts w:hint="default" w:ascii="Times New Roman" w:hAnsi="Times New Roman" w:cs="Times New Roman"/>
          <w:spacing w:val="6"/>
          <w:sz w:val="24"/>
          <w:highlight w:val="none"/>
          <w:u w:val="none" w:color="auto"/>
          <w:vertAlign w:val="superscript"/>
        </w:rPr>
        <w:t>2</w:t>
      </w:r>
      <w:r>
        <w:rPr>
          <w:rFonts w:hint="default" w:ascii="Times New Roman" w:hAnsi="Times New Roman" w:cs="Times New Roman"/>
          <w:spacing w:val="6"/>
          <w:sz w:val="24"/>
          <w:highlight w:val="none"/>
          <w:u w:val="none" w:color="auto"/>
        </w:rPr>
        <w:t>，弃</w:t>
      </w:r>
      <w:r>
        <w:rPr>
          <w:rFonts w:hint="default" w:ascii="Times New Roman" w:hAnsi="Times New Roman" w:cs="Times New Roman"/>
          <w:spacing w:val="6"/>
          <w:sz w:val="24"/>
          <w:u w:val="none" w:color="auto"/>
        </w:rPr>
        <w:t>渣场规划以“分散弃渣、相对集中、安全稳定、便于运弃”为原则进行布置。弃渣场范围内无大水系通过，未发现大规模的滑坡、泥石流等不良地质体，自然状况下边坡稳定性较好。</w:t>
      </w:r>
      <w:r>
        <w:rPr>
          <w:rFonts w:hint="eastAsia" w:cs="Times New Roman"/>
          <w:spacing w:val="6"/>
          <w:sz w:val="24"/>
          <w:u w:val="none" w:color="auto"/>
          <w:lang w:val="en-US" w:eastAsia="zh-CN"/>
        </w:rPr>
        <w:t>7</w:t>
      </w:r>
      <w:r>
        <w:rPr>
          <w:rFonts w:hint="default" w:ascii="Times New Roman" w:hAnsi="Times New Roman" w:cs="Times New Roman"/>
          <w:spacing w:val="6"/>
          <w:sz w:val="24"/>
          <w:u w:val="none" w:color="auto"/>
        </w:rPr>
        <w:t>处弃渣场周围300m范围内均无居民</w:t>
      </w:r>
      <w:r>
        <w:rPr>
          <w:rFonts w:hint="default" w:ascii="Times New Roman" w:hAnsi="Times New Roman" w:cs="Times New Roman"/>
          <w:u w:val="none" w:color="auto"/>
          <w:lang w:eastAsia="zh-CN"/>
        </w:rPr>
        <w:t>。</w:t>
      </w:r>
    </w:p>
    <w:p>
      <w:pPr>
        <w:pStyle w:val="2289"/>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pPr>
      <w:r>
        <w:rPr>
          <w:rFonts w:hint="eastAsia" w:ascii="Times New Roman" w:hAnsi="Times New Roman" w:eastAsia="宋体" w:cs="Times New Roman"/>
          <w:color w:val="000000" w:themeColor="text1"/>
          <w:highlight w:val="none"/>
          <w:u w:val="none" w:color="auto"/>
          <w:lang w:eastAsia="zh-CN"/>
          <w14:textFill>
            <w14:solidFill>
              <w14:schemeClr w14:val="tx1"/>
            </w14:solidFill>
          </w14:textFill>
        </w:rPr>
        <w:t>弃渣场布设情况一览表</w:t>
      </w:r>
    </w:p>
    <w:tbl>
      <w:tblPr>
        <w:tblStyle w:val="3633"/>
        <w:tblW w:w="14058" w:type="dxa"/>
        <w:tblInd w:w="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9"/>
        <w:gridCol w:w="1468"/>
        <w:gridCol w:w="943"/>
        <w:gridCol w:w="1564"/>
        <w:gridCol w:w="1264"/>
        <w:gridCol w:w="997"/>
        <w:gridCol w:w="953"/>
        <w:gridCol w:w="903"/>
        <w:gridCol w:w="1004"/>
        <w:gridCol w:w="773"/>
        <w:gridCol w:w="1027"/>
        <w:gridCol w:w="242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61" w:hRule="atLeast"/>
        </w:trPr>
        <w:tc>
          <w:tcPr>
            <w:tcW w:w="739" w:type="dxa"/>
            <w:tcBorders>
              <w:top w:val="single" w:color="000000" w:sz="10" w:space="0"/>
              <w:left w:val="single" w:color="000000" w:sz="10" w:space="0"/>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渣场</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名称</w:t>
            </w:r>
          </w:p>
        </w:tc>
        <w:tc>
          <w:tcPr>
            <w:tcW w:w="1468" w:type="dxa"/>
            <w:tcBorders>
              <w:top w:val="single" w:color="000000" w:sz="10" w:space="0"/>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位置</w:t>
            </w:r>
          </w:p>
        </w:tc>
        <w:tc>
          <w:tcPr>
            <w:tcW w:w="943" w:type="dxa"/>
            <w:tcBorders>
              <w:top w:val="single" w:color="000000" w:sz="10" w:space="0"/>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类型</w:t>
            </w:r>
          </w:p>
        </w:tc>
        <w:tc>
          <w:tcPr>
            <w:tcW w:w="1564" w:type="dxa"/>
            <w:tcBorders>
              <w:top w:val="single" w:color="000000" w:sz="10" w:space="0"/>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地形</w:t>
            </w:r>
          </w:p>
        </w:tc>
        <w:tc>
          <w:tcPr>
            <w:tcW w:w="1264" w:type="dxa"/>
            <w:tcBorders>
              <w:top w:val="single" w:color="000000" w:sz="10" w:space="0"/>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平均运距</w:t>
            </w:r>
          </w:p>
        </w:tc>
        <w:tc>
          <w:tcPr>
            <w:tcW w:w="997" w:type="dxa"/>
            <w:tcBorders>
              <w:top w:val="single" w:color="000000" w:sz="10" w:space="0"/>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最大堆高</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（m ）</w:t>
            </w:r>
          </w:p>
        </w:tc>
        <w:tc>
          <w:tcPr>
            <w:tcW w:w="953" w:type="dxa"/>
            <w:tcBorders>
              <w:top w:val="single" w:color="000000" w:sz="10" w:space="0"/>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容量</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(10</w:t>
            </w:r>
            <w:r>
              <w:rPr>
                <w:rFonts w:hint="default" w:ascii="Times New Roman" w:hAnsi="Times New Roman" w:cs="Times New Roman"/>
                <w:spacing w:val="6"/>
                <w:sz w:val="21"/>
                <w:szCs w:val="21"/>
                <w:u w:val="none" w:color="auto"/>
                <w:vertAlign w:val="superscript"/>
              </w:rPr>
              <w:t>4</w:t>
            </w:r>
            <w:r>
              <w:rPr>
                <w:rFonts w:hint="default" w:ascii="Times New Roman" w:hAnsi="Times New Roman" w:cs="Times New Roman"/>
                <w:spacing w:val="6"/>
                <w:sz w:val="21"/>
                <w:szCs w:val="21"/>
                <w:u w:val="none" w:color="auto"/>
              </w:rPr>
              <w:t>m</w:t>
            </w:r>
            <w:r>
              <w:rPr>
                <w:rFonts w:hint="default" w:ascii="Times New Roman" w:hAnsi="Times New Roman" w:cs="Times New Roman"/>
                <w:spacing w:val="6"/>
                <w:sz w:val="21"/>
                <w:szCs w:val="21"/>
                <w:u w:val="none" w:color="auto"/>
                <w:vertAlign w:val="superscript"/>
              </w:rPr>
              <w:t>3</w:t>
            </w:r>
            <w:r>
              <w:rPr>
                <w:rFonts w:hint="default" w:ascii="Times New Roman" w:hAnsi="Times New Roman" w:cs="Times New Roman"/>
                <w:spacing w:val="6"/>
                <w:sz w:val="21"/>
                <w:szCs w:val="21"/>
                <w:u w:val="none" w:color="auto"/>
              </w:rPr>
              <w:t>)</w:t>
            </w:r>
          </w:p>
        </w:tc>
        <w:tc>
          <w:tcPr>
            <w:tcW w:w="903" w:type="dxa"/>
            <w:tcBorders>
              <w:top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弃渣量(10</w:t>
            </w:r>
            <w:r>
              <w:rPr>
                <w:rFonts w:hint="default" w:ascii="Times New Roman" w:hAnsi="Times New Roman" w:cs="Times New Roman"/>
                <w:spacing w:val="6"/>
                <w:sz w:val="21"/>
                <w:szCs w:val="21"/>
                <w:u w:val="none" w:color="auto"/>
                <w:vertAlign w:val="superscript"/>
              </w:rPr>
              <w:t>4</w:t>
            </w:r>
            <w:r>
              <w:rPr>
                <w:rFonts w:hint="default" w:ascii="Times New Roman" w:hAnsi="Times New Roman" w:cs="Times New Roman"/>
                <w:spacing w:val="6"/>
                <w:sz w:val="21"/>
                <w:szCs w:val="21"/>
                <w:u w:val="none" w:color="auto"/>
              </w:rPr>
              <w:t>m</w:t>
            </w:r>
            <w:r>
              <w:rPr>
                <w:rFonts w:hint="default" w:ascii="Times New Roman" w:hAnsi="Times New Roman" w:cs="Times New Roman"/>
                <w:spacing w:val="6"/>
                <w:sz w:val="21"/>
                <w:szCs w:val="21"/>
                <w:u w:val="none" w:color="auto"/>
                <w:vertAlign w:val="superscript"/>
              </w:rPr>
              <w:t>3</w:t>
            </w:r>
            <w:r>
              <w:rPr>
                <w:rFonts w:hint="default" w:ascii="Times New Roman" w:hAnsi="Times New Roman" w:cs="Times New Roman"/>
                <w:spacing w:val="6"/>
                <w:sz w:val="21"/>
                <w:szCs w:val="21"/>
                <w:u w:val="none" w:color="auto"/>
              </w:rPr>
              <w:t>)</w:t>
            </w:r>
          </w:p>
        </w:tc>
        <w:tc>
          <w:tcPr>
            <w:tcW w:w="1004" w:type="dxa"/>
            <w:tcBorders>
              <w:top w:val="single" w:color="000000" w:sz="10" w:space="0"/>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占地面积</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(hm</w:t>
            </w:r>
            <w:r>
              <w:rPr>
                <w:rFonts w:hint="default" w:ascii="Times New Roman" w:hAnsi="Times New Roman" w:cs="Times New Roman"/>
                <w:spacing w:val="6"/>
                <w:sz w:val="21"/>
                <w:szCs w:val="21"/>
                <w:u w:val="none" w:color="auto"/>
                <w:vertAlign w:val="superscript"/>
              </w:rPr>
              <w:t>2</w:t>
            </w:r>
            <w:r>
              <w:rPr>
                <w:rFonts w:hint="default" w:ascii="Times New Roman" w:hAnsi="Times New Roman" w:cs="Times New Roman"/>
                <w:spacing w:val="6"/>
                <w:sz w:val="21"/>
                <w:szCs w:val="21"/>
                <w:u w:val="none" w:color="auto"/>
              </w:rPr>
              <w:t>)</w:t>
            </w:r>
          </w:p>
        </w:tc>
        <w:tc>
          <w:tcPr>
            <w:tcW w:w="773" w:type="dxa"/>
            <w:tcBorders>
              <w:top w:val="single" w:color="000000" w:sz="10" w:space="0"/>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占地</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类型</w:t>
            </w:r>
          </w:p>
        </w:tc>
        <w:tc>
          <w:tcPr>
            <w:tcW w:w="1027" w:type="dxa"/>
            <w:tcBorders>
              <w:top w:val="single" w:color="000000" w:sz="10" w:space="0"/>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集雨面积</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(km</w:t>
            </w:r>
            <w:r>
              <w:rPr>
                <w:rFonts w:hint="default" w:ascii="Times New Roman" w:hAnsi="Times New Roman" w:cs="Times New Roman"/>
                <w:spacing w:val="6"/>
                <w:sz w:val="21"/>
                <w:szCs w:val="21"/>
                <w:u w:val="none" w:color="auto"/>
                <w:vertAlign w:val="superscript"/>
              </w:rPr>
              <w:t>2</w:t>
            </w:r>
            <w:r>
              <w:rPr>
                <w:rFonts w:hint="default" w:ascii="Times New Roman" w:hAnsi="Times New Roman" w:cs="Times New Roman"/>
                <w:spacing w:val="6"/>
                <w:sz w:val="21"/>
                <w:szCs w:val="21"/>
                <w:u w:val="none" w:color="auto"/>
              </w:rPr>
              <w:t>)</w:t>
            </w:r>
          </w:p>
        </w:tc>
        <w:tc>
          <w:tcPr>
            <w:tcW w:w="2423" w:type="dxa"/>
            <w:tcBorders>
              <w:top w:val="single" w:color="000000" w:sz="10" w:space="0"/>
              <w:bottom w:val="nil"/>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弃渣来源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2" w:hRule="atLeast"/>
        </w:trPr>
        <w:tc>
          <w:tcPr>
            <w:tcW w:w="739"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Z1</w:t>
            </w:r>
          </w:p>
        </w:tc>
        <w:tc>
          <w:tcPr>
            <w:tcW w:w="146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112.13839379</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25.35066105</w:t>
            </w:r>
          </w:p>
        </w:tc>
        <w:tc>
          <w:tcPr>
            <w:tcW w:w="94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坡地型</w:t>
            </w:r>
          </w:p>
        </w:tc>
        <w:tc>
          <w:tcPr>
            <w:tcW w:w="15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天然缓坡，平均坡度约11。</w:t>
            </w:r>
          </w:p>
        </w:tc>
        <w:tc>
          <w:tcPr>
            <w:tcW w:w="12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约0.8km</w:t>
            </w:r>
          </w:p>
        </w:tc>
        <w:tc>
          <w:tcPr>
            <w:tcW w:w="99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20</w:t>
            </w:r>
          </w:p>
        </w:tc>
        <w:tc>
          <w:tcPr>
            <w:tcW w:w="9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4.73</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3.53</w:t>
            </w:r>
          </w:p>
        </w:tc>
        <w:tc>
          <w:tcPr>
            <w:tcW w:w="10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0.53</w:t>
            </w:r>
          </w:p>
        </w:tc>
        <w:tc>
          <w:tcPr>
            <w:tcW w:w="7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林地</w:t>
            </w:r>
          </w:p>
        </w:tc>
        <w:tc>
          <w:tcPr>
            <w:tcW w:w="102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0.008</w:t>
            </w:r>
          </w:p>
        </w:tc>
        <w:tc>
          <w:tcPr>
            <w:tcW w:w="2423"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eastAsia" w:cs="Times New Roman"/>
                <w:spacing w:val="6"/>
                <w:sz w:val="21"/>
                <w:szCs w:val="21"/>
                <w:u w:val="none" w:color="auto"/>
                <w:lang w:val="en-US" w:eastAsia="zh-CN"/>
              </w:rPr>
              <w:t>L</w:t>
            </w:r>
            <w:r>
              <w:rPr>
                <w:rFonts w:hint="default" w:ascii="Times New Roman" w:hAnsi="Times New Roman" w:cs="Times New Roman"/>
                <w:spacing w:val="6"/>
                <w:sz w:val="21"/>
                <w:szCs w:val="21"/>
                <w:u w:val="none" w:color="auto"/>
              </w:rPr>
              <w:t>15~</w:t>
            </w:r>
            <w:r>
              <w:rPr>
                <w:rFonts w:hint="eastAsia" w:cs="Times New Roman"/>
                <w:spacing w:val="6"/>
                <w:sz w:val="21"/>
                <w:szCs w:val="21"/>
                <w:u w:val="none" w:color="auto"/>
                <w:lang w:val="en-US" w:eastAsia="zh-CN"/>
              </w:rPr>
              <w:t>L</w:t>
            </w:r>
            <w:r>
              <w:rPr>
                <w:rFonts w:hint="default" w:ascii="Times New Roman" w:hAnsi="Times New Roman" w:cs="Times New Roman"/>
                <w:spacing w:val="6"/>
                <w:sz w:val="21"/>
                <w:szCs w:val="21"/>
                <w:u w:val="none" w:color="auto"/>
              </w:rPr>
              <w:t>1</w:t>
            </w:r>
            <w:r>
              <w:rPr>
                <w:rFonts w:hint="eastAsia" w:cs="Times New Roman"/>
                <w:spacing w:val="6"/>
                <w:sz w:val="21"/>
                <w:szCs w:val="21"/>
                <w:u w:val="none" w:color="auto"/>
                <w:lang w:val="en-US" w:eastAsia="zh-CN"/>
              </w:rPr>
              <w:t>3</w:t>
            </w:r>
            <w:r>
              <w:rPr>
                <w:rFonts w:hint="default" w:ascii="Times New Roman" w:hAnsi="Times New Roman" w:cs="Times New Roman"/>
                <w:spacing w:val="6"/>
                <w:sz w:val="21"/>
                <w:szCs w:val="21"/>
                <w:u w:val="none" w:color="auto"/>
              </w:rPr>
              <w:t>风机平台间道路，</w:t>
            </w:r>
            <w:r>
              <w:rPr>
                <w:rFonts w:hint="eastAsia" w:cs="Times New Roman"/>
                <w:spacing w:val="6"/>
                <w:sz w:val="21"/>
                <w:szCs w:val="21"/>
                <w:u w:val="none" w:color="auto"/>
                <w:lang w:val="en-US" w:eastAsia="zh-CN"/>
              </w:rPr>
              <w:t>L</w:t>
            </w:r>
            <w:r>
              <w:rPr>
                <w:rFonts w:hint="default" w:ascii="Times New Roman" w:hAnsi="Times New Roman" w:cs="Times New Roman"/>
                <w:spacing w:val="6"/>
                <w:sz w:val="21"/>
                <w:szCs w:val="21"/>
                <w:u w:val="none" w:color="auto"/>
              </w:rPr>
              <w:t>15~</w:t>
            </w:r>
            <w:r>
              <w:rPr>
                <w:rFonts w:hint="eastAsia" w:cs="Times New Roman"/>
                <w:spacing w:val="6"/>
                <w:sz w:val="21"/>
                <w:szCs w:val="21"/>
                <w:u w:val="none" w:color="auto"/>
                <w:lang w:val="en-US" w:eastAsia="zh-CN"/>
              </w:rPr>
              <w:t>L</w:t>
            </w:r>
            <w:r>
              <w:rPr>
                <w:rFonts w:hint="default" w:ascii="Times New Roman" w:hAnsi="Times New Roman" w:cs="Times New Roman"/>
                <w:spacing w:val="6"/>
                <w:sz w:val="21"/>
                <w:szCs w:val="21"/>
                <w:u w:val="none" w:color="auto"/>
              </w:rPr>
              <w:t>1</w:t>
            </w:r>
            <w:r>
              <w:rPr>
                <w:rFonts w:hint="eastAsia" w:cs="Times New Roman"/>
                <w:spacing w:val="6"/>
                <w:sz w:val="21"/>
                <w:szCs w:val="21"/>
                <w:u w:val="none" w:color="auto"/>
                <w:lang w:val="en-US" w:eastAsia="zh-CN"/>
              </w:rPr>
              <w:t>3</w:t>
            </w:r>
            <w:r>
              <w:rPr>
                <w:rFonts w:hint="default" w:ascii="Times New Roman" w:hAnsi="Times New Roman" w:cs="Times New Roman"/>
                <w:spacing w:val="6"/>
                <w:sz w:val="21"/>
                <w:szCs w:val="21"/>
                <w:u w:val="none" w:color="auto"/>
              </w:rPr>
              <w:t>风机平台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2" w:hRule="atLeast"/>
        </w:trPr>
        <w:tc>
          <w:tcPr>
            <w:tcW w:w="739"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Z2</w:t>
            </w:r>
          </w:p>
        </w:tc>
        <w:tc>
          <w:tcPr>
            <w:tcW w:w="146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112.13657198</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25.33918478</w:t>
            </w:r>
          </w:p>
        </w:tc>
        <w:tc>
          <w:tcPr>
            <w:tcW w:w="94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坡地型</w:t>
            </w:r>
          </w:p>
        </w:tc>
        <w:tc>
          <w:tcPr>
            <w:tcW w:w="15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天然缓坡，平均坡度约15。</w:t>
            </w:r>
          </w:p>
        </w:tc>
        <w:tc>
          <w:tcPr>
            <w:tcW w:w="12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约0.8km</w:t>
            </w:r>
          </w:p>
        </w:tc>
        <w:tc>
          <w:tcPr>
            <w:tcW w:w="99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28</w:t>
            </w:r>
          </w:p>
        </w:tc>
        <w:tc>
          <w:tcPr>
            <w:tcW w:w="9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6.33</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4.96</w:t>
            </w:r>
          </w:p>
        </w:tc>
        <w:tc>
          <w:tcPr>
            <w:tcW w:w="10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0.48</w:t>
            </w:r>
          </w:p>
        </w:tc>
        <w:tc>
          <w:tcPr>
            <w:tcW w:w="7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林地</w:t>
            </w:r>
          </w:p>
        </w:tc>
        <w:tc>
          <w:tcPr>
            <w:tcW w:w="102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0.008</w:t>
            </w:r>
          </w:p>
        </w:tc>
        <w:tc>
          <w:tcPr>
            <w:tcW w:w="2423"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eastAsia" w:cs="Times New Roman"/>
                <w:spacing w:val="6"/>
                <w:sz w:val="21"/>
                <w:szCs w:val="21"/>
                <w:u w:val="none" w:color="auto"/>
                <w:lang w:val="en-US" w:eastAsia="zh-CN"/>
              </w:rPr>
              <w:t>L12</w:t>
            </w:r>
            <w:r>
              <w:rPr>
                <w:rFonts w:hint="default" w:ascii="Times New Roman" w:hAnsi="Times New Roman" w:cs="Times New Roman"/>
                <w:spacing w:val="6"/>
                <w:sz w:val="21"/>
                <w:szCs w:val="21"/>
                <w:u w:val="none" w:color="auto"/>
              </w:rPr>
              <w:t>~</w:t>
            </w:r>
            <w:r>
              <w:rPr>
                <w:rFonts w:hint="eastAsia" w:cs="Times New Roman"/>
                <w:spacing w:val="6"/>
                <w:sz w:val="21"/>
                <w:szCs w:val="21"/>
                <w:u w:val="none" w:color="auto"/>
                <w:lang w:val="en-US" w:eastAsia="zh-CN"/>
              </w:rPr>
              <w:t>L</w:t>
            </w:r>
            <w:r>
              <w:rPr>
                <w:rFonts w:hint="default" w:ascii="Times New Roman" w:hAnsi="Times New Roman" w:cs="Times New Roman"/>
                <w:spacing w:val="6"/>
                <w:sz w:val="21"/>
                <w:szCs w:val="21"/>
                <w:u w:val="none" w:color="auto"/>
              </w:rPr>
              <w:t>1</w:t>
            </w:r>
            <w:r>
              <w:rPr>
                <w:rFonts w:hint="eastAsia" w:cs="Times New Roman"/>
                <w:spacing w:val="6"/>
                <w:sz w:val="21"/>
                <w:szCs w:val="21"/>
                <w:u w:val="none" w:color="auto"/>
                <w:lang w:val="en-US" w:eastAsia="zh-CN"/>
              </w:rPr>
              <w:t>1</w:t>
            </w:r>
            <w:r>
              <w:rPr>
                <w:rFonts w:hint="default" w:ascii="Times New Roman" w:hAnsi="Times New Roman" w:cs="Times New Roman"/>
                <w:spacing w:val="6"/>
                <w:sz w:val="21"/>
                <w:szCs w:val="21"/>
                <w:u w:val="none" w:color="auto"/>
              </w:rPr>
              <w:t>风机平台间道路，</w:t>
            </w:r>
            <w:r>
              <w:rPr>
                <w:rFonts w:hint="eastAsia" w:cs="Times New Roman"/>
                <w:spacing w:val="6"/>
                <w:sz w:val="21"/>
                <w:szCs w:val="21"/>
                <w:u w:val="none" w:color="auto"/>
                <w:lang w:val="en-US" w:eastAsia="zh-CN"/>
              </w:rPr>
              <w:t>L</w:t>
            </w:r>
            <w:r>
              <w:rPr>
                <w:rFonts w:hint="default" w:ascii="Times New Roman" w:hAnsi="Times New Roman" w:cs="Times New Roman"/>
                <w:spacing w:val="6"/>
                <w:sz w:val="21"/>
                <w:szCs w:val="21"/>
                <w:u w:val="none" w:color="auto"/>
              </w:rPr>
              <w:t>12及</w:t>
            </w:r>
            <w:r>
              <w:rPr>
                <w:rFonts w:hint="eastAsia" w:cs="Times New Roman"/>
                <w:spacing w:val="6"/>
                <w:sz w:val="21"/>
                <w:szCs w:val="21"/>
                <w:u w:val="none" w:color="auto"/>
                <w:lang w:val="en-US" w:eastAsia="zh-CN"/>
              </w:rPr>
              <w:t>L</w:t>
            </w:r>
            <w:r>
              <w:rPr>
                <w:rFonts w:hint="default" w:ascii="Times New Roman" w:hAnsi="Times New Roman" w:cs="Times New Roman"/>
                <w:spacing w:val="6"/>
                <w:sz w:val="21"/>
                <w:szCs w:val="21"/>
                <w:u w:val="none" w:color="auto"/>
              </w:rPr>
              <w:t>11风机平台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2" w:hRule="atLeast"/>
        </w:trPr>
        <w:tc>
          <w:tcPr>
            <w:tcW w:w="739"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Z3</w:t>
            </w:r>
          </w:p>
        </w:tc>
        <w:tc>
          <w:tcPr>
            <w:tcW w:w="146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112.12907223</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25.33337597</w:t>
            </w:r>
          </w:p>
        </w:tc>
        <w:tc>
          <w:tcPr>
            <w:tcW w:w="94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坡地型</w:t>
            </w:r>
          </w:p>
        </w:tc>
        <w:tc>
          <w:tcPr>
            <w:tcW w:w="15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天然缓坡，平均坡度约24。</w:t>
            </w:r>
          </w:p>
        </w:tc>
        <w:tc>
          <w:tcPr>
            <w:tcW w:w="12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约1.0km</w:t>
            </w:r>
          </w:p>
        </w:tc>
        <w:tc>
          <w:tcPr>
            <w:tcW w:w="99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40</w:t>
            </w:r>
          </w:p>
        </w:tc>
        <w:tc>
          <w:tcPr>
            <w:tcW w:w="9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3.73</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2.89</w:t>
            </w:r>
          </w:p>
        </w:tc>
        <w:tc>
          <w:tcPr>
            <w:tcW w:w="10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0.42</w:t>
            </w:r>
          </w:p>
        </w:tc>
        <w:tc>
          <w:tcPr>
            <w:tcW w:w="7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林地</w:t>
            </w:r>
          </w:p>
        </w:tc>
        <w:tc>
          <w:tcPr>
            <w:tcW w:w="102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0.006</w:t>
            </w:r>
          </w:p>
        </w:tc>
        <w:tc>
          <w:tcPr>
            <w:tcW w:w="2423"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eastAsia" w:cs="Times New Roman"/>
                <w:spacing w:val="6"/>
                <w:sz w:val="21"/>
                <w:szCs w:val="21"/>
                <w:u w:val="none" w:color="auto"/>
                <w:lang w:val="en-US" w:eastAsia="zh-CN"/>
              </w:rPr>
              <w:t>L10</w:t>
            </w:r>
            <w:r>
              <w:rPr>
                <w:rFonts w:hint="default" w:ascii="Times New Roman" w:hAnsi="Times New Roman" w:cs="Times New Roman"/>
                <w:spacing w:val="6"/>
                <w:sz w:val="21"/>
                <w:szCs w:val="21"/>
                <w:u w:val="none" w:color="auto"/>
              </w:rPr>
              <w:t>~</w:t>
            </w:r>
            <w:r>
              <w:rPr>
                <w:rFonts w:hint="eastAsia" w:cs="Times New Roman"/>
                <w:spacing w:val="6"/>
                <w:sz w:val="21"/>
                <w:szCs w:val="21"/>
                <w:u w:val="none" w:color="auto"/>
                <w:lang w:val="en-US" w:eastAsia="zh-CN"/>
              </w:rPr>
              <w:t>L9</w:t>
            </w:r>
            <w:r>
              <w:rPr>
                <w:rFonts w:hint="default" w:ascii="Times New Roman" w:hAnsi="Times New Roman" w:cs="Times New Roman"/>
                <w:spacing w:val="6"/>
                <w:sz w:val="21"/>
                <w:szCs w:val="21"/>
                <w:u w:val="none" w:color="auto"/>
              </w:rPr>
              <w:t>风机平台间道路，</w:t>
            </w:r>
            <w:r>
              <w:rPr>
                <w:rFonts w:hint="eastAsia" w:cs="Times New Roman"/>
                <w:spacing w:val="6"/>
                <w:sz w:val="21"/>
                <w:szCs w:val="21"/>
                <w:u w:val="none" w:color="auto"/>
                <w:lang w:val="en-US" w:eastAsia="zh-CN"/>
              </w:rPr>
              <w:t>L</w:t>
            </w:r>
            <w:r>
              <w:rPr>
                <w:rFonts w:hint="default" w:ascii="Times New Roman" w:hAnsi="Times New Roman" w:cs="Times New Roman"/>
                <w:spacing w:val="6"/>
                <w:sz w:val="21"/>
                <w:szCs w:val="21"/>
                <w:u w:val="none" w:color="auto"/>
              </w:rPr>
              <w:t>9支路、</w:t>
            </w:r>
            <w:r>
              <w:rPr>
                <w:rFonts w:hint="eastAsia" w:cs="Times New Roman"/>
                <w:spacing w:val="6"/>
                <w:sz w:val="21"/>
                <w:szCs w:val="21"/>
                <w:u w:val="none" w:color="auto"/>
                <w:lang w:val="en-US" w:eastAsia="zh-CN"/>
              </w:rPr>
              <w:t>L</w:t>
            </w:r>
            <w:r>
              <w:rPr>
                <w:rFonts w:hint="default" w:ascii="Times New Roman" w:hAnsi="Times New Roman" w:cs="Times New Roman"/>
                <w:spacing w:val="6"/>
                <w:sz w:val="21"/>
                <w:szCs w:val="21"/>
                <w:u w:val="none" w:color="auto"/>
              </w:rPr>
              <w:t>10、</w:t>
            </w:r>
            <w:r>
              <w:rPr>
                <w:rFonts w:hint="eastAsia" w:cs="Times New Roman"/>
                <w:spacing w:val="6"/>
                <w:sz w:val="21"/>
                <w:szCs w:val="21"/>
                <w:u w:val="none" w:color="auto"/>
                <w:lang w:val="en-US" w:eastAsia="zh-CN"/>
              </w:rPr>
              <w:t>L</w:t>
            </w:r>
            <w:r>
              <w:rPr>
                <w:rFonts w:hint="default" w:ascii="Times New Roman" w:hAnsi="Times New Roman" w:cs="Times New Roman"/>
                <w:spacing w:val="6"/>
                <w:sz w:val="21"/>
                <w:szCs w:val="21"/>
                <w:u w:val="none" w:color="auto"/>
              </w:rPr>
              <w:t>9风机平台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2" w:hRule="atLeast"/>
        </w:trPr>
        <w:tc>
          <w:tcPr>
            <w:tcW w:w="739"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Z4</w:t>
            </w:r>
          </w:p>
        </w:tc>
        <w:tc>
          <w:tcPr>
            <w:tcW w:w="146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112.12181651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25.32271643</w:t>
            </w:r>
          </w:p>
        </w:tc>
        <w:tc>
          <w:tcPr>
            <w:tcW w:w="94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坡地型</w:t>
            </w:r>
          </w:p>
        </w:tc>
        <w:tc>
          <w:tcPr>
            <w:tcW w:w="15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天然缓坡，平均坡度约24。</w:t>
            </w:r>
          </w:p>
        </w:tc>
        <w:tc>
          <w:tcPr>
            <w:tcW w:w="12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约1.5km</w:t>
            </w:r>
          </w:p>
        </w:tc>
        <w:tc>
          <w:tcPr>
            <w:tcW w:w="99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40</w:t>
            </w:r>
          </w:p>
        </w:tc>
        <w:tc>
          <w:tcPr>
            <w:tcW w:w="9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4.33</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3.25</w:t>
            </w:r>
          </w:p>
        </w:tc>
        <w:tc>
          <w:tcPr>
            <w:tcW w:w="10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0.45</w:t>
            </w:r>
          </w:p>
        </w:tc>
        <w:tc>
          <w:tcPr>
            <w:tcW w:w="7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林地</w:t>
            </w:r>
          </w:p>
        </w:tc>
        <w:tc>
          <w:tcPr>
            <w:tcW w:w="102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0.010</w:t>
            </w:r>
          </w:p>
        </w:tc>
        <w:tc>
          <w:tcPr>
            <w:tcW w:w="2423"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eastAsia" w:cs="Times New Roman"/>
                <w:spacing w:val="6"/>
                <w:sz w:val="21"/>
                <w:szCs w:val="21"/>
                <w:u w:val="none" w:color="auto"/>
                <w:lang w:val="en-US" w:eastAsia="zh-CN"/>
              </w:rPr>
              <w:t>L9</w:t>
            </w:r>
            <w:r>
              <w:rPr>
                <w:rFonts w:hint="default" w:ascii="Times New Roman" w:hAnsi="Times New Roman" w:cs="Times New Roman"/>
                <w:spacing w:val="6"/>
                <w:sz w:val="21"/>
                <w:szCs w:val="21"/>
                <w:u w:val="none" w:color="auto"/>
              </w:rPr>
              <w:t>~Z5 风机平台间道路，</w:t>
            </w:r>
            <w:r>
              <w:rPr>
                <w:rFonts w:hint="eastAsia" w:cs="Times New Roman"/>
                <w:spacing w:val="6"/>
                <w:sz w:val="21"/>
                <w:szCs w:val="21"/>
                <w:u w:val="none" w:color="auto"/>
                <w:lang w:val="en-US" w:eastAsia="zh-CN"/>
              </w:rPr>
              <w:t>L8~L</w:t>
            </w:r>
            <w:r>
              <w:rPr>
                <w:rFonts w:hint="default" w:ascii="Times New Roman" w:hAnsi="Times New Roman" w:cs="Times New Roman"/>
                <w:spacing w:val="6"/>
                <w:sz w:val="21"/>
                <w:szCs w:val="21"/>
                <w:u w:val="none" w:color="auto"/>
              </w:rPr>
              <w:t>6风机平台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2" w:hRule="atLeast"/>
        </w:trPr>
        <w:tc>
          <w:tcPr>
            <w:tcW w:w="739"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Z5</w:t>
            </w:r>
          </w:p>
        </w:tc>
        <w:tc>
          <w:tcPr>
            <w:tcW w:w="146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112.10267581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25.30698428</w:t>
            </w:r>
          </w:p>
        </w:tc>
        <w:tc>
          <w:tcPr>
            <w:tcW w:w="94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坡地型</w:t>
            </w:r>
          </w:p>
        </w:tc>
        <w:tc>
          <w:tcPr>
            <w:tcW w:w="15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天然缓坡，平均坡度约24°</w:t>
            </w:r>
          </w:p>
        </w:tc>
        <w:tc>
          <w:tcPr>
            <w:tcW w:w="12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约0.6km</w:t>
            </w:r>
          </w:p>
        </w:tc>
        <w:tc>
          <w:tcPr>
            <w:tcW w:w="99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34</w:t>
            </w:r>
          </w:p>
        </w:tc>
        <w:tc>
          <w:tcPr>
            <w:tcW w:w="9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2.05</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1.45</w:t>
            </w:r>
          </w:p>
        </w:tc>
        <w:tc>
          <w:tcPr>
            <w:tcW w:w="10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0.</w:t>
            </w:r>
            <w:r>
              <w:rPr>
                <w:rFonts w:hint="eastAsia" w:cs="Times New Roman"/>
                <w:spacing w:val="6"/>
                <w:sz w:val="21"/>
                <w:szCs w:val="21"/>
                <w:u w:val="none" w:color="auto"/>
                <w:lang w:val="en-US" w:eastAsia="zh-CN"/>
              </w:rPr>
              <w:t>3</w:t>
            </w:r>
            <w:r>
              <w:rPr>
                <w:rFonts w:hint="default" w:ascii="Times New Roman" w:hAnsi="Times New Roman" w:cs="Times New Roman"/>
                <w:spacing w:val="6"/>
                <w:sz w:val="21"/>
                <w:szCs w:val="21"/>
                <w:u w:val="none" w:color="auto"/>
              </w:rPr>
              <w:t>7</w:t>
            </w:r>
          </w:p>
        </w:tc>
        <w:tc>
          <w:tcPr>
            <w:tcW w:w="7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林地</w:t>
            </w:r>
          </w:p>
        </w:tc>
        <w:tc>
          <w:tcPr>
            <w:tcW w:w="102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0.003</w:t>
            </w:r>
          </w:p>
        </w:tc>
        <w:tc>
          <w:tcPr>
            <w:tcW w:w="2423"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Z5~Z6 弃渣场间道路，</w:t>
            </w:r>
            <w:r>
              <w:rPr>
                <w:rFonts w:hint="eastAsia" w:cs="Times New Roman"/>
                <w:spacing w:val="6"/>
                <w:sz w:val="21"/>
                <w:szCs w:val="21"/>
                <w:u w:val="none" w:color="auto"/>
                <w:lang w:val="en-US" w:eastAsia="zh-CN"/>
              </w:rPr>
              <w:t>L</w:t>
            </w:r>
            <w:r>
              <w:rPr>
                <w:rFonts w:hint="default" w:ascii="Times New Roman" w:hAnsi="Times New Roman" w:cs="Times New Roman"/>
                <w:spacing w:val="6"/>
                <w:sz w:val="21"/>
                <w:szCs w:val="21"/>
                <w:u w:val="none" w:color="auto"/>
              </w:rPr>
              <w:t>4及</w:t>
            </w:r>
            <w:r>
              <w:rPr>
                <w:rFonts w:hint="eastAsia" w:cs="Times New Roman"/>
                <w:spacing w:val="6"/>
                <w:sz w:val="21"/>
                <w:szCs w:val="21"/>
                <w:u w:val="none" w:color="auto"/>
                <w:lang w:val="en-US" w:eastAsia="zh-CN"/>
              </w:rPr>
              <w:t>L</w:t>
            </w:r>
            <w:r>
              <w:rPr>
                <w:rFonts w:hint="default" w:ascii="Times New Roman" w:hAnsi="Times New Roman" w:cs="Times New Roman"/>
                <w:spacing w:val="6"/>
                <w:sz w:val="21"/>
                <w:szCs w:val="21"/>
                <w:u w:val="none" w:color="auto"/>
              </w:rPr>
              <w:t>5风机平台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2" w:hRule="atLeast"/>
        </w:trPr>
        <w:tc>
          <w:tcPr>
            <w:tcW w:w="739"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Z6</w:t>
            </w:r>
          </w:p>
        </w:tc>
        <w:tc>
          <w:tcPr>
            <w:tcW w:w="146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112.09468232</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25.30504283</w:t>
            </w:r>
          </w:p>
        </w:tc>
        <w:tc>
          <w:tcPr>
            <w:tcW w:w="94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坡地型</w:t>
            </w:r>
          </w:p>
        </w:tc>
        <w:tc>
          <w:tcPr>
            <w:tcW w:w="15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天然缓坡，平均坡度约24°</w:t>
            </w:r>
          </w:p>
        </w:tc>
        <w:tc>
          <w:tcPr>
            <w:tcW w:w="12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约0.8km</w:t>
            </w:r>
          </w:p>
        </w:tc>
        <w:tc>
          <w:tcPr>
            <w:tcW w:w="99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28</w:t>
            </w:r>
          </w:p>
        </w:tc>
        <w:tc>
          <w:tcPr>
            <w:tcW w:w="9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2.44</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1.75</w:t>
            </w:r>
          </w:p>
        </w:tc>
        <w:tc>
          <w:tcPr>
            <w:tcW w:w="10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pacing w:val="6"/>
                <w:sz w:val="21"/>
                <w:szCs w:val="21"/>
                <w:u w:val="none" w:color="auto"/>
                <w:lang w:val="en-US" w:eastAsia="zh-CN"/>
              </w:rPr>
            </w:pPr>
            <w:r>
              <w:rPr>
                <w:rFonts w:hint="default" w:ascii="Times New Roman" w:hAnsi="Times New Roman" w:cs="Times New Roman"/>
                <w:spacing w:val="6"/>
                <w:sz w:val="21"/>
                <w:szCs w:val="21"/>
                <w:u w:val="none" w:color="auto"/>
              </w:rPr>
              <w:t>0.</w:t>
            </w:r>
            <w:r>
              <w:rPr>
                <w:rFonts w:hint="eastAsia" w:cs="Times New Roman"/>
                <w:spacing w:val="6"/>
                <w:sz w:val="21"/>
                <w:szCs w:val="21"/>
                <w:u w:val="none" w:color="auto"/>
                <w:lang w:val="en-US" w:eastAsia="zh-CN"/>
              </w:rPr>
              <w:t>30</w:t>
            </w:r>
          </w:p>
        </w:tc>
        <w:tc>
          <w:tcPr>
            <w:tcW w:w="7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林地</w:t>
            </w:r>
          </w:p>
        </w:tc>
        <w:tc>
          <w:tcPr>
            <w:tcW w:w="102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0.003</w:t>
            </w:r>
          </w:p>
        </w:tc>
        <w:tc>
          <w:tcPr>
            <w:tcW w:w="2423"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Z6~Z7弃渣场间道路，</w:t>
            </w:r>
            <w:r>
              <w:rPr>
                <w:rFonts w:hint="eastAsia" w:cs="Times New Roman"/>
                <w:spacing w:val="6"/>
                <w:sz w:val="21"/>
                <w:szCs w:val="21"/>
                <w:u w:val="none" w:color="auto"/>
                <w:lang w:val="en-US" w:eastAsia="zh-CN"/>
              </w:rPr>
              <w:t>L2</w:t>
            </w:r>
            <w:r>
              <w:rPr>
                <w:rFonts w:hint="default" w:ascii="Times New Roman" w:hAnsi="Times New Roman" w:cs="Times New Roman"/>
                <w:spacing w:val="6"/>
                <w:sz w:val="21"/>
                <w:szCs w:val="21"/>
                <w:u w:val="none" w:color="auto"/>
              </w:rPr>
              <w:t>及</w:t>
            </w:r>
            <w:r>
              <w:rPr>
                <w:rFonts w:hint="eastAsia" w:cs="Times New Roman"/>
                <w:spacing w:val="6"/>
                <w:sz w:val="21"/>
                <w:szCs w:val="21"/>
                <w:u w:val="none" w:color="auto"/>
                <w:lang w:val="en-US" w:eastAsia="zh-CN"/>
              </w:rPr>
              <w:t>L3</w:t>
            </w:r>
            <w:r>
              <w:rPr>
                <w:rFonts w:hint="default" w:ascii="Times New Roman" w:hAnsi="Times New Roman" w:cs="Times New Roman"/>
                <w:spacing w:val="6"/>
                <w:sz w:val="21"/>
                <w:szCs w:val="21"/>
                <w:u w:val="none" w:color="auto"/>
              </w:rPr>
              <w:t>风机平台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7" w:hRule="atLeast"/>
        </w:trPr>
        <w:tc>
          <w:tcPr>
            <w:tcW w:w="739" w:type="dxa"/>
            <w:tcBorders>
              <w:lef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Z7</w:t>
            </w:r>
          </w:p>
        </w:tc>
        <w:tc>
          <w:tcPr>
            <w:tcW w:w="146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112.08891879</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25.30617447</w:t>
            </w:r>
          </w:p>
        </w:tc>
        <w:tc>
          <w:tcPr>
            <w:tcW w:w="94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坡地型</w:t>
            </w:r>
          </w:p>
        </w:tc>
        <w:tc>
          <w:tcPr>
            <w:tcW w:w="15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天然缓坡，平均坡度约22°</w:t>
            </w:r>
          </w:p>
        </w:tc>
        <w:tc>
          <w:tcPr>
            <w:tcW w:w="126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约0.5km</w:t>
            </w:r>
          </w:p>
        </w:tc>
        <w:tc>
          <w:tcPr>
            <w:tcW w:w="99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40</w:t>
            </w:r>
          </w:p>
        </w:tc>
        <w:tc>
          <w:tcPr>
            <w:tcW w:w="95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5.13</w:t>
            </w:r>
          </w:p>
        </w:tc>
        <w:tc>
          <w:tcPr>
            <w:tcW w:w="90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3.85</w:t>
            </w:r>
          </w:p>
        </w:tc>
        <w:tc>
          <w:tcPr>
            <w:tcW w:w="10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0.</w:t>
            </w:r>
            <w:r>
              <w:rPr>
                <w:rFonts w:hint="eastAsia" w:cs="Times New Roman"/>
                <w:spacing w:val="6"/>
                <w:sz w:val="21"/>
                <w:szCs w:val="21"/>
                <w:u w:val="none" w:color="auto"/>
                <w:lang w:val="en-US" w:eastAsia="zh-CN"/>
              </w:rPr>
              <w:t>5</w:t>
            </w:r>
            <w:r>
              <w:rPr>
                <w:rFonts w:hint="default" w:ascii="Times New Roman" w:hAnsi="Times New Roman" w:cs="Times New Roman"/>
                <w:spacing w:val="6"/>
                <w:sz w:val="21"/>
                <w:szCs w:val="21"/>
                <w:u w:val="none" w:color="auto"/>
              </w:rPr>
              <w:t>8</w:t>
            </w:r>
          </w:p>
        </w:tc>
        <w:tc>
          <w:tcPr>
            <w:tcW w:w="77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林地</w:t>
            </w:r>
          </w:p>
        </w:tc>
        <w:tc>
          <w:tcPr>
            <w:tcW w:w="102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r>
              <w:rPr>
                <w:rFonts w:hint="default" w:ascii="Times New Roman" w:hAnsi="Times New Roman" w:cs="Times New Roman"/>
                <w:spacing w:val="6"/>
                <w:sz w:val="21"/>
                <w:szCs w:val="21"/>
                <w:u w:val="none" w:color="auto"/>
              </w:rPr>
              <w:t>0.006</w:t>
            </w:r>
          </w:p>
        </w:tc>
        <w:tc>
          <w:tcPr>
            <w:tcW w:w="2423" w:type="dxa"/>
            <w:tcBorders>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pacing w:val="6"/>
                <w:sz w:val="21"/>
                <w:szCs w:val="21"/>
                <w:u w:val="none" w:color="auto"/>
                <w:lang w:eastAsia="zh-CN"/>
              </w:rPr>
            </w:pPr>
            <w:r>
              <w:rPr>
                <w:rFonts w:hint="default" w:ascii="Times New Roman" w:hAnsi="Times New Roman" w:cs="Times New Roman"/>
                <w:spacing w:val="6"/>
                <w:sz w:val="21"/>
                <w:szCs w:val="21"/>
                <w:u w:val="none" w:color="auto"/>
              </w:rPr>
              <w:t>Z7~Z8弃渣场间道路</w:t>
            </w:r>
            <w:r>
              <w:rPr>
                <w:rFonts w:hint="eastAsia" w:cs="Times New Roman"/>
                <w:spacing w:val="6"/>
                <w:sz w:val="21"/>
                <w:szCs w:val="21"/>
                <w:u w:val="none" w:color="auto"/>
                <w:lang w:eastAsia="zh-CN"/>
              </w:rPr>
              <w:t>，</w:t>
            </w:r>
            <w:r>
              <w:rPr>
                <w:rFonts w:hint="eastAsia" w:cs="Times New Roman"/>
                <w:spacing w:val="6"/>
                <w:sz w:val="21"/>
                <w:szCs w:val="21"/>
                <w:u w:val="none" w:color="auto"/>
                <w:lang w:val="en-US" w:eastAsia="zh-CN"/>
              </w:rPr>
              <w:t>L1</w:t>
            </w:r>
            <w:r>
              <w:rPr>
                <w:rFonts w:hint="default" w:ascii="Times New Roman" w:hAnsi="Times New Roman" w:cs="Times New Roman"/>
                <w:spacing w:val="6"/>
                <w:sz w:val="21"/>
                <w:szCs w:val="21"/>
                <w:u w:val="none" w:color="auto"/>
              </w:rPr>
              <w:t>风机平台支路，</w:t>
            </w:r>
            <w:r>
              <w:rPr>
                <w:rFonts w:hint="eastAsia" w:cs="Times New Roman"/>
                <w:spacing w:val="6"/>
                <w:sz w:val="21"/>
                <w:szCs w:val="21"/>
                <w:u w:val="none" w:color="auto"/>
                <w:lang w:val="en-US" w:eastAsia="zh-CN"/>
              </w:rPr>
              <w:t>L1</w:t>
            </w:r>
            <w:r>
              <w:rPr>
                <w:rFonts w:hint="default" w:ascii="Times New Roman" w:hAnsi="Times New Roman" w:cs="Times New Roman"/>
                <w:spacing w:val="6"/>
                <w:sz w:val="21"/>
                <w:szCs w:val="21"/>
                <w:u w:val="none" w:color="auto"/>
              </w:rPr>
              <w:t>风机平台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6" w:hRule="atLeast"/>
        </w:trPr>
        <w:tc>
          <w:tcPr>
            <w:tcW w:w="7928" w:type="dxa"/>
            <w:gridSpan w:val="7"/>
            <w:tcBorders>
              <w:left w:val="single" w:color="000000" w:sz="10" w:space="0"/>
              <w:bottom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pacing w:val="6"/>
                <w:sz w:val="21"/>
                <w:szCs w:val="21"/>
                <w:u w:val="none" w:color="auto"/>
                <w:lang w:val="en-US" w:eastAsia="zh-CN"/>
              </w:rPr>
            </w:pPr>
            <w:r>
              <w:rPr>
                <w:rFonts w:hint="eastAsia" w:cs="Times New Roman"/>
                <w:spacing w:val="6"/>
                <w:sz w:val="21"/>
                <w:szCs w:val="21"/>
                <w:u w:val="none" w:color="auto"/>
                <w:lang w:val="en-US" w:eastAsia="zh-CN"/>
              </w:rPr>
              <w:t>合计</w:t>
            </w:r>
          </w:p>
        </w:tc>
        <w:tc>
          <w:tcPr>
            <w:tcW w:w="903"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pacing w:val="6"/>
                <w:sz w:val="21"/>
                <w:szCs w:val="21"/>
                <w:u w:val="none" w:color="auto"/>
              </w:rPr>
            </w:pPr>
            <w:r>
              <w:rPr>
                <w:rFonts w:hint="default" w:ascii="Times New Roman" w:hAnsi="Times New Roman" w:eastAsia="宋体" w:cs="Times New Roman"/>
                <w:spacing w:val="6"/>
                <w:sz w:val="21"/>
                <w:szCs w:val="21"/>
                <w:u w:val="none" w:color="auto"/>
                <w:lang w:val="en-US" w:eastAsia="zh-CN"/>
              </w:rPr>
              <w:t>21.68</w:t>
            </w:r>
          </w:p>
        </w:tc>
        <w:tc>
          <w:tcPr>
            <w:tcW w:w="1004"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pacing w:val="6"/>
                <w:sz w:val="21"/>
                <w:szCs w:val="21"/>
                <w:u w:val="none" w:color="auto"/>
                <w:lang w:val="en-US"/>
              </w:rPr>
            </w:pPr>
            <w:r>
              <w:rPr>
                <w:rFonts w:hint="eastAsia" w:ascii="Times New Roman" w:hAnsi="Times New Roman" w:eastAsia="宋体" w:cs="Times New Roman"/>
                <w:spacing w:val="6"/>
                <w:sz w:val="21"/>
                <w:szCs w:val="21"/>
                <w:u w:val="none" w:color="auto"/>
                <w:lang w:val="en-US" w:eastAsia="zh-CN"/>
              </w:rPr>
              <w:t>3.13</w:t>
            </w:r>
          </w:p>
        </w:tc>
        <w:tc>
          <w:tcPr>
            <w:tcW w:w="773"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p>
        </w:tc>
        <w:tc>
          <w:tcPr>
            <w:tcW w:w="1027"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pacing w:val="6"/>
                <w:sz w:val="21"/>
                <w:szCs w:val="21"/>
                <w:u w:val="none" w:color="auto"/>
              </w:rPr>
            </w:pPr>
          </w:p>
        </w:tc>
        <w:tc>
          <w:tcPr>
            <w:tcW w:w="2423" w:type="dxa"/>
            <w:tcBorders>
              <w:bottom w:val="single" w:color="000000" w:sz="10" w:space="0"/>
              <w:right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spacing w:val="6"/>
                <w:sz w:val="21"/>
                <w:szCs w:val="21"/>
                <w:u w:val="none" w:color="auto"/>
                <w:lang w:val="en-US" w:eastAsia="zh-CN"/>
              </w:rPr>
            </w:pPr>
          </w:p>
        </w:tc>
      </w:tr>
    </w:tbl>
    <w:p>
      <w:pPr>
        <w:bidi w:val="0"/>
        <w:rPr>
          <w:rFonts w:hint="default" w:ascii="Times New Roman" w:hAnsi="Times New Roman" w:cs="Times New Roman"/>
          <w:u w:val="none" w:color="auto"/>
          <w:lang w:eastAsia="zh-CN"/>
        </w:rPr>
        <w:sectPr>
          <w:pgSz w:w="16838" w:h="11905" w:orient="landscape"/>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3" w:charSpace="0"/>
        </w:sectPr>
      </w:pPr>
    </w:p>
    <w:p>
      <w:pPr>
        <w:pStyle w:val="458"/>
        <w:ind w:firstLine="602"/>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38" w:name="_Toc475442594"/>
      <w:bookmarkStart w:id="39" w:name="_Toc37246039"/>
      <w:bookmarkStart w:id="40" w:name="_Toc472280135"/>
      <w:r>
        <w:rPr>
          <w:rFonts w:hint="default" w:ascii="Times New Roman" w:hAnsi="Times New Roman" w:eastAsia="宋体" w:cs="Times New Roman"/>
          <w:color w:val="000000" w:themeColor="text1"/>
          <w:u w:val="none" w:color="auto"/>
          <w:lang w:val="en-US" w:eastAsia="zh-CN"/>
          <w14:textFill>
            <w14:solidFill>
              <w14:schemeClr w14:val="tx1"/>
            </w14:solidFill>
          </w14:textFill>
        </w:rPr>
        <w:t>劳动定员及施工工期</w:t>
      </w:r>
      <w:bookmarkEnd w:id="38"/>
      <w:bookmarkEnd w:id="39"/>
      <w:bookmarkEnd w:id="40"/>
    </w:p>
    <w:p>
      <w:pPr>
        <w:bidi w:val="0"/>
        <w:rPr>
          <w:rFonts w:hint="default"/>
        </w:rPr>
      </w:pPr>
      <w:r>
        <w:rPr>
          <w:rFonts w:hint="default"/>
        </w:rPr>
        <w:t>1、劳动定员</w:t>
      </w:r>
    </w:p>
    <w:p>
      <w:pPr>
        <w:bidi w:val="0"/>
        <w:rPr>
          <w:rFonts w:hint="default"/>
        </w:rPr>
      </w:pPr>
      <w:r>
        <w:rPr>
          <w:rFonts w:hint="default"/>
        </w:rPr>
        <w:t>本项目运行管理人员</w:t>
      </w:r>
      <w:r>
        <w:rPr>
          <w:rFonts w:hint="eastAsia"/>
          <w:lang w:val="en-US" w:eastAsia="zh-CN"/>
        </w:rPr>
        <w:t>10</w:t>
      </w:r>
      <w:r>
        <w:rPr>
          <w:rFonts w:hint="default"/>
        </w:rPr>
        <w:t>人。</w:t>
      </w:r>
    </w:p>
    <w:p>
      <w:pPr>
        <w:bidi w:val="0"/>
        <w:rPr>
          <w:rFonts w:hint="default"/>
        </w:rPr>
      </w:pPr>
      <w:r>
        <w:rPr>
          <w:rFonts w:hint="default"/>
        </w:rPr>
        <w:t>2、施工进度</w:t>
      </w:r>
    </w:p>
    <w:p>
      <w:pPr>
        <w:bidi w:val="0"/>
        <w:rPr>
          <w:rFonts w:hint="default" w:ascii="Times New Roman" w:hAnsi="Times New Roman" w:cs="Times New Roman"/>
          <w:sz w:val="24"/>
          <w:szCs w:val="24"/>
          <w:u w:val="none" w:color="auto"/>
          <w:lang w:val="en-US" w:eastAsia="zh-CN"/>
        </w:rPr>
      </w:pPr>
      <w:r>
        <w:rPr>
          <w:rFonts w:hint="default"/>
        </w:rPr>
        <w:t>本工程施工工期由施工准备期和主体工程施工期两部分组成，施工准备期主要包括场内施工道路、临时生产、生活设施的修建。主体工程施工期主要包括风力发电机土建与机组安装工程施工。施工总工期安排为12个月</w:t>
      </w:r>
      <w:r>
        <w:rPr>
          <w:rFonts w:hint="default" w:ascii="Times New Roman" w:hAnsi="Times New Roman" w:cs="Times New Roman"/>
          <w:sz w:val="24"/>
          <w:u w:val="none" w:color="auto"/>
        </w:rPr>
        <w:t>。</w:t>
      </w:r>
    </w:p>
    <w:p>
      <w:pPr>
        <w:pStyle w:val="458"/>
        <w:ind w:firstLine="60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工程投资</w:t>
      </w:r>
    </w:p>
    <w:p>
      <w:pPr>
        <w:bidi w:val="0"/>
        <w:rPr>
          <w:rFonts w:hint="eastAsia"/>
          <w:lang w:val="en-US" w:eastAsia="zh-CN"/>
        </w:rPr>
      </w:pPr>
      <w:r>
        <w:t>工程总</w:t>
      </w:r>
      <w:r>
        <w:rPr>
          <w:rFonts w:hint="default"/>
        </w:rPr>
        <w:t>投资</w:t>
      </w:r>
      <w:r>
        <w:rPr>
          <w:rFonts w:hint="eastAsia"/>
          <w:lang w:val="en-US" w:eastAsia="zh-CN"/>
        </w:rPr>
        <w:t>5.01亿</w:t>
      </w:r>
      <w:r>
        <w:rPr>
          <w:rFonts w:hint="eastAsia"/>
        </w:rPr>
        <w:t>元，</w:t>
      </w:r>
      <w:r>
        <w:rPr>
          <w:rFonts w:hint="eastAsia"/>
          <w:lang w:val="en-US" w:eastAsia="zh-CN"/>
        </w:rPr>
        <w:t>由建设单位自筹</w:t>
      </w:r>
      <w:r>
        <w:t>。</w:t>
      </w:r>
    </w:p>
    <w:p>
      <w:pPr>
        <w:pStyle w:val="3"/>
        <w:bidi w:val="0"/>
        <w:rPr>
          <w:rFonts w:hint="eastAsia"/>
          <w:color w:val="auto"/>
          <w:u w:val="none" w:color="auto"/>
          <w:lang w:val="en-US" w:eastAsia="zh-CN"/>
        </w:rPr>
      </w:pPr>
      <w:bookmarkStart w:id="41" w:name="_Toc1901"/>
      <w:r>
        <w:rPr>
          <w:rFonts w:hint="eastAsia"/>
          <w:color w:val="auto"/>
          <w:u w:val="none" w:color="auto"/>
          <w:lang w:val="en-US" w:eastAsia="zh-CN"/>
        </w:rPr>
        <w:t>工程分析</w:t>
      </w:r>
      <w:bookmarkEnd w:id="41"/>
    </w:p>
    <w:bookmarkEnd w:id="36"/>
    <w:p>
      <w:pPr>
        <w:pStyle w:val="458"/>
        <w:ind w:firstLine="602"/>
        <w:rPr>
          <w:rFonts w:hint="default"/>
          <w:u w:val="none" w:color="auto"/>
          <w:lang w:val="en-US" w:eastAsia="zh-CN"/>
        </w:rPr>
      </w:pPr>
      <w:r>
        <w:rPr>
          <w:rFonts w:hint="default" w:ascii="Times New Roman" w:hAnsi="Times New Roman" w:eastAsia="宋体" w:cs="Times New Roman"/>
          <w:sz w:val="28"/>
          <w:szCs w:val="28"/>
          <w:u w:val="none" w:color="auto"/>
          <w:lang w:val="en-US" w:eastAsia="zh-CN"/>
        </w:rPr>
        <w:t>施工</w:t>
      </w:r>
      <w:r>
        <w:rPr>
          <w:rFonts w:hint="eastAsia" w:eastAsia="宋体" w:cs="Times New Roman"/>
          <w:sz w:val="28"/>
          <w:szCs w:val="28"/>
          <w:u w:val="none" w:color="auto"/>
          <w:lang w:val="en-US" w:eastAsia="zh-CN"/>
        </w:rPr>
        <w:t>期</w:t>
      </w:r>
      <w:r>
        <w:rPr>
          <w:rFonts w:hint="default" w:ascii="Times New Roman" w:hAnsi="Times New Roman" w:eastAsia="宋体" w:cs="Times New Roman"/>
          <w:sz w:val="28"/>
          <w:szCs w:val="28"/>
          <w:u w:val="none" w:color="auto"/>
          <w:lang w:val="en-US" w:eastAsia="zh-CN"/>
        </w:rPr>
        <w:t>工艺</w:t>
      </w:r>
      <w:r>
        <w:rPr>
          <w:rFonts w:hint="eastAsia" w:eastAsia="宋体" w:cs="Times New Roman"/>
          <w:sz w:val="28"/>
          <w:szCs w:val="28"/>
          <w:u w:val="none" w:color="auto"/>
          <w:lang w:val="en-US" w:eastAsia="zh-CN"/>
        </w:rPr>
        <w:t>流程</w:t>
      </w:r>
    </w:p>
    <w:p>
      <w:pPr>
        <w:bidi w:val="0"/>
        <w:rPr>
          <w:rFonts w:hint="default" w:ascii="Times New Roman" w:hAnsi="Times New Roman" w:cs="Times New Roman"/>
          <w:kern w:val="2"/>
          <w:szCs w:val="24"/>
          <w:u w:val="none" w:color="auto"/>
        </w:rPr>
      </w:pPr>
      <w:r>
        <w:rPr>
          <w:rFonts w:hint="default" w:ascii="Times New Roman" w:hAnsi="Times New Roman" w:cs="Times New Roman"/>
          <w:kern w:val="2"/>
          <w:szCs w:val="24"/>
          <w:u w:val="none" w:color="auto"/>
        </w:rPr>
        <w:t>1、本项目施工</w:t>
      </w:r>
      <w:r>
        <w:rPr>
          <w:rFonts w:hint="default"/>
        </w:rPr>
        <w:t>工序</w:t>
      </w:r>
      <w:r>
        <w:rPr>
          <w:rFonts w:hint="default" w:ascii="Times New Roman" w:hAnsi="Times New Roman" w:cs="Times New Roman"/>
          <w:kern w:val="2"/>
          <w:szCs w:val="24"/>
          <w:u w:val="none" w:color="auto"/>
        </w:rPr>
        <w:t>主要包括：修建道路、平整场地、风电机组安装、集电线路敷设及临时性工程建设等。</w:t>
      </w:r>
    </w:p>
    <w:p>
      <w:pPr>
        <w:bidi w:val="0"/>
        <w:rPr>
          <w:rFonts w:hint="default" w:ascii="Times New Roman" w:hAnsi="Times New Roman" w:cs="Times New Roman"/>
          <w:kern w:val="2"/>
          <w:szCs w:val="24"/>
          <w:u w:val="none" w:color="auto"/>
        </w:rPr>
      </w:pPr>
      <w:r>
        <w:rPr>
          <w:rFonts w:hint="default" w:ascii="Times New Roman" w:hAnsi="Times New Roman" w:cs="Times New Roman"/>
          <w:kern w:val="2"/>
          <w:szCs w:val="24"/>
          <w:u w:val="none" w:color="auto"/>
        </w:rPr>
        <w:t>施工期</w:t>
      </w:r>
      <w:r>
        <w:rPr>
          <w:rFonts w:hint="default"/>
        </w:rPr>
        <w:t>工艺流程</w:t>
      </w:r>
      <w:r>
        <w:rPr>
          <w:rFonts w:hint="default" w:ascii="Times New Roman" w:hAnsi="Times New Roman" w:cs="Times New Roman"/>
          <w:kern w:val="2"/>
          <w:szCs w:val="24"/>
          <w:u w:val="none" w:color="auto"/>
        </w:rPr>
        <w:t>及产污节点见图</w:t>
      </w:r>
      <w:r>
        <w:rPr>
          <w:rFonts w:hint="eastAsia" w:ascii="Times New Roman" w:hAnsi="Times New Roman" w:cs="Times New Roman"/>
          <w:kern w:val="2"/>
          <w:szCs w:val="24"/>
          <w:u w:val="none" w:color="auto"/>
          <w:lang w:val="en-US" w:eastAsia="zh-CN"/>
        </w:rPr>
        <w:t>2-</w:t>
      </w:r>
      <w:r>
        <w:rPr>
          <w:rFonts w:hint="eastAsia" w:cs="Times New Roman"/>
          <w:kern w:val="2"/>
          <w:szCs w:val="24"/>
          <w:u w:val="none" w:color="auto"/>
          <w:lang w:val="en-US" w:eastAsia="zh-CN"/>
        </w:rPr>
        <w:t>3</w:t>
      </w:r>
      <w:r>
        <w:rPr>
          <w:rFonts w:hint="default" w:ascii="Times New Roman" w:hAnsi="Times New Roman" w:cs="Times New Roman"/>
          <w:kern w:val="2"/>
          <w:szCs w:val="24"/>
          <w:u w:val="none" w:color="auto"/>
        </w:rPr>
        <w:t>。</w:t>
      </w:r>
    </w:p>
    <w:p>
      <w:pPr>
        <w:pStyle w:val="3655"/>
        <w:ind w:left="0" w:leftChars="0" w:firstLine="0" w:firstLineChars="0"/>
        <w:jc w:val="center"/>
        <w:rPr>
          <w:rFonts w:hint="default" w:ascii="Times New Roman" w:hAnsi="Times New Roman" w:cs="Times New Roman"/>
          <w:u w:val="none" w:color="auto"/>
        </w:rPr>
      </w:pPr>
      <w:r>
        <w:rPr>
          <w:color w:val="auto"/>
          <w:szCs w:val="21"/>
        </w:rPr>
        <w:drawing>
          <wp:inline distT="0" distB="0" distL="114300" distR="114300">
            <wp:extent cx="5759450" cy="6175375"/>
            <wp:effectExtent l="0" t="0" r="12700" b="15875"/>
            <wp:docPr id="61"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true"/>
                    </pic:cNvPicPr>
                  </pic:nvPicPr>
                  <pic:blipFill>
                    <a:blip r:embed="rId34"/>
                    <a:stretch>
                      <a:fillRect/>
                    </a:stretch>
                  </pic:blipFill>
                  <pic:spPr>
                    <a:xfrm>
                      <a:off x="0" y="0"/>
                      <a:ext cx="5759450" cy="6175375"/>
                    </a:xfrm>
                    <a:prstGeom prst="rect">
                      <a:avLst/>
                    </a:prstGeom>
                    <a:noFill/>
                    <a:ln>
                      <a:noFill/>
                    </a:ln>
                  </pic:spPr>
                </pic:pic>
              </a:graphicData>
            </a:graphic>
          </wp:inline>
        </w:drawing>
      </w:r>
    </w:p>
    <w:p>
      <w:pPr>
        <w:pStyle w:val="3655"/>
        <w:ind w:left="0" w:leftChars="0" w:firstLine="0" w:firstLineChars="0"/>
        <w:jc w:val="center"/>
        <w:rPr>
          <w:rFonts w:hint="default" w:ascii="Times New Roman" w:hAnsi="Times New Roman" w:cs="Times New Roman"/>
          <w:sz w:val="21"/>
          <w:szCs w:val="21"/>
          <w:u w:val="none" w:color="auto"/>
        </w:rPr>
      </w:pPr>
      <w:r>
        <w:rPr>
          <w:rFonts w:hint="default" w:ascii="Times New Roman" w:hAnsi="Times New Roman" w:cs="Times New Roman"/>
          <w:b/>
          <w:bCs/>
          <w:kern w:val="2"/>
          <w:sz w:val="21"/>
          <w:szCs w:val="21"/>
          <w:u w:val="none" w:color="auto"/>
        </w:rPr>
        <w:t>图</w:t>
      </w:r>
      <w:r>
        <w:rPr>
          <w:rFonts w:hint="eastAsia" w:ascii="Times New Roman" w:hAnsi="Times New Roman" w:cs="Times New Roman"/>
          <w:b/>
          <w:bCs/>
          <w:kern w:val="2"/>
          <w:sz w:val="21"/>
          <w:szCs w:val="21"/>
          <w:u w:val="none" w:color="auto"/>
          <w:lang w:val="en-US" w:eastAsia="zh-CN"/>
        </w:rPr>
        <w:t>2-</w:t>
      </w:r>
      <w:r>
        <w:rPr>
          <w:rFonts w:hint="eastAsia" w:cs="Times New Roman"/>
          <w:b/>
          <w:bCs/>
          <w:kern w:val="2"/>
          <w:sz w:val="21"/>
          <w:szCs w:val="21"/>
          <w:u w:val="none" w:color="auto"/>
          <w:lang w:val="en-US" w:eastAsia="zh-CN"/>
        </w:rPr>
        <w:t xml:space="preserve">3 </w:t>
      </w:r>
      <w:r>
        <w:rPr>
          <w:rFonts w:hint="default" w:ascii="Times New Roman" w:hAnsi="Times New Roman" w:cs="Times New Roman"/>
          <w:b/>
          <w:bCs/>
          <w:kern w:val="2"/>
          <w:sz w:val="21"/>
          <w:szCs w:val="21"/>
          <w:u w:val="none" w:color="auto"/>
        </w:rPr>
        <w:t>施工工序及产污节点示意图</w:t>
      </w:r>
    </w:p>
    <w:p>
      <w:pPr>
        <w:bidi w:val="0"/>
        <w:rPr>
          <w:rFonts w:hint="default" w:ascii="Times New Roman" w:hAnsi="Times New Roman" w:cs="Times New Roman"/>
          <w:kern w:val="2"/>
          <w:szCs w:val="24"/>
          <w:u w:val="none" w:color="auto"/>
        </w:rPr>
      </w:pPr>
      <w:r>
        <w:rPr>
          <w:rFonts w:hint="default" w:ascii="Times New Roman" w:hAnsi="Times New Roman" w:cs="Times New Roman"/>
          <w:kern w:val="2"/>
          <w:szCs w:val="24"/>
          <w:u w:val="none" w:color="auto"/>
        </w:rPr>
        <w:t>2、施工期工艺流程简介</w:t>
      </w:r>
    </w:p>
    <w:p>
      <w:pPr>
        <w:bidi w:val="0"/>
        <w:rPr>
          <w:rFonts w:hint="eastAsia" w:ascii="Times New Roman" w:hAnsi="Times New Roman" w:cs="Times New Roman"/>
          <w:kern w:val="2"/>
          <w:szCs w:val="24"/>
          <w:u w:val="none" w:color="auto"/>
        </w:rPr>
      </w:pPr>
      <w:bookmarkStart w:id="42" w:name="_Toc480468021"/>
      <w:bookmarkStart w:id="43" w:name="_Toc37246038"/>
      <w:bookmarkStart w:id="44" w:name="_Toc467851495"/>
      <w:bookmarkStart w:id="45" w:name="_Toc472772127"/>
      <w:bookmarkStart w:id="46" w:name="_Toc471159898"/>
      <w:bookmarkStart w:id="47" w:name="_Toc479348686"/>
      <w:bookmarkStart w:id="48" w:name="_Toc472280134"/>
      <w:bookmarkStart w:id="49" w:name="_Toc7339038"/>
      <w:bookmarkStart w:id="50" w:name="_Toc479076089"/>
      <w:bookmarkStart w:id="51" w:name="_Toc475441996"/>
      <w:bookmarkStart w:id="52" w:name="_Toc477277777"/>
      <w:bookmarkStart w:id="53" w:name="_Toc3277049"/>
      <w:bookmarkStart w:id="54" w:name="_Toc475442593"/>
      <w:bookmarkStart w:id="55" w:name="_Toc477962481"/>
      <w:bookmarkStart w:id="56" w:name="_Toc479175176"/>
      <w:bookmarkStart w:id="57" w:name="_Toc24551618"/>
      <w:r>
        <w:rPr>
          <w:rFonts w:hint="eastAsia" w:ascii="Times New Roman" w:hAnsi="Times New Roman" w:cs="Times New Roman"/>
          <w:kern w:val="2"/>
          <w:szCs w:val="24"/>
          <w:u w:val="none" w:color="auto"/>
        </w:rPr>
        <w:t>（1）道路施工</w:t>
      </w:r>
    </w:p>
    <w:p>
      <w:pPr>
        <w:bidi w:val="0"/>
        <w:rPr>
          <w:rFonts w:hint="eastAsia" w:ascii="Times New Roman" w:hAnsi="Times New Roman" w:cs="Times New Roman"/>
          <w:kern w:val="2"/>
          <w:szCs w:val="24"/>
          <w:u w:val="none" w:color="auto"/>
        </w:rPr>
      </w:pPr>
      <w:r>
        <w:rPr>
          <w:rFonts w:hint="eastAsia" w:cs="Times New Roman"/>
          <w:kern w:val="2"/>
          <w:szCs w:val="24"/>
          <w:u w:val="none" w:color="auto"/>
          <w:lang w:val="en-US" w:eastAsia="zh-CN"/>
        </w:rPr>
        <w:t>道路</w:t>
      </w:r>
      <w:r>
        <w:rPr>
          <w:rFonts w:hint="eastAsia" w:ascii="Times New Roman" w:hAnsi="Times New Roman" w:cs="Times New Roman"/>
          <w:kern w:val="2"/>
          <w:szCs w:val="24"/>
          <w:u w:val="none" w:color="auto"/>
        </w:rPr>
        <w:t>土方采用挖掘机开挖，石方采用手风钻钻孔破碎，推土机集料，装载机配5t自卸汽车运至道路填方部位或相应的弃渣场，并根据现场开挖后的地质条件，在需要路段砌筑挡墙。土石方填筑采用10t自卸汽车卸料，推土机推平，按设计要求分层碾压至设计密实度。</w:t>
      </w:r>
    </w:p>
    <w:p>
      <w:pPr>
        <w:bidi w:val="0"/>
        <w:rPr>
          <w:rFonts w:hint="eastAsia" w:ascii="Times New Roman" w:hAnsi="Times New Roman" w:cs="Times New Roman"/>
          <w:kern w:val="2"/>
          <w:szCs w:val="24"/>
          <w:u w:val="none" w:color="auto"/>
        </w:rPr>
      </w:pPr>
      <w:r>
        <w:rPr>
          <w:rFonts w:hint="eastAsia" w:ascii="Times New Roman" w:hAnsi="Times New Roman" w:cs="Times New Roman"/>
          <w:kern w:val="2"/>
          <w:szCs w:val="24"/>
          <w:u w:val="none" w:color="auto"/>
        </w:rPr>
        <w:t>（2）风电机组基础施工</w:t>
      </w:r>
    </w:p>
    <w:p>
      <w:pPr>
        <w:bidi w:val="0"/>
        <w:rPr>
          <w:rFonts w:hint="eastAsia" w:ascii="Times New Roman" w:hAnsi="Times New Roman" w:cs="Times New Roman"/>
          <w:kern w:val="2"/>
          <w:szCs w:val="24"/>
          <w:u w:val="none" w:color="auto"/>
        </w:rPr>
      </w:pPr>
      <w:r>
        <w:rPr>
          <w:rFonts w:hint="eastAsia" w:ascii="Times New Roman" w:hAnsi="Times New Roman" w:cs="Times New Roman"/>
          <w:kern w:val="2"/>
          <w:szCs w:val="24"/>
          <w:u w:val="none" w:color="auto"/>
        </w:rPr>
        <w:t>施工方案：基础开挖前，按照图纸要求进行测量、放线，准确定位后进行土石方开挖。基础土石方开挖采用推土机或反铲分层剥离，尽量避免基底土方扰动，基坑底部留30cm保护层，采用人工开挖。基坑开挖以钢筋混凝土结构尺寸每边各加宽1.0m，为防止脱落土石滑下影响施工，开挖按1∶1放坡，风机基础混凝土强度C40。开挖出底面后经人工清理验收完成后，再浇筑厚度100mm的C20混凝土垫层。在其上进行基础混凝土施工，施工需架设模板、绑扎钢筋并浇筑混凝土，其尺寸和钢筋的布置严格按照设计图纸要求进行。混凝土必须一次浇筑完成，不允许有施工接缝。混凝土施工中应用测量仪器经常测量，以保证基础埋筒的上法兰平整度为±2mm的精度要求。施工结束后混凝土表面必须遮盖养护，防止表面出现裂缝。回填土石料要求密度大于1.8t/m</w:t>
      </w:r>
      <w:r>
        <w:rPr>
          <w:rFonts w:hint="eastAsia" w:ascii="Times New Roman" w:hAnsi="Times New Roman" w:cs="Times New Roman"/>
          <w:kern w:val="2"/>
          <w:szCs w:val="24"/>
          <w:u w:val="none" w:color="auto"/>
          <w:vertAlign w:val="superscript"/>
        </w:rPr>
        <w:t>3</w:t>
      </w:r>
      <w:r>
        <w:rPr>
          <w:rFonts w:hint="eastAsia" w:ascii="Times New Roman" w:hAnsi="Times New Roman" w:cs="Times New Roman"/>
          <w:kern w:val="2"/>
          <w:szCs w:val="24"/>
          <w:u w:val="none" w:color="auto"/>
        </w:rPr>
        <w:t>，填至风机基础顶面下5cm，并设置2%的排水坡度。</w:t>
      </w:r>
    </w:p>
    <w:p>
      <w:pPr>
        <w:bidi w:val="0"/>
        <w:rPr>
          <w:rFonts w:hint="eastAsia" w:ascii="Times New Roman" w:hAnsi="Times New Roman" w:cs="Times New Roman"/>
          <w:kern w:val="2"/>
          <w:szCs w:val="24"/>
          <w:u w:val="none" w:color="auto"/>
        </w:rPr>
      </w:pPr>
      <w:r>
        <w:rPr>
          <w:rFonts w:hint="eastAsia" w:ascii="Times New Roman" w:hAnsi="Times New Roman" w:cs="Times New Roman"/>
          <w:kern w:val="2"/>
          <w:szCs w:val="24"/>
          <w:u w:val="none" w:color="auto"/>
        </w:rPr>
        <w:t>施工过程中，混凝土浇筑后须进行洒水温控保湿养护，待混凝土强度达到90%以上时方可安装机组塔架。</w:t>
      </w:r>
    </w:p>
    <w:p>
      <w:pPr>
        <w:bidi w:val="0"/>
        <w:rPr>
          <w:rFonts w:hint="eastAsia" w:ascii="Times New Roman" w:hAnsi="Times New Roman" w:cs="Times New Roman"/>
          <w:kern w:val="2"/>
          <w:szCs w:val="24"/>
          <w:u w:val="none" w:color="auto"/>
        </w:rPr>
      </w:pPr>
      <w:r>
        <w:rPr>
          <w:rFonts w:hint="eastAsia" w:ascii="Times New Roman" w:hAnsi="Times New Roman" w:cs="Times New Roman"/>
          <w:kern w:val="2"/>
          <w:szCs w:val="24"/>
          <w:u w:val="none" w:color="auto"/>
        </w:rPr>
        <w:t>（3）</w:t>
      </w:r>
      <w:r>
        <w:rPr>
          <w:rFonts w:hint="eastAsia" w:ascii="Times New Roman" w:hAnsi="Times New Roman" w:cs="Times New Roman"/>
          <w:kern w:val="2"/>
          <w:szCs w:val="24"/>
          <w:u w:val="none" w:color="auto"/>
          <w:lang w:eastAsia="zh-CN"/>
        </w:rPr>
        <w:t>箱式变压器</w:t>
      </w:r>
      <w:r>
        <w:rPr>
          <w:rFonts w:hint="eastAsia" w:ascii="Times New Roman" w:hAnsi="Times New Roman" w:cs="Times New Roman"/>
          <w:kern w:val="2"/>
          <w:szCs w:val="24"/>
          <w:u w:val="none" w:color="auto"/>
        </w:rPr>
        <w:t>基础施工</w:t>
      </w:r>
    </w:p>
    <w:p>
      <w:pPr>
        <w:bidi w:val="0"/>
        <w:rPr>
          <w:rFonts w:hint="eastAsia" w:ascii="Times New Roman" w:hAnsi="Times New Roman" w:cs="Times New Roman"/>
          <w:kern w:val="2"/>
          <w:szCs w:val="24"/>
          <w:u w:val="none" w:color="auto"/>
        </w:rPr>
      </w:pPr>
      <w:r>
        <w:rPr>
          <w:rFonts w:hint="eastAsia" w:ascii="Times New Roman" w:hAnsi="Times New Roman" w:cs="Times New Roman"/>
          <w:kern w:val="2"/>
          <w:szCs w:val="24"/>
          <w:u w:val="none" w:color="auto"/>
          <w:lang w:eastAsia="zh-CN"/>
        </w:rPr>
        <w:t>箱式变压器</w:t>
      </w:r>
      <w:r>
        <w:rPr>
          <w:rFonts w:hint="eastAsia" w:ascii="Times New Roman" w:hAnsi="Times New Roman" w:cs="Times New Roman"/>
          <w:kern w:val="2"/>
          <w:szCs w:val="24"/>
          <w:u w:val="none" w:color="auto"/>
        </w:rPr>
        <w:t>的基础采用混凝土基础。首先用小型挖掘机进行基础开挖，并辅以人工修正基坑边坡，基础开挖完工后，应将基坑清理干净，进行验收。基坑验收完毕后，根据地质情况对基础做出处理。浇筑基础混凝土时，先浇筑100mm厚度的C20混凝土垫层，待混凝土达到设计强度后，再进行绑扎钢筋、架设模板，浇筑C30基础混凝土。</w:t>
      </w:r>
    </w:p>
    <w:p>
      <w:pPr>
        <w:bidi w:val="0"/>
        <w:rPr>
          <w:rFonts w:hint="eastAsia" w:ascii="Times New Roman" w:hAnsi="Times New Roman" w:cs="Times New Roman"/>
          <w:kern w:val="2"/>
          <w:szCs w:val="24"/>
          <w:u w:val="none" w:color="auto"/>
        </w:rPr>
      </w:pPr>
      <w:r>
        <w:rPr>
          <w:rFonts w:hint="eastAsia" w:ascii="Times New Roman" w:hAnsi="Times New Roman" w:cs="Times New Roman"/>
          <w:kern w:val="2"/>
          <w:szCs w:val="24"/>
          <w:u w:val="none" w:color="auto"/>
        </w:rPr>
        <w:t>（4）风机机组安装</w:t>
      </w:r>
    </w:p>
    <w:p>
      <w:pPr>
        <w:bidi w:val="0"/>
        <w:rPr>
          <w:rFonts w:hint="eastAsia" w:ascii="Times New Roman" w:hAnsi="Times New Roman" w:cs="Times New Roman"/>
          <w:kern w:val="2"/>
          <w:szCs w:val="24"/>
          <w:u w:val="none" w:color="auto"/>
        </w:rPr>
      </w:pPr>
      <w:r>
        <w:rPr>
          <w:rFonts w:hint="eastAsia" w:ascii="Times New Roman" w:hAnsi="Times New Roman" w:cs="Times New Roman"/>
          <w:kern w:val="2"/>
          <w:szCs w:val="24"/>
          <w:u w:val="none" w:color="auto"/>
        </w:rPr>
        <w:t>本风电场共装有15台单机容量为5000kW风力发电机组，风机轮毂中心高度均为110m，叶轮直径为195m。</w:t>
      </w:r>
    </w:p>
    <w:p>
      <w:pPr>
        <w:bidi w:val="0"/>
        <w:rPr>
          <w:rFonts w:hint="eastAsia" w:ascii="Times New Roman" w:hAnsi="Times New Roman" w:cs="Times New Roman"/>
          <w:kern w:val="2"/>
          <w:szCs w:val="24"/>
          <w:u w:val="none" w:color="auto"/>
        </w:rPr>
      </w:pPr>
      <w:r>
        <w:rPr>
          <w:rFonts w:hint="eastAsia" w:ascii="Times New Roman" w:hAnsi="Times New Roman" w:cs="Times New Roman"/>
          <w:kern w:val="2"/>
          <w:szCs w:val="24"/>
          <w:u w:val="none" w:color="auto"/>
        </w:rPr>
        <w:t>根据已建风电工程风机吊装经验及总进度安排，采用两套起吊设备进行安装。主吊设备采用1200t汽车吊起重机，辅吊采用200t汽车式起重机。</w:t>
      </w:r>
    </w:p>
    <w:p>
      <w:pPr>
        <w:bidi w:val="0"/>
        <w:rPr>
          <w:rFonts w:hint="eastAsia" w:ascii="Times New Roman" w:hAnsi="Times New Roman" w:cs="Times New Roman"/>
          <w:kern w:val="2"/>
          <w:szCs w:val="24"/>
          <w:u w:val="none" w:color="auto"/>
        </w:rPr>
      </w:pPr>
      <w:r>
        <w:rPr>
          <w:rFonts w:hint="eastAsia" w:ascii="Times New Roman" w:hAnsi="Times New Roman" w:cs="Times New Roman"/>
          <w:kern w:val="2"/>
          <w:szCs w:val="24"/>
          <w:u w:val="none" w:color="auto"/>
        </w:rPr>
        <w:t>a塔筒安装</w:t>
      </w:r>
    </w:p>
    <w:p>
      <w:pPr>
        <w:bidi w:val="0"/>
        <w:rPr>
          <w:rFonts w:hint="eastAsia" w:ascii="Times New Roman" w:hAnsi="Times New Roman" w:cs="Times New Roman"/>
          <w:kern w:val="2"/>
          <w:szCs w:val="24"/>
          <w:u w:val="none" w:color="auto"/>
        </w:rPr>
      </w:pPr>
      <w:r>
        <w:rPr>
          <w:rFonts w:hint="eastAsia" w:ascii="Times New Roman" w:hAnsi="Times New Roman" w:cs="Times New Roman"/>
          <w:kern w:val="2"/>
          <w:szCs w:val="24"/>
          <w:u w:val="none" w:color="auto"/>
        </w:rPr>
        <w:t>施工方案：提升塔筒→连接法兰盘</w:t>
      </w:r>
    </w:p>
    <w:p>
      <w:pPr>
        <w:bidi w:val="0"/>
        <w:rPr>
          <w:rFonts w:hint="eastAsia" w:ascii="Times New Roman" w:hAnsi="Times New Roman" w:cs="Times New Roman"/>
          <w:kern w:val="2"/>
          <w:szCs w:val="24"/>
          <w:u w:val="none" w:color="auto"/>
        </w:rPr>
      </w:pPr>
      <w:r>
        <w:rPr>
          <w:rFonts w:hint="eastAsia" w:ascii="Times New Roman" w:hAnsi="Times New Roman" w:cs="Times New Roman"/>
          <w:kern w:val="2"/>
          <w:szCs w:val="24"/>
          <w:u w:val="none" w:color="auto"/>
        </w:rPr>
        <w:t>塔筒安装前，应掌握安装期间工程区气象条件，以确保安装作业安全。安装时，先利用起重机提升下塔筒，慢慢将塔筒竖立，使塔筒的下端准确座落在基础法兰钢管上，按设计要求连接法兰盘，做到牢固可靠。上塔筒的安装方法与下塔筒相同。</w:t>
      </w:r>
    </w:p>
    <w:p>
      <w:pPr>
        <w:bidi w:val="0"/>
        <w:rPr>
          <w:rFonts w:hint="eastAsia" w:ascii="Times New Roman" w:hAnsi="Times New Roman" w:cs="Times New Roman"/>
          <w:kern w:val="2"/>
          <w:szCs w:val="24"/>
          <w:u w:val="none" w:color="auto"/>
        </w:rPr>
      </w:pPr>
      <w:r>
        <w:rPr>
          <w:rFonts w:hint="eastAsia" w:ascii="Times New Roman" w:hAnsi="Times New Roman" w:cs="Times New Roman"/>
          <w:kern w:val="2"/>
          <w:szCs w:val="24"/>
          <w:u w:val="none" w:color="auto"/>
        </w:rPr>
        <w:t>b风力发电机组安装</w:t>
      </w:r>
    </w:p>
    <w:p>
      <w:pPr>
        <w:bidi w:val="0"/>
        <w:rPr>
          <w:rFonts w:hint="eastAsia" w:ascii="Times New Roman" w:hAnsi="Times New Roman" w:cs="Times New Roman"/>
          <w:kern w:val="2"/>
          <w:szCs w:val="24"/>
          <w:u w:val="none" w:color="auto"/>
        </w:rPr>
      </w:pPr>
      <w:r>
        <w:rPr>
          <w:rFonts w:hint="eastAsia" w:ascii="Times New Roman" w:hAnsi="Times New Roman" w:cs="Times New Roman"/>
          <w:kern w:val="2"/>
          <w:szCs w:val="24"/>
          <w:u w:val="none" w:color="auto"/>
        </w:rPr>
        <w:t>风速是影响风力发电机组安装的主要因素之一，当风速超10m/s时，不允许安装风力发电机。在与当地气象部门密切联系的同时，现场设置风力观测站，以便现场施工人员做出可靠判断，确保风力发电机组安装顺利进行。</w:t>
      </w:r>
    </w:p>
    <w:p>
      <w:pPr>
        <w:bidi w:val="0"/>
        <w:rPr>
          <w:rFonts w:hint="eastAsia" w:ascii="Times New Roman" w:hAnsi="Times New Roman" w:cs="Times New Roman"/>
          <w:kern w:val="2"/>
          <w:szCs w:val="24"/>
          <w:u w:val="none" w:color="auto"/>
        </w:rPr>
      </w:pPr>
      <w:r>
        <w:rPr>
          <w:rFonts w:hint="eastAsia" w:ascii="Times New Roman" w:hAnsi="Times New Roman" w:cs="Times New Roman"/>
          <w:kern w:val="2"/>
          <w:szCs w:val="24"/>
          <w:u w:val="none" w:color="auto"/>
        </w:rPr>
        <w:t>机舱安装时，施工人员站在塔架平台上，利用吊车提升机舱，机舱提起至安装高度后，再慢慢下落，机舱应完全坐在塔架法兰盘上，按设计要求连结法兰盘。转子叶片和轮毂在地面组装好后，利用起重机整体提升，轮毂法兰和机舱法兰按设计要求联结。上述作业完成并经验收合格后，移去施工设施，进行风力发电机组调试，完毕后投入运行。</w:t>
      </w:r>
    </w:p>
    <w:p>
      <w:pPr>
        <w:bidi w:val="0"/>
        <w:rPr>
          <w:rFonts w:hint="eastAsia" w:ascii="Times New Roman" w:hAnsi="Times New Roman" w:cs="Times New Roman"/>
          <w:kern w:val="2"/>
          <w:szCs w:val="24"/>
          <w:u w:val="none" w:color="auto"/>
        </w:rPr>
      </w:pPr>
      <w:r>
        <w:rPr>
          <w:rFonts w:hint="eastAsia" w:ascii="Times New Roman" w:hAnsi="Times New Roman" w:cs="Times New Roman"/>
          <w:kern w:val="2"/>
          <w:szCs w:val="24"/>
          <w:u w:val="none" w:color="auto"/>
        </w:rPr>
        <w:t>（5）</w:t>
      </w:r>
      <w:r>
        <w:rPr>
          <w:rFonts w:hint="eastAsia" w:ascii="Times New Roman" w:hAnsi="Times New Roman" w:cs="Times New Roman"/>
          <w:kern w:val="2"/>
          <w:szCs w:val="24"/>
          <w:u w:val="none" w:color="auto"/>
          <w:lang w:eastAsia="zh-CN"/>
        </w:rPr>
        <w:t>箱式变压器</w:t>
      </w:r>
      <w:r>
        <w:rPr>
          <w:rFonts w:hint="eastAsia" w:ascii="Times New Roman" w:hAnsi="Times New Roman" w:cs="Times New Roman"/>
          <w:kern w:val="2"/>
          <w:szCs w:val="24"/>
          <w:u w:val="none" w:color="auto"/>
        </w:rPr>
        <w:t>安装</w:t>
      </w:r>
    </w:p>
    <w:p>
      <w:pPr>
        <w:bidi w:val="0"/>
        <w:rPr>
          <w:rFonts w:hint="eastAsia" w:ascii="Times New Roman" w:hAnsi="Times New Roman" w:cs="Times New Roman"/>
          <w:kern w:val="2"/>
          <w:szCs w:val="24"/>
          <w:u w:val="none" w:color="auto"/>
        </w:rPr>
      </w:pPr>
      <w:r>
        <w:rPr>
          <w:rFonts w:hint="eastAsia" w:ascii="Times New Roman" w:hAnsi="Times New Roman" w:cs="Times New Roman"/>
          <w:kern w:val="2"/>
          <w:szCs w:val="24"/>
          <w:u w:val="none" w:color="auto"/>
        </w:rPr>
        <w:t>a)安装前的准备电缆应在</w:t>
      </w:r>
      <w:r>
        <w:rPr>
          <w:rFonts w:hint="eastAsia" w:ascii="Times New Roman" w:hAnsi="Times New Roman" w:cs="Times New Roman"/>
          <w:kern w:val="2"/>
          <w:szCs w:val="24"/>
          <w:u w:val="none" w:color="auto"/>
          <w:lang w:eastAsia="zh-CN"/>
        </w:rPr>
        <w:t>箱式变压器</w:t>
      </w:r>
      <w:r>
        <w:rPr>
          <w:rFonts w:hint="eastAsia" w:ascii="Times New Roman" w:hAnsi="Times New Roman" w:cs="Times New Roman"/>
          <w:kern w:val="2"/>
          <w:szCs w:val="24"/>
          <w:u w:val="none" w:color="auto"/>
        </w:rPr>
        <w:t>就位前敷设好，并且经过检验是无电的。开箱验收检查产品是否有损伤、变形和断裂。按装箱清单检查附件和专用工具是否齐全，在确认无误后方可按安装要求进行安装。</w:t>
      </w:r>
    </w:p>
    <w:p>
      <w:pPr>
        <w:bidi w:val="0"/>
        <w:rPr>
          <w:rFonts w:hint="eastAsia" w:ascii="Times New Roman" w:hAnsi="Times New Roman" w:cs="Times New Roman"/>
          <w:kern w:val="2"/>
          <w:szCs w:val="24"/>
          <w:u w:val="none" w:color="auto"/>
        </w:rPr>
      </w:pPr>
      <w:r>
        <w:rPr>
          <w:rFonts w:hint="eastAsia" w:ascii="Times New Roman" w:hAnsi="Times New Roman" w:cs="Times New Roman"/>
          <w:kern w:val="2"/>
          <w:szCs w:val="24"/>
          <w:u w:val="none" w:color="auto"/>
        </w:rPr>
        <w:t>b)安装时靠近箱体顶部有用于装卸的吊钩，起吊钢缆拉伸时与垂直线间的角度不能超过30°，如有必要，应用横杆支撑钢缆，以免造成箱变结构或起吊钩的变形。箱变大部分重量集中在装有铁心、绕组和绝缘油的王箱体中的变压器，高低压终端箱内大部分是空的，重量相对较轻，使用吊钩或起重机不当可能造成箱变或其附件的损坏，或引起人员伤害。在安装完毕后，接上试验电缆插头，按国家有关试验规程进行试验。</w:t>
      </w:r>
    </w:p>
    <w:p>
      <w:pPr>
        <w:bidi w:val="0"/>
        <w:rPr>
          <w:rFonts w:hint="eastAsia" w:ascii="Times New Roman" w:hAnsi="Times New Roman" w:cs="Times New Roman"/>
          <w:kern w:val="2"/>
          <w:szCs w:val="24"/>
          <w:u w:val="none" w:color="auto"/>
        </w:rPr>
      </w:pPr>
      <w:r>
        <w:rPr>
          <w:rFonts w:hint="eastAsia" w:ascii="Times New Roman" w:hAnsi="Times New Roman" w:cs="Times New Roman"/>
          <w:kern w:val="2"/>
          <w:szCs w:val="24"/>
          <w:u w:val="none" w:color="auto"/>
        </w:rPr>
        <w:t>（6）汇集站施工</w:t>
      </w:r>
    </w:p>
    <w:p>
      <w:pPr>
        <w:bidi w:val="0"/>
        <w:rPr>
          <w:rFonts w:hint="default" w:ascii="Times New Roman" w:hAnsi="Times New Roman" w:cs="Times New Roman"/>
          <w:kern w:val="2"/>
          <w:szCs w:val="24"/>
          <w:u w:val="none" w:color="auto"/>
        </w:rPr>
      </w:pPr>
      <w:r>
        <w:rPr>
          <w:rFonts w:hint="default" w:ascii="Times New Roman" w:hAnsi="Times New Roman" w:cs="Times New Roman"/>
          <w:kern w:val="2"/>
          <w:szCs w:val="24"/>
          <w:u w:val="none" w:color="auto"/>
        </w:rPr>
        <w:t>1）</w:t>
      </w:r>
      <w:r>
        <w:rPr>
          <w:rFonts w:hint="eastAsia" w:ascii="Times New Roman" w:hAnsi="Times New Roman" w:cs="Times New Roman"/>
          <w:kern w:val="2"/>
          <w:szCs w:val="24"/>
          <w:u w:val="none" w:color="auto"/>
        </w:rPr>
        <w:t>土建工程施工</w:t>
      </w:r>
    </w:p>
    <w:p>
      <w:pPr>
        <w:bidi w:val="0"/>
        <w:rPr>
          <w:rFonts w:hint="default" w:ascii="Times New Roman" w:hAnsi="Times New Roman" w:cs="Times New Roman"/>
          <w:kern w:val="2"/>
          <w:szCs w:val="24"/>
          <w:u w:val="none" w:color="auto"/>
        </w:rPr>
      </w:pPr>
      <w:r>
        <w:rPr>
          <w:rFonts w:hint="eastAsia" w:ascii="Times New Roman" w:hAnsi="Times New Roman" w:cs="Times New Roman"/>
          <w:kern w:val="2"/>
          <w:szCs w:val="24"/>
          <w:u w:val="none" w:color="auto"/>
        </w:rPr>
        <w:t>本风电场设1座220</w:t>
      </w:r>
      <w:r>
        <w:rPr>
          <w:rFonts w:hint="eastAsia" w:cs="Times New Roman"/>
          <w:kern w:val="2"/>
          <w:szCs w:val="24"/>
          <w:u w:val="none" w:color="auto"/>
          <w:lang w:eastAsia="zh-CN"/>
        </w:rPr>
        <w:t>kV</w:t>
      </w:r>
      <w:r>
        <w:rPr>
          <w:rFonts w:hint="eastAsia" w:ascii="Times New Roman" w:hAnsi="Times New Roman" w:cs="Times New Roman"/>
          <w:kern w:val="2"/>
          <w:szCs w:val="24"/>
          <w:u w:val="none" w:color="auto"/>
        </w:rPr>
        <w:t>汇集站</w:t>
      </w:r>
      <w:r>
        <w:rPr>
          <w:rFonts w:hint="eastAsia" w:cs="Times New Roman"/>
          <w:kern w:val="2"/>
          <w:szCs w:val="24"/>
          <w:u w:val="none" w:color="auto"/>
          <w:lang w:eastAsia="zh-CN"/>
        </w:rPr>
        <w:t>。</w:t>
      </w:r>
      <w:r>
        <w:rPr>
          <w:rFonts w:hint="eastAsia" w:ascii="Times New Roman" w:hAnsi="Times New Roman" w:cs="Times New Roman"/>
          <w:kern w:val="2"/>
          <w:szCs w:val="24"/>
          <w:u w:val="none" w:color="auto"/>
        </w:rPr>
        <w:t>基础土石方开挖采用推土机或反铲剥离集料，一次开挖到位，为减少土料高含水量对施工造成的影响，尽量避免基底土方扰动，基坑底部留30cm保护层，采用人工开挖。开挖的土方运往施工临时堆渣区堆放，用于土方回填。</w:t>
      </w:r>
    </w:p>
    <w:p>
      <w:pPr>
        <w:bidi w:val="0"/>
        <w:rPr>
          <w:rFonts w:hint="default" w:ascii="Times New Roman" w:hAnsi="Times New Roman" w:cs="Times New Roman"/>
          <w:kern w:val="2"/>
          <w:szCs w:val="24"/>
          <w:u w:val="none" w:color="auto"/>
        </w:rPr>
      </w:pPr>
      <w:r>
        <w:rPr>
          <w:rFonts w:hint="default" w:ascii="Times New Roman" w:hAnsi="Times New Roman" w:cs="Times New Roman"/>
          <w:kern w:val="2"/>
          <w:szCs w:val="24"/>
          <w:u w:val="none" w:color="auto"/>
        </w:rPr>
        <w:t>2）</w:t>
      </w:r>
      <w:r>
        <w:rPr>
          <w:rFonts w:hint="eastAsia" w:ascii="Times New Roman" w:hAnsi="Times New Roman" w:cs="Times New Roman"/>
          <w:kern w:val="2"/>
          <w:szCs w:val="24"/>
          <w:u w:val="none" w:color="auto"/>
        </w:rPr>
        <w:t>汇集站设备安装</w:t>
      </w:r>
    </w:p>
    <w:p>
      <w:pPr>
        <w:bidi w:val="0"/>
        <w:rPr>
          <w:rFonts w:hint="default" w:ascii="Times New Roman" w:hAnsi="Times New Roman" w:cs="Times New Roman"/>
          <w:kern w:val="2"/>
          <w:szCs w:val="24"/>
          <w:u w:val="none" w:color="auto"/>
        </w:rPr>
      </w:pPr>
      <w:r>
        <w:rPr>
          <w:rFonts w:hint="eastAsia" w:ascii="Times New Roman" w:hAnsi="Times New Roman" w:cs="Times New Roman"/>
          <w:kern w:val="2"/>
          <w:szCs w:val="24"/>
          <w:u w:val="none" w:color="auto"/>
        </w:rPr>
        <w:t>a) 电缆线路安装技术要求</w:t>
      </w:r>
    </w:p>
    <w:p>
      <w:pPr>
        <w:bidi w:val="0"/>
        <w:rPr>
          <w:rFonts w:hint="default" w:ascii="Times New Roman" w:hAnsi="Times New Roman" w:cs="Times New Roman"/>
          <w:kern w:val="2"/>
          <w:szCs w:val="24"/>
          <w:u w:val="none" w:color="auto"/>
        </w:rPr>
      </w:pPr>
      <w:r>
        <w:rPr>
          <w:rFonts w:hint="eastAsia" w:ascii="Times New Roman" w:hAnsi="Times New Roman" w:cs="Times New Roman"/>
          <w:kern w:val="2"/>
          <w:szCs w:val="24"/>
          <w:u w:val="none" w:color="auto"/>
        </w:rPr>
        <w:t>电缆管的加工敷设，电缆桥架及电缆架的安装，电缆敷设及电缆终端头的制作等均应符合GB 50168《电气装置安装工程电缆线路施工及验收规范》的有关规定和施工图纸要求。</w:t>
      </w:r>
    </w:p>
    <w:p>
      <w:pPr>
        <w:bidi w:val="0"/>
        <w:rPr>
          <w:rFonts w:hint="default" w:ascii="Times New Roman" w:hAnsi="Times New Roman" w:cs="Times New Roman"/>
          <w:kern w:val="2"/>
          <w:szCs w:val="24"/>
          <w:u w:val="none" w:color="auto"/>
        </w:rPr>
      </w:pPr>
      <w:r>
        <w:rPr>
          <w:rFonts w:hint="eastAsia" w:ascii="Times New Roman" w:hAnsi="Times New Roman" w:cs="Times New Roman"/>
          <w:kern w:val="2"/>
          <w:szCs w:val="24"/>
          <w:u w:val="none" w:color="auto"/>
        </w:rPr>
        <w:t>b) 220</w:t>
      </w:r>
      <w:r>
        <w:rPr>
          <w:rFonts w:hint="eastAsia" w:cs="Times New Roman"/>
          <w:kern w:val="2"/>
          <w:szCs w:val="24"/>
          <w:u w:val="none" w:color="auto"/>
          <w:lang w:eastAsia="zh-CN"/>
        </w:rPr>
        <w:t>kV</w:t>
      </w:r>
      <w:r>
        <w:rPr>
          <w:rFonts w:hint="eastAsia" w:ascii="Times New Roman" w:hAnsi="Times New Roman" w:cs="Times New Roman"/>
          <w:kern w:val="2"/>
          <w:szCs w:val="24"/>
          <w:u w:val="none" w:color="auto"/>
        </w:rPr>
        <w:t>主变压器安装技术要求和注意事项</w:t>
      </w:r>
    </w:p>
    <w:p>
      <w:pPr>
        <w:bidi w:val="0"/>
        <w:rPr>
          <w:rFonts w:hint="default" w:ascii="Times New Roman" w:hAnsi="Times New Roman" w:cs="Times New Roman"/>
          <w:kern w:val="2"/>
          <w:szCs w:val="24"/>
          <w:u w:val="none" w:color="auto"/>
        </w:rPr>
      </w:pPr>
      <w:r>
        <w:rPr>
          <w:rFonts w:hint="eastAsia" w:ascii="Times New Roman" w:hAnsi="Times New Roman" w:cs="Times New Roman"/>
          <w:kern w:val="2"/>
          <w:szCs w:val="24"/>
          <w:u w:val="none" w:color="auto"/>
        </w:rPr>
        <w:t>变压器是站内比较重要的设备，变压器的安装质量直接影响汇集站的运行质量。变压器安装前要认真阅读施工图和厂家说明书，编制变压器具体细致的作业指导书，并进行技术交底，准备好施工所用机械和材料等。安装过程中要严格按照规范、规程以及作业指导书进行施工。安装时要合理安排工序，提高工作效率，减少暴露时间，安装中注意密封。做好变压器油及附件器身试验，安装后还要进行密封性试验、电抗器的整体试验和局放试验，注油完毕后，还应填写“绝缘油控制点记录”。变压器试验合格后，做好套管的封堵，要求防火、屏蔽、密封且在单个套管穿墙处不能有磁闭合回路。</w:t>
      </w:r>
    </w:p>
    <w:p>
      <w:pPr>
        <w:spacing w:line="360" w:lineRule="auto"/>
        <w:ind w:firstLine="481" w:firstLineChars="200"/>
        <w:rPr>
          <w:b/>
          <w:bCs/>
          <w:color w:val="auto"/>
          <w:szCs w:val="21"/>
        </w:rPr>
      </w:pPr>
      <w:r>
        <w:rPr>
          <w:rFonts w:hint="eastAsia"/>
          <w:b/>
          <w:bCs/>
          <w:color w:val="auto"/>
          <w:szCs w:val="21"/>
          <w:lang w:val="en-US" w:eastAsia="zh-CN"/>
        </w:rPr>
        <w:t>3、</w:t>
      </w:r>
      <w:r>
        <w:rPr>
          <w:rFonts w:hint="eastAsia"/>
          <w:b/>
          <w:bCs/>
          <w:color w:val="auto"/>
          <w:szCs w:val="21"/>
        </w:rPr>
        <w:t>施工设备</w:t>
      </w:r>
    </w:p>
    <w:p>
      <w:pPr>
        <w:spacing w:line="360" w:lineRule="auto"/>
        <w:ind w:firstLine="480" w:firstLineChars="200"/>
        <w:rPr>
          <w:rFonts w:hint="eastAsia"/>
          <w:color w:val="auto"/>
          <w:szCs w:val="21"/>
        </w:rPr>
      </w:pPr>
      <w:r>
        <w:rPr>
          <w:color w:val="auto"/>
          <w:szCs w:val="21"/>
        </w:rPr>
        <w:t>项目主要施工机械设备见</w:t>
      </w:r>
      <w:r>
        <w:rPr>
          <w:rFonts w:hint="eastAsia"/>
          <w:color w:val="auto"/>
          <w:szCs w:val="21"/>
        </w:rPr>
        <w:t>下表：</w:t>
      </w:r>
    </w:p>
    <w:p>
      <w:pPr>
        <w:pStyle w:val="2289"/>
        <w:rPr>
          <w:rFonts w:hint="eastAsia" w:ascii="Times New Roman" w:hAnsi="Times New Roman" w:eastAsia="宋体" w:cs="Times New Roman"/>
          <w:color w:val="000000" w:themeColor="text1"/>
          <w:highlight w:val="none"/>
          <w:u w:val="none" w:color="auto"/>
          <w:lang w:eastAsia="zh-CN"/>
          <w14:textFill>
            <w14:solidFill>
              <w14:schemeClr w14:val="tx1"/>
            </w14:solidFill>
          </w14:textFill>
        </w:rPr>
      </w:pPr>
      <w:r>
        <w:rPr>
          <w:rFonts w:hint="eastAsia" w:ascii="Times New Roman" w:hAnsi="Times New Roman" w:eastAsia="宋体" w:cs="Times New Roman"/>
          <w:color w:val="000000" w:themeColor="text1"/>
          <w:highlight w:val="none"/>
          <w:u w:val="none" w:color="auto"/>
          <w:lang w:eastAsia="zh-CN"/>
          <w14:textFill>
            <w14:solidFill>
              <w14:schemeClr w14:val="tx1"/>
            </w14:solidFill>
          </w14:textFill>
        </w:rPr>
        <w:t>项目主要施工机械设备一览表</w:t>
      </w:r>
    </w:p>
    <w:tbl>
      <w:tblPr>
        <w:tblStyle w:val="88"/>
        <w:tblW w:w="4885"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290"/>
        <w:gridCol w:w="3225"/>
        <w:gridCol w:w="1789"/>
        <w:gridCol w:w="1435"/>
        <w:gridCol w:w="115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2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b/>
                <w:bCs/>
                <w:color w:val="auto"/>
                <w:sz w:val="21"/>
                <w:szCs w:val="21"/>
              </w:rPr>
            </w:pPr>
            <w:r>
              <w:rPr>
                <w:rFonts w:hint="eastAsia" w:ascii="Times New Roman" w:eastAsia="宋体" w:cs="Times New Roman"/>
                <w:b/>
                <w:bCs/>
                <w:color w:val="auto"/>
                <w:sz w:val="21"/>
                <w:szCs w:val="21"/>
              </w:rPr>
              <w:t>序号</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b/>
                <w:bCs/>
                <w:color w:val="auto"/>
                <w:sz w:val="21"/>
                <w:szCs w:val="21"/>
              </w:rPr>
            </w:pPr>
            <w:r>
              <w:rPr>
                <w:rFonts w:hint="eastAsia" w:ascii="Times New Roman" w:eastAsia="宋体" w:cs="Times New Roman"/>
                <w:b/>
                <w:bCs/>
                <w:color w:val="auto"/>
                <w:sz w:val="21"/>
                <w:szCs w:val="21"/>
              </w:rPr>
              <w:t>机械设备名称</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b/>
                <w:bCs/>
                <w:color w:val="auto"/>
                <w:sz w:val="21"/>
                <w:szCs w:val="21"/>
              </w:rPr>
            </w:pPr>
            <w:r>
              <w:rPr>
                <w:rFonts w:hint="eastAsia" w:ascii="Times New Roman" w:eastAsia="宋体" w:cs="Times New Roman"/>
                <w:b/>
                <w:bCs/>
                <w:color w:val="auto"/>
                <w:sz w:val="21"/>
                <w:szCs w:val="21"/>
              </w:rPr>
              <w:t>规  格</w:t>
            </w: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b/>
                <w:bCs/>
                <w:color w:val="auto"/>
                <w:sz w:val="21"/>
                <w:szCs w:val="21"/>
              </w:rPr>
            </w:pPr>
            <w:r>
              <w:rPr>
                <w:rFonts w:hint="eastAsia" w:ascii="Times New Roman" w:eastAsia="宋体" w:cs="Times New Roman"/>
                <w:b/>
                <w:bCs/>
                <w:color w:val="auto"/>
                <w:sz w:val="21"/>
                <w:szCs w:val="21"/>
              </w:rPr>
              <w:t>单  位</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b/>
                <w:bCs/>
                <w:color w:val="auto"/>
                <w:sz w:val="21"/>
                <w:szCs w:val="21"/>
              </w:rPr>
            </w:pPr>
            <w:r>
              <w:rPr>
                <w:rFonts w:hint="eastAsia" w:ascii="Times New Roman" w:eastAsia="宋体" w:cs="Times New Roman"/>
                <w:b/>
                <w:bCs/>
                <w:color w:val="auto"/>
                <w:sz w:val="21"/>
                <w:szCs w:val="21"/>
              </w:rPr>
              <w:t>数  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汽车式起重机</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1200t</w:t>
            </w: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台</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2</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汽车式起重机</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200t</w:t>
            </w: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台</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3</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挖掘机</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2m</w:t>
            </w:r>
            <w:r>
              <w:rPr>
                <w:rFonts w:hint="eastAsia" w:ascii="Times New Roman" w:eastAsia="宋体" w:cs="Times New Roman"/>
                <w:color w:val="auto"/>
                <w:sz w:val="21"/>
                <w:szCs w:val="21"/>
                <w:vertAlign w:val="superscript"/>
              </w:rPr>
              <w:t>3</w:t>
            </w: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台</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4</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装载机</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2m</w:t>
            </w:r>
            <w:r>
              <w:rPr>
                <w:rFonts w:hint="eastAsia" w:ascii="Times New Roman" w:eastAsia="宋体" w:cs="Times New Roman"/>
                <w:color w:val="auto"/>
                <w:sz w:val="21"/>
                <w:szCs w:val="21"/>
                <w:vertAlign w:val="superscript"/>
              </w:rPr>
              <w:t>3</w:t>
            </w: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台</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推土机</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160kW</w:t>
            </w: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台</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6</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压路机</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台</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7</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振动碾压机</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16t</w:t>
            </w: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台</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8</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手扶式振动碾压机</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1.0t</w:t>
            </w: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台</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牵引式斜坡振动碾</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10t</w:t>
            </w: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台</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混凝土运输搅拌车</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9m</w:t>
            </w:r>
            <w:r>
              <w:rPr>
                <w:rFonts w:hint="eastAsia" w:ascii="Times New Roman" w:eastAsia="宋体" w:cs="Times New Roman"/>
                <w:color w:val="auto"/>
                <w:sz w:val="21"/>
                <w:szCs w:val="21"/>
                <w:vertAlign w:val="superscript"/>
              </w:rPr>
              <w:t>3</w:t>
            </w: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辆</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11</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混凝土泵</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套</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12</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插入式振捣器</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个</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12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13</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自卸汽车</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20t</w:t>
            </w: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辆</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14</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载重汽车</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15t</w:t>
            </w: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辆</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15</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水车</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8m</w:t>
            </w:r>
            <w:r>
              <w:rPr>
                <w:rFonts w:hint="eastAsia" w:ascii="Times New Roman" w:eastAsia="宋体" w:cs="Times New Roman"/>
                <w:color w:val="auto"/>
                <w:sz w:val="21"/>
                <w:szCs w:val="21"/>
                <w:vertAlign w:val="superscript"/>
              </w:rPr>
              <w:t>3</w:t>
            </w: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辆</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16</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平板运输车</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SSG840</w:t>
            </w: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套</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17</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柴油发电机</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50kW</w:t>
            </w: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台</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18</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移动式空压机</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YW-9/7</w:t>
            </w: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台</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19</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潜水泵</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QB10/25</w:t>
            </w: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台</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r>
              <w:rPr>
                <w:rFonts w:hint="eastAsia" w:ascii="Times New Roman" w:eastAsia="宋体" w:cs="Times New Roman"/>
                <w:color w:val="auto"/>
                <w:sz w:val="21"/>
                <w:szCs w:val="21"/>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lang w:eastAsia="zh-CN"/>
              </w:rPr>
            </w:pPr>
            <w:r>
              <w:rPr>
                <w:rFonts w:hint="eastAsia" w:ascii="Times New Roman" w:eastAsia="宋体" w:cs="Times New Roman"/>
                <w:color w:val="auto"/>
                <w:sz w:val="21"/>
                <w:szCs w:val="21"/>
                <w:lang w:eastAsia="zh-CN"/>
              </w:rPr>
              <w:t>塔筒运输车</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lang w:eastAsia="zh-CN"/>
              </w:rPr>
            </w:pPr>
            <w:r>
              <w:rPr>
                <w:rFonts w:hint="eastAsia" w:ascii="Times New Roman" w:eastAsia="宋体" w:cs="Times New Roman"/>
                <w:color w:val="auto"/>
                <w:sz w:val="21"/>
                <w:szCs w:val="21"/>
                <w:lang w:eastAsia="zh-CN"/>
              </w:rPr>
              <w:t>台</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25" w:type="pct"/>
            <w:tcBorders>
              <w:tl2br w:val="nil"/>
              <w:tr2bl w:val="nil"/>
            </w:tcBorders>
            <w:noWrap w:val="0"/>
            <w:vAlign w:val="center"/>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21</w:t>
            </w:r>
          </w:p>
        </w:tc>
        <w:tc>
          <w:tcPr>
            <w:tcW w:w="1813"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lang w:eastAsia="zh-CN"/>
              </w:rPr>
            </w:pPr>
            <w:r>
              <w:rPr>
                <w:rFonts w:hint="eastAsia" w:ascii="Times New Roman" w:eastAsia="宋体" w:cs="Times New Roman"/>
                <w:color w:val="auto"/>
                <w:sz w:val="21"/>
                <w:szCs w:val="21"/>
                <w:lang w:eastAsia="zh-CN"/>
              </w:rPr>
              <w:t>风叶半挂车</w:t>
            </w:r>
          </w:p>
        </w:tc>
        <w:tc>
          <w:tcPr>
            <w:tcW w:w="1005"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rPr>
            </w:pPr>
          </w:p>
        </w:tc>
        <w:tc>
          <w:tcPr>
            <w:tcW w:w="807"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lang w:eastAsia="zh-CN"/>
              </w:rPr>
            </w:pPr>
            <w:r>
              <w:rPr>
                <w:rFonts w:hint="eastAsia" w:ascii="Times New Roman" w:eastAsia="宋体" w:cs="Times New Roman"/>
                <w:color w:val="auto"/>
                <w:sz w:val="21"/>
                <w:szCs w:val="21"/>
                <w:lang w:eastAsia="zh-CN"/>
              </w:rPr>
              <w:t>台</w:t>
            </w:r>
          </w:p>
        </w:tc>
        <w:tc>
          <w:tcPr>
            <w:tcW w:w="648" w:type="pct"/>
            <w:tcBorders>
              <w:tl2br w:val="nil"/>
              <w:tr2bl w:val="nil"/>
            </w:tcBorders>
            <w:noWrap w:val="0"/>
            <w:vAlign w:val="top"/>
          </w:tcPr>
          <w:p>
            <w:pPr>
              <w:pStyle w:val="151"/>
              <w:keepNext w:val="0"/>
              <w:keepLines w:val="0"/>
              <w:pageBreakBefore w:val="0"/>
              <w:widowControl w:val="0"/>
              <w:kinsoku/>
              <w:wordWrap w:val="0"/>
              <w:overflowPunct/>
              <w:topLinePunct w:val="0"/>
              <w:autoSpaceDE w:val="0"/>
              <w:autoSpaceDN w:val="0"/>
              <w:bidi w:val="0"/>
              <w:adjustRightInd w:val="0"/>
              <w:snapToGrid w:val="0"/>
              <w:ind w:firstLine="0" w:firstLineChars="0"/>
              <w:jc w:val="center"/>
              <w:textAlignment w:val="baseline"/>
              <w:rPr>
                <w:rFonts w:hint="eastAsia"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4</w:t>
            </w:r>
          </w:p>
        </w:tc>
      </w:tr>
    </w:tbl>
    <w:p>
      <w:pPr>
        <w:bidi w:val="0"/>
        <w:rPr>
          <w:rFonts w:hint="default"/>
        </w:rPr>
      </w:pPr>
    </w:p>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p>
      <w:pPr>
        <w:pStyle w:val="458"/>
        <w:ind w:firstLine="602"/>
        <w:rPr>
          <w:rFonts w:hint="default"/>
          <w:u w:val="none" w:color="auto"/>
          <w:lang w:val="en-US" w:eastAsia="zh-CN"/>
        </w:rPr>
      </w:pPr>
      <w:r>
        <w:rPr>
          <w:rFonts w:hint="eastAsia" w:ascii="Times New Roman" w:hAnsi="Times New Roman" w:eastAsia="宋体" w:cs="Times New Roman"/>
          <w:sz w:val="28"/>
          <w:szCs w:val="28"/>
          <w:u w:val="none" w:color="auto"/>
          <w:lang w:val="en-US" w:eastAsia="zh-CN"/>
        </w:rPr>
        <w:t>运营期</w:t>
      </w:r>
      <w:r>
        <w:rPr>
          <w:rFonts w:hint="default" w:ascii="Times New Roman" w:hAnsi="Times New Roman" w:eastAsia="宋体" w:cs="Times New Roman"/>
          <w:sz w:val="28"/>
          <w:szCs w:val="28"/>
          <w:u w:val="none" w:color="auto"/>
          <w:lang w:val="en-US" w:eastAsia="zh-CN"/>
        </w:rPr>
        <w:t>工艺</w:t>
      </w:r>
      <w:r>
        <w:rPr>
          <w:rFonts w:hint="eastAsia" w:eastAsia="宋体" w:cs="Times New Roman"/>
          <w:sz w:val="28"/>
          <w:szCs w:val="28"/>
          <w:u w:val="none" w:color="auto"/>
          <w:lang w:val="en-US" w:eastAsia="zh-CN"/>
        </w:rPr>
        <w:t>流程</w:t>
      </w:r>
    </w:p>
    <w:p>
      <w:pPr>
        <w:bidi w:val="0"/>
        <w:rPr>
          <w:rFonts w:hint="default" w:ascii="Times New Roman" w:hAnsi="Times New Roman" w:cs="Times New Roman"/>
          <w:kern w:val="2"/>
          <w:szCs w:val="24"/>
          <w:u w:val="none" w:color="auto"/>
        </w:rPr>
      </w:pPr>
      <w:r>
        <w:rPr>
          <w:rFonts w:hint="default" w:ascii="Times New Roman" w:hAnsi="Times New Roman" w:cs="Times New Roman"/>
          <w:kern w:val="2"/>
          <w:szCs w:val="24"/>
          <w:u w:val="none" w:color="auto"/>
        </w:rPr>
        <w:t>营运期工艺流程及产污节点见图</w:t>
      </w:r>
      <w:r>
        <w:rPr>
          <w:rFonts w:hint="eastAsia" w:ascii="Times New Roman" w:hAnsi="Times New Roman" w:cs="Times New Roman"/>
          <w:kern w:val="2"/>
          <w:szCs w:val="24"/>
          <w:u w:val="none" w:color="auto"/>
          <w:lang w:val="en-US" w:eastAsia="zh-CN"/>
        </w:rPr>
        <w:t>2-</w:t>
      </w:r>
      <w:r>
        <w:rPr>
          <w:rFonts w:hint="eastAsia" w:cs="Times New Roman"/>
          <w:kern w:val="2"/>
          <w:szCs w:val="24"/>
          <w:u w:val="none" w:color="auto"/>
          <w:lang w:val="en-US" w:eastAsia="zh-CN"/>
        </w:rPr>
        <w:t>4</w:t>
      </w:r>
      <w:r>
        <w:rPr>
          <w:rFonts w:hint="default" w:ascii="Times New Roman" w:hAnsi="Times New Roman" w:cs="Times New Roman"/>
          <w:kern w:val="2"/>
          <w:szCs w:val="24"/>
          <w:u w:val="none" w:color="auto"/>
        </w:rPr>
        <w:t>。</w:t>
      </w:r>
    </w:p>
    <w:p>
      <w:pPr>
        <w:pStyle w:val="3632"/>
        <w:ind w:left="0" w:leftChars="0" w:firstLine="0" w:firstLineChars="0"/>
        <w:rPr>
          <w:rFonts w:hint="default" w:ascii="Times New Roman" w:hAnsi="Times New Roman" w:cs="Times New Roman"/>
          <w:kern w:val="2"/>
          <w:szCs w:val="24"/>
          <w:u w:val="none" w:color="auto"/>
        </w:rPr>
      </w:pPr>
      <w:r>
        <w:rPr>
          <w:sz w:val="24"/>
        </w:rPr>
        <mc:AlternateContent>
          <mc:Choice Requires="wps">
            <w:drawing>
              <wp:anchor distT="0" distB="0" distL="114300" distR="114300" simplePos="0" relativeHeight="251695104" behindDoc="0" locked="0" layoutInCell="1" allowOverlap="1">
                <wp:simplePos x="0" y="0"/>
                <wp:positionH relativeFrom="column">
                  <wp:posOffset>3253105</wp:posOffset>
                </wp:positionH>
                <wp:positionV relativeFrom="paragraph">
                  <wp:posOffset>2292985</wp:posOffset>
                </wp:positionV>
                <wp:extent cx="1319530" cy="263525"/>
                <wp:effectExtent l="0" t="0" r="13970" b="3175"/>
                <wp:wrapNone/>
                <wp:docPr id="64" name="文本框 64"/>
                <wp:cNvGraphicFramePr/>
                <a:graphic xmlns:a="http://schemas.openxmlformats.org/drawingml/2006/main">
                  <a:graphicData uri="http://schemas.microsoft.com/office/word/2010/wordprocessingShape">
                    <wps:wsp>
                      <wps:cNvSpPr txBox="true"/>
                      <wps:spPr>
                        <a:xfrm>
                          <a:off x="0" y="0"/>
                          <a:ext cx="1319530" cy="263525"/>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sz w:val="21"/>
                                <w:szCs w:val="16"/>
                                <w:lang w:val="en-US" w:eastAsia="zh-CN"/>
                              </w:rPr>
                            </w:pPr>
                            <w:r>
                              <w:rPr>
                                <w:rFonts w:hint="eastAsia"/>
                                <w:b/>
                                <w:bCs/>
                                <w:sz w:val="21"/>
                                <w:szCs w:val="16"/>
                                <w:lang w:val="en-US" w:eastAsia="zh-CN"/>
                              </w:rPr>
                              <w:t>以1回220kV出线</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56.15pt;margin-top:180.55pt;height:20.75pt;width:103.9pt;z-index:251695104;mso-width-relative:page;mso-height-relative:page;" fillcolor="#FFFFFF [3212]" filled="t" stroked="f" coordsize="21600,21600" o:gfxdata="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BYAAABkcnMvUEsBAhQAFAAAAAgAh07iQOB0l8/XAAAACwEAAA8A&#10;AAAAAAAAAQAgAAAAOAAAAGRycy9kb3ducmV2LnhtbFBLAQIUABQAAAAIAIdO4kDSqalWOwIAAFUE&#10;AAAOAAAAAAAAAAEAIAAAADwBAABkcnMvZTJvRG9jLnhtbFBLBQYAAAAABgAGAFkBAADpBQAAAAA=&#10;">
                <v:fill on="t" focussize="0,0"/>
                <v:stroke on="f" weight="0.5pt"/>
                <v:imagedata o:title=""/>
                <o:lock v:ext="edit" aspectratio="f"/>
                <v:textbox>
                  <w:txbxContent>
                    <w:p>
                      <w:pPr>
                        <w:ind w:left="0" w:leftChars="0" w:firstLine="0" w:firstLineChars="0"/>
                        <w:rPr>
                          <w:rFonts w:hint="default" w:eastAsia="宋体"/>
                          <w:b/>
                          <w:bCs/>
                          <w:sz w:val="21"/>
                          <w:szCs w:val="16"/>
                          <w:lang w:val="en-US" w:eastAsia="zh-CN"/>
                        </w:rPr>
                      </w:pPr>
                      <w:r>
                        <w:rPr>
                          <w:rFonts w:hint="eastAsia"/>
                          <w:b/>
                          <w:bCs/>
                          <w:sz w:val="21"/>
                          <w:szCs w:val="16"/>
                          <w:lang w:val="en-US" w:eastAsia="zh-CN"/>
                        </w:rPr>
                        <w:t>以1回220kV出线</w:t>
                      </w:r>
                    </w:p>
                  </w:txbxContent>
                </v:textbox>
              </v:shape>
            </w:pict>
          </mc:Fallback>
        </mc:AlternateContent>
      </w:r>
      <w:r>
        <w:rPr>
          <w:sz w:val="24"/>
        </w:rPr>
        <mc:AlternateContent>
          <mc:Choice Requires="wps">
            <w:drawing>
              <wp:anchor distT="0" distB="0" distL="114300" distR="114300" simplePos="0" relativeHeight="251694080" behindDoc="0" locked="0" layoutInCell="1" allowOverlap="1">
                <wp:simplePos x="0" y="0"/>
                <wp:positionH relativeFrom="column">
                  <wp:posOffset>2704465</wp:posOffset>
                </wp:positionH>
                <wp:positionV relativeFrom="paragraph">
                  <wp:posOffset>1559560</wp:posOffset>
                </wp:positionV>
                <wp:extent cx="1056005" cy="263525"/>
                <wp:effectExtent l="4445" t="4445" r="6350" b="17780"/>
                <wp:wrapNone/>
                <wp:docPr id="62" name="文本框 62"/>
                <wp:cNvGraphicFramePr/>
                <a:graphic xmlns:a="http://schemas.openxmlformats.org/drawingml/2006/main">
                  <a:graphicData uri="http://schemas.microsoft.com/office/word/2010/wordprocessingShape">
                    <wps:wsp>
                      <wps:cNvSpPr txBox="true"/>
                      <wps:spPr>
                        <a:xfrm>
                          <a:off x="2637155" y="7806690"/>
                          <a:ext cx="1056005" cy="263525"/>
                        </a:xfrm>
                        <a:prstGeom prst="rect">
                          <a:avLst/>
                        </a:prstGeom>
                        <a:solidFill>
                          <a:schemeClr val="bg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sz w:val="21"/>
                                <w:szCs w:val="16"/>
                                <w:lang w:val="en-US" w:eastAsia="zh-CN"/>
                              </w:rPr>
                            </w:pPr>
                            <w:r>
                              <w:rPr>
                                <w:rFonts w:hint="eastAsia"/>
                                <w:b/>
                                <w:bCs/>
                                <w:sz w:val="21"/>
                                <w:szCs w:val="16"/>
                                <w:lang w:val="en-US" w:eastAsia="zh-CN"/>
                              </w:rPr>
                              <w:t>220kV汇集站</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12.95pt;margin-top:122.8pt;height:20.75pt;width:83.15pt;z-index:251694080;mso-width-relative:page;mso-height-relative:page;" fillcolor="#FFFFFF [3212]" filled="t" stroked="t" coordsize="21600,21600" o:gfxdata="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WAAAAZHJzL1BLAQIUABQAAAAI&#10;AIdO4kBt3zq02QAAAAsBAAAPAAAAAAAAAAEAIAAAADgAAABkcnMvZG93bnJldi54bWxQSwECFAAU&#10;AAAACACHTuJAElXFQkwCAACKBAAADgAAAAAAAAABACAAAAA+AQAAZHJzL2Uyb0RvYy54bWxQSwUG&#10;AAAAAAYABgBZAQAA/AUAAAAA&#10;">
                <v:fill on="t" focussize="0,0"/>
                <v:stroke weight="0.5pt" color="#000000 [3213]" joinstyle="round"/>
                <v:imagedata o:title=""/>
                <o:lock v:ext="edit" aspectratio="f"/>
                <v:textbox>
                  <w:txbxContent>
                    <w:p>
                      <w:pPr>
                        <w:ind w:left="0" w:leftChars="0" w:firstLine="0" w:firstLineChars="0"/>
                        <w:rPr>
                          <w:rFonts w:hint="default" w:eastAsia="宋体"/>
                          <w:b/>
                          <w:bCs/>
                          <w:sz w:val="21"/>
                          <w:szCs w:val="16"/>
                          <w:lang w:val="en-US" w:eastAsia="zh-CN"/>
                        </w:rPr>
                      </w:pPr>
                      <w:r>
                        <w:rPr>
                          <w:rFonts w:hint="eastAsia"/>
                          <w:b/>
                          <w:bCs/>
                          <w:sz w:val="21"/>
                          <w:szCs w:val="16"/>
                          <w:lang w:val="en-US" w:eastAsia="zh-CN"/>
                        </w:rPr>
                        <w:t>220kV汇集站</w:t>
                      </w:r>
                    </w:p>
                  </w:txbxContent>
                </v:textbox>
              </v:shape>
            </w:pict>
          </mc:Fallback>
        </mc:AlternateContent>
      </w:r>
      <w:r>
        <w:rPr>
          <w:color w:val="auto"/>
          <w:sz w:val="24"/>
          <w:u w:val="none" w:color="auto"/>
        </w:rPr>
        <w:drawing>
          <wp:inline distT="0" distB="0" distL="114300" distR="114300">
            <wp:extent cx="5612765" cy="2667000"/>
            <wp:effectExtent l="0" t="0" r="6985" b="0"/>
            <wp:docPr id="80"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0" name="图片 19"/>
                    <pic:cNvPicPr>
                      <a:picLocks noChangeAspect="true"/>
                    </pic:cNvPicPr>
                  </pic:nvPicPr>
                  <pic:blipFill>
                    <a:blip r:embed="rId35"/>
                    <a:stretch>
                      <a:fillRect/>
                    </a:stretch>
                  </pic:blipFill>
                  <pic:spPr>
                    <a:xfrm>
                      <a:off x="0" y="0"/>
                      <a:ext cx="5612765" cy="2667000"/>
                    </a:xfrm>
                    <a:prstGeom prst="rect">
                      <a:avLst/>
                    </a:prstGeom>
                    <a:noFill/>
                    <a:ln>
                      <a:noFill/>
                    </a:ln>
                  </pic:spPr>
                </pic:pic>
              </a:graphicData>
            </a:graphic>
          </wp:inline>
        </w:drawing>
      </w:r>
    </w:p>
    <w:p>
      <w:pPr>
        <w:pStyle w:val="1939"/>
        <w:ind w:firstLine="0" w:firstLineChars="0"/>
        <w:jc w:val="center"/>
        <w:rPr>
          <w:rFonts w:hint="default" w:ascii="Times New Roman" w:hAnsi="Times New Roman" w:cs="Times New Roman"/>
          <w:b/>
          <w:bCs/>
          <w:kern w:val="2"/>
          <w:szCs w:val="24"/>
          <w:u w:val="none" w:color="auto"/>
        </w:rPr>
      </w:pPr>
      <w:r>
        <w:rPr>
          <w:rFonts w:hint="default" w:ascii="Times New Roman" w:hAnsi="Times New Roman" w:cs="Times New Roman"/>
          <w:b/>
          <w:bCs/>
          <w:kern w:val="2"/>
          <w:szCs w:val="24"/>
          <w:u w:val="none" w:color="auto"/>
        </w:rPr>
        <w:t>图</w:t>
      </w:r>
      <w:r>
        <w:rPr>
          <w:rFonts w:hint="eastAsia" w:ascii="Times New Roman" w:hAnsi="Times New Roman" w:cs="Times New Roman"/>
          <w:b/>
          <w:bCs/>
          <w:kern w:val="2"/>
          <w:szCs w:val="24"/>
          <w:u w:val="none" w:color="auto"/>
          <w:lang w:val="en-US" w:eastAsia="zh-CN"/>
        </w:rPr>
        <w:t>2-</w:t>
      </w:r>
      <w:r>
        <w:rPr>
          <w:rFonts w:hint="eastAsia" w:hAnsi="Times New Roman" w:cs="Times New Roman"/>
          <w:b/>
          <w:bCs/>
          <w:kern w:val="2"/>
          <w:szCs w:val="24"/>
          <w:u w:val="none" w:color="auto"/>
          <w:lang w:val="en-US" w:eastAsia="zh-CN"/>
        </w:rPr>
        <w:t>4</w:t>
      </w:r>
      <w:r>
        <w:rPr>
          <w:rFonts w:hint="eastAsia" w:ascii="Times New Roman" w:hAnsi="Times New Roman" w:cs="Times New Roman"/>
          <w:b/>
          <w:bCs/>
          <w:kern w:val="2"/>
          <w:szCs w:val="24"/>
          <w:u w:val="none" w:color="auto"/>
          <w:lang w:val="en-US" w:eastAsia="zh-CN"/>
        </w:rPr>
        <w:t xml:space="preserve"> </w:t>
      </w:r>
      <w:r>
        <w:rPr>
          <w:rFonts w:hint="default" w:ascii="Times New Roman" w:hAnsi="Times New Roman" w:cs="Times New Roman"/>
          <w:b/>
          <w:bCs/>
          <w:kern w:val="2"/>
          <w:szCs w:val="24"/>
          <w:u w:val="none" w:color="auto"/>
        </w:rPr>
        <w:t>营运期工艺流程及产污节点图</w:t>
      </w:r>
    </w:p>
    <w:p>
      <w:pPr>
        <w:bidi w:val="0"/>
        <w:rPr>
          <w:rFonts w:hint="default" w:ascii="Times New Roman" w:hAnsi="Times New Roman" w:cs="Times New Roman"/>
          <w:kern w:val="2"/>
          <w:szCs w:val="24"/>
          <w:u w:val="none" w:color="auto"/>
        </w:rPr>
      </w:pPr>
      <w:r>
        <w:rPr>
          <w:rFonts w:hint="default" w:ascii="Times New Roman" w:hAnsi="Times New Roman" w:cs="Times New Roman"/>
          <w:kern w:val="2"/>
          <w:szCs w:val="24"/>
          <w:u w:val="none" w:color="auto"/>
        </w:rPr>
        <w:t>风电场营运期工艺流程简介：</w:t>
      </w:r>
    </w:p>
    <w:p>
      <w:pPr>
        <w:bidi w:val="0"/>
        <w:rPr>
          <w:rFonts w:hint="default" w:ascii="Times New Roman" w:hAnsi="Times New Roman" w:cs="Times New Roman"/>
          <w:kern w:val="2"/>
          <w:szCs w:val="24"/>
          <w:u w:val="none" w:color="auto"/>
        </w:rPr>
      </w:pPr>
      <w:r>
        <w:rPr>
          <w:rFonts w:hint="default" w:ascii="Times New Roman" w:hAnsi="Times New Roman" w:cs="Times New Roman"/>
          <w:kern w:val="2"/>
          <w:szCs w:val="24"/>
          <w:u w:val="none" w:color="auto"/>
        </w:rPr>
        <w:t>风通过风机叶片将风能转化为机械能，在齿轮箱和发电机作用下将机械能转变为电能，发电机出口电压0.69</w:t>
      </w:r>
      <w:r>
        <w:rPr>
          <w:rFonts w:hint="eastAsia" w:cs="Times New Roman"/>
          <w:kern w:val="2"/>
          <w:szCs w:val="24"/>
          <w:u w:val="none" w:color="auto"/>
          <w:lang w:eastAsia="zh-CN"/>
        </w:rPr>
        <w:t>kV</w:t>
      </w:r>
      <w:r>
        <w:rPr>
          <w:rFonts w:hint="default" w:ascii="Times New Roman" w:hAnsi="Times New Roman" w:cs="Times New Roman"/>
          <w:kern w:val="2"/>
          <w:szCs w:val="24"/>
          <w:u w:val="none" w:color="auto"/>
        </w:rPr>
        <w:t>。发电机出口电能经箱式变压器升压至35</w:t>
      </w:r>
      <w:r>
        <w:rPr>
          <w:rFonts w:hint="eastAsia" w:cs="Times New Roman"/>
          <w:kern w:val="2"/>
          <w:szCs w:val="24"/>
          <w:u w:val="none" w:color="auto"/>
          <w:lang w:eastAsia="zh-CN"/>
        </w:rPr>
        <w:t>kV</w:t>
      </w:r>
      <w:r>
        <w:rPr>
          <w:rFonts w:hint="default" w:ascii="Times New Roman" w:hAnsi="Times New Roman" w:cs="Times New Roman"/>
          <w:kern w:val="2"/>
          <w:szCs w:val="24"/>
          <w:u w:val="none" w:color="auto"/>
        </w:rPr>
        <w:t>电压等级后由风电场集电线路送入</w:t>
      </w:r>
      <w:r>
        <w:rPr>
          <w:rFonts w:hint="eastAsia" w:hAnsi="Times New Roman" w:cs="Times New Roman"/>
          <w:kern w:val="2"/>
          <w:szCs w:val="24"/>
          <w:u w:val="none" w:color="auto"/>
          <w:lang w:eastAsia="zh-CN"/>
        </w:rPr>
        <w:t>汇集站</w:t>
      </w:r>
      <w:r>
        <w:rPr>
          <w:rFonts w:hint="default" w:ascii="Times New Roman" w:hAnsi="Times New Roman" w:cs="Times New Roman"/>
          <w:kern w:val="2"/>
          <w:szCs w:val="24"/>
          <w:u w:val="none" w:color="auto"/>
        </w:rPr>
        <w:t>。电能经</w:t>
      </w:r>
      <w:r>
        <w:rPr>
          <w:rFonts w:hint="eastAsia" w:hAnsi="Times New Roman" w:cs="Times New Roman"/>
          <w:kern w:val="2"/>
          <w:szCs w:val="24"/>
          <w:u w:val="none" w:color="auto"/>
          <w:lang w:eastAsia="zh-CN"/>
        </w:rPr>
        <w:t>汇集站</w:t>
      </w:r>
      <w:r>
        <w:rPr>
          <w:rFonts w:hint="default" w:ascii="Times New Roman" w:hAnsi="Times New Roman" w:cs="Times New Roman"/>
          <w:kern w:val="2"/>
          <w:szCs w:val="24"/>
          <w:u w:val="none" w:color="auto"/>
        </w:rPr>
        <w:t>再次升压至</w:t>
      </w:r>
      <w:r>
        <w:rPr>
          <w:rFonts w:hint="eastAsia" w:cs="Times New Roman"/>
          <w:kern w:val="2"/>
          <w:szCs w:val="24"/>
          <w:u w:val="none" w:color="auto"/>
          <w:lang w:val="en-US" w:eastAsia="zh-CN"/>
        </w:rPr>
        <w:t>22</w:t>
      </w:r>
      <w:r>
        <w:rPr>
          <w:rFonts w:hint="default" w:ascii="Times New Roman" w:hAnsi="Times New Roman" w:cs="Times New Roman"/>
          <w:kern w:val="2"/>
          <w:szCs w:val="24"/>
          <w:u w:val="none" w:color="auto"/>
        </w:rPr>
        <w:t>0</w:t>
      </w:r>
      <w:r>
        <w:rPr>
          <w:rFonts w:hint="eastAsia" w:cs="Times New Roman"/>
          <w:kern w:val="2"/>
          <w:szCs w:val="24"/>
          <w:u w:val="none" w:color="auto"/>
          <w:lang w:eastAsia="zh-CN"/>
        </w:rPr>
        <w:t>kV</w:t>
      </w:r>
      <w:r>
        <w:rPr>
          <w:rFonts w:hint="default" w:ascii="Times New Roman" w:hAnsi="Times New Roman" w:cs="Times New Roman"/>
          <w:kern w:val="2"/>
          <w:szCs w:val="24"/>
          <w:u w:val="none" w:color="auto"/>
        </w:rPr>
        <w:t>后通过高压线路把电送到当地的电力系统。</w:t>
      </w:r>
    </w:p>
    <w:p>
      <w:pPr>
        <w:pStyle w:val="458"/>
        <w:ind w:firstLine="602"/>
        <w:rPr>
          <w:rFonts w:hint="default"/>
          <w:u w:val="none" w:color="auto"/>
          <w:lang w:val="en-US" w:eastAsia="zh-CN"/>
        </w:rPr>
      </w:pPr>
      <w:r>
        <w:rPr>
          <w:rFonts w:hint="eastAsia" w:ascii="Times New Roman" w:hAnsi="Times New Roman" w:eastAsia="宋体" w:cs="Times New Roman"/>
          <w:sz w:val="28"/>
          <w:szCs w:val="28"/>
          <w:u w:val="none" w:color="auto"/>
          <w:lang w:val="en-US" w:eastAsia="zh-CN"/>
        </w:rPr>
        <w:t>施工期污染源分析</w:t>
      </w:r>
    </w:p>
    <w:p>
      <w:pPr>
        <w:spacing w:line="360" w:lineRule="auto"/>
        <w:ind w:firstLine="481" w:firstLineChars="200"/>
        <w:rPr>
          <w:rFonts w:hint="default" w:ascii="Times New Roman" w:hAnsi="Times New Roman" w:cs="Times New Roman"/>
          <w:b/>
          <w:bCs/>
          <w:sz w:val="24"/>
          <w:u w:val="none" w:color="auto"/>
        </w:rPr>
      </w:pPr>
      <w:r>
        <w:rPr>
          <w:rFonts w:hint="default" w:ascii="Times New Roman" w:hAnsi="Times New Roman" w:cs="Times New Roman"/>
          <w:b/>
          <w:bCs/>
          <w:sz w:val="24"/>
          <w:u w:val="none" w:color="auto"/>
        </w:rPr>
        <w:t>1、废气</w:t>
      </w:r>
    </w:p>
    <w:p>
      <w:pPr>
        <w:spacing w:line="360" w:lineRule="auto"/>
        <w:ind w:firstLine="480" w:firstLineChars="200"/>
        <w:rPr>
          <w:color w:val="auto"/>
          <w:sz w:val="24"/>
          <w:szCs w:val="24"/>
          <w:u w:val="none" w:color="auto"/>
        </w:rPr>
      </w:pPr>
      <w:r>
        <w:rPr>
          <w:color w:val="auto"/>
          <w:sz w:val="24"/>
          <w:szCs w:val="24"/>
          <w:u w:val="none" w:color="auto"/>
        </w:rPr>
        <w:t>本工程施工期产生的大气污染源为</w:t>
      </w:r>
      <w:r>
        <w:rPr>
          <w:rFonts w:hint="default" w:ascii="Times New Roman" w:hAnsi="Times New Roman" w:cs="Times New Roman"/>
          <w:sz w:val="24"/>
          <w:u w:val="none" w:color="auto"/>
        </w:rPr>
        <w:t>施工扬尘、施工车辆及机械尾气</w:t>
      </w:r>
      <w:r>
        <w:rPr>
          <w:color w:val="auto"/>
          <w:sz w:val="24"/>
          <w:szCs w:val="24"/>
          <w:u w:val="none" w:color="auto"/>
        </w:rPr>
        <w:t>、钻爆粉尘等。</w:t>
      </w:r>
    </w:p>
    <w:p>
      <w:p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t>（1）施工扬尘</w:t>
      </w:r>
    </w:p>
    <w:p>
      <w:p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t>施工扬尘来源于场地平整、基础开挖、施工车辆运输过程、破除部分既有道路过程、施工卸料堆放等产生的扬尘，以及材料加工产生的粉尘。这些扬尘的产生与天气干燥程度和风速大小有关，天气越干燥，风速越大，产生扬尘越大。施工现场近地面的粉尘量受施工机械、施工方式、管理方式及天气、地表土质等多种因素影响，一般施工现场的大气环境中TSP浓度可达到1.5-30mg/m³。</w:t>
      </w:r>
    </w:p>
    <w:p>
      <w:p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t>（</w:t>
      </w:r>
      <w:r>
        <w:rPr>
          <w:rFonts w:hint="eastAsia" w:ascii="Times New Roman" w:hAnsi="Times New Roman" w:cs="Times New Roman"/>
          <w:sz w:val="24"/>
          <w:u w:val="none" w:color="auto"/>
          <w:lang w:val="en-US" w:eastAsia="zh-CN"/>
        </w:rPr>
        <w:t>2</w:t>
      </w:r>
      <w:r>
        <w:rPr>
          <w:rFonts w:hint="default" w:ascii="Times New Roman" w:hAnsi="Times New Roman" w:cs="Times New Roman"/>
          <w:sz w:val="24"/>
          <w:u w:val="none" w:color="auto"/>
        </w:rPr>
        <w:t>）施工车辆及机械尾气</w:t>
      </w:r>
    </w:p>
    <w:p>
      <w:p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t>施工车辆、挖土机等因燃油燃烧产生的一氧化碳、氮氧化物、烃类等污染物。这种污染源较分散且为流动性，污染物排放量不大，表现为间歇性特征，根据类似项目施工现场监测结果，在距离现场污染源100m处CO、NO</w:t>
      </w:r>
      <w:r>
        <w:rPr>
          <w:rFonts w:hint="default" w:ascii="Times New Roman" w:hAnsi="Times New Roman" w:cs="Times New Roman"/>
          <w:sz w:val="24"/>
          <w:u w:val="none" w:color="auto"/>
          <w:vertAlign w:val="subscript"/>
        </w:rPr>
        <w:t>2</w:t>
      </w:r>
      <w:r>
        <w:rPr>
          <w:rFonts w:hint="default" w:ascii="Times New Roman" w:hAnsi="Times New Roman" w:cs="Times New Roman"/>
          <w:sz w:val="24"/>
          <w:u w:val="none" w:color="auto"/>
        </w:rPr>
        <w:t>小时平均浓度分别为0.2mg/m³和0.11mg/m³；日平均浓度分别为0.13mg/m³和0.062mg/m³。</w:t>
      </w:r>
    </w:p>
    <w:p>
      <w:pPr>
        <w:spacing w:line="360" w:lineRule="auto"/>
        <w:ind w:firstLine="481" w:firstLineChars="200"/>
        <w:rPr>
          <w:rFonts w:hint="default" w:ascii="Times New Roman" w:hAnsi="Times New Roman" w:cs="Times New Roman"/>
          <w:b/>
          <w:bCs/>
          <w:sz w:val="24"/>
          <w:u w:val="none" w:color="auto"/>
        </w:rPr>
      </w:pPr>
      <w:r>
        <w:rPr>
          <w:rFonts w:hint="default" w:ascii="Times New Roman" w:hAnsi="Times New Roman" w:cs="Times New Roman"/>
          <w:b/>
          <w:bCs/>
          <w:sz w:val="24"/>
          <w:u w:val="none" w:color="auto"/>
        </w:rPr>
        <w:t>2、废水</w:t>
      </w:r>
    </w:p>
    <w:p>
      <w:p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t>施工期废水主要是生产废水和施工人员生活污水。</w:t>
      </w:r>
    </w:p>
    <w:p>
      <w:pPr>
        <w:numPr>
          <w:ilvl w:val="0"/>
          <w:numId w:val="57"/>
        </w:num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t>生产废水</w:t>
      </w:r>
    </w:p>
    <w:p>
      <w:pPr>
        <w:spacing w:line="360" w:lineRule="auto"/>
        <w:ind w:firstLine="480" w:firstLineChars="200"/>
        <w:rPr>
          <w:rFonts w:hint="default" w:ascii="Times New Roman" w:hAnsi="Times New Roman" w:cs="Times New Roman"/>
          <w:sz w:val="24"/>
          <w:u w:val="none" w:color="auto"/>
        </w:rPr>
      </w:pPr>
      <w:r>
        <w:rPr>
          <w:rFonts w:hint="eastAsia"/>
          <w:sz w:val="24"/>
          <w:u w:val="none" w:color="auto"/>
        </w:rPr>
        <w:t>施</w:t>
      </w:r>
      <w:r>
        <w:rPr>
          <w:sz w:val="24"/>
          <w:u w:val="none" w:color="auto"/>
        </w:rPr>
        <w:t>工期的生产废水主要为施工生产区机械设备、运输车辆的清洗废水。</w:t>
      </w:r>
      <w:r>
        <w:rPr>
          <w:rFonts w:hint="default" w:ascii="Times New Roman" w:hAnsi="Times New Roman" w:cs="Times New Roman"/>
          <w:sz w:val="24"/>
          <w:u w:val="none" w:color="auto"/>
        </w:rPr>
        <w:t>工程主要施工机械设备约</w:t>
      </w:r>
      <w:r>
        <w:rPr>
          <w:rFonts w:hint="eastAsia" w:eastAsia="宋体" w:cs="Times New Roman"/>
          <w:sz w:val="24"/>
          <w:u w:val="none" w:color="auto"/>
          <w:lang w:val="en-US" w:eastAsia="zh-CN"/>
        </w:rPr>
        <w:t>7</w:t>
      </w:r>
      <w:r>
        <w:rPr>
          <w:rFonts w:hint="default" w:ascii="Times New Roman" w:hAnsi="Times New Roman" w:eastAsia="TimesNewRomanPSMT" w:cs="Times New Roman"/>
          <w:sz w:val="24"/>
          <w:u w:val="none" w:color="auto"/>
        </w:rPr>
        <w:t>0</w:t>
      </w:r>
      <w:r>
        <w:rPr>
          <w:rFonts w:hint="default" w:ascii="Times New Roman" w:hAnsi="Times New Roman" w:cs="Times New Roman"/>
          <w:sz w:val="24"/>
          <w:u w:val="none" w:color="auto"/>
        </w:rPr>
        <w:t>台（辆），施工机械及车辆同时进行维护、清洗每次产生冲洗废水约为</w:t>
      </w:r>
      <w:r>
        <w:rPr>
          <w:rFonts w:hint="eastAsia" w:eastAsia="宋体" w:cs="Times New Roman"/>
          <w:sz w:val="24"/>
          <w:u w:val="none" w:color="auto"/>
          <w:lang w:val="en-US" w:eastAsia="zh-CN"/>
        </w:rPr>
        <w:t>30</w:t>
      </w:r>
      <w:r>
        <w:rPr>
          <w:rFonts w:hint="default" w:ascii="Times New Roman" w:hAnsi="Times New Roman" w:eastAsia="TimesNewRomanPSMT" w:cs="Times New Roman"/>
          <w:sz w:val="24"/>
          <w:u w:val="none" w:color="auto"/>
        </w:rPr>
        <w:t>m</w:t>
      </w:r>
      <w:r>
        <w:rPr>
          <w:rFonts w:hint="default" w:ascii="Times New Roman" w:hAnsi="Times New Roman" w:eastAsia="TimesNewRomanPSMT" w:cs="Times New Roman"/>
          <w:sz w:val="24"/>
          <w:u w:val="none" w:color="auto"/>
          <w:vertAlign w:val="superscript"/>
        </w:rPr>
        <w:t>3</w:t>
      </w:r>
      <w:r>
        <w:rPr>
          <w:rFonts w:hint="default" w:ascii="Times New Roman" w:hAnsi="Times New Roman" w:eastAsia="TimesNewRomanPSMT" w:cs="Times New Roman"/>
          <w:sz w:val="24"/>
          <w:u w:val="none" w:color="auto"/>
        </w:rPr>
        <w:t>/</w:t>
      </w:r>
      <w:r>
        <w:rPr>
          <w:rFonts w:hint="default" w:ascii="Times New Roman" w:hAnsi="Times New Roman" w:cs="Times New Roman"/>
          <w:sz w:val="24"/>
          <w:u w:val="none" w:color="auto"/>
        </w:rPr>
        <w:t>次，按每天所有机械设备冲洗一次计算，每天冲洗废水产生量约</w:t>
      </w:r>
      <w:r>
        <w:rPr>
          <w:rFonts w:hint="eastAsia" w:cs="Times New Roman"/>
          <w:sz w:val="24"/>
          <w:u w:val="none" w:color="auto"/>
          <w:lang w:val="en-US" w:eastAsia="zh-CN"/>
        </w:rPr>
        <w:t>30</w:t>
      </w:r>
      <w:r>
        <w:rPr>
          <w:rFonts w:hint="default" w:ascii="Times New Roman" w:hAnsi="Times New Roman" w:cs="Times New Roman"/>
          <w:sz w:val="24"/>
          <w:u w:val="none" w:color="auto"/>
        </w:rPr>
        <w:t>m</w:t>
      </w:r>
      <w:r>
        <w:rPr>
          <w:rFonts w:hint="default" w:ascii="Times New Roman" w:hAnsi="Times New Roman" w:cs="Times New Roman"/>
          <w:sz w:val="24"/>
          <w:u w:val="none" w:color="auto"/>
          <w:vertAlign w:val="superscript"/>
        </w:rPr>
        <w:t>3</w:t>
      </w:r>
      <w:r>
        <w:rPr>
          <w:rFonts w:hint="default" w:ascii="Times New Roman" w:hAnsi="Times New Roman" w:cs="Times New Roman"/>
          <w:sz w:val="24"/>
          <w:u w:val="none" w:color="auto"/>
        </w:rPr>
        <w:t>/d。施工机械冲洗废水主要污染因子为SS和石油类，间歇式</w:t>
      </w:r>
      <w:r>
        <w:rPr>
          <w:rFonts w:hint="eastAsia" w:ascii="Times New Roman" w:hAnsi="Times New Roman" w:cs="Times New Roman"/>
          <w:sz w:val="24"/>
          <w:u w:val="none" w:color="auto"/>
          <w:lang w:eastAsia="zh-CN"/>
        </w:rPr>
        <w:t>产生。</w:t>
      </w:r>
      <w:r>
        <w:rPr>
          <w:rFonts w:hint="eastAsia"/>
          <w:sz w:val="24"/>
          <w:u w:val="none" w:color="auto"/>
          <w:lang w:eastAsia="zh-CN"/>
        </w:rPr>
        <w:t>施工场地设置隔油沉淀池，</w:t>
      </w:r>
      <w:r>
        <w:rPr>
          <w:sz w:val="24"/>
          <w:u w:val="none" w:color="auto"/>
        </w:rPr>
        <w:t>施工废水经隔油、沉淀处理后</w:t>
      </w:r>
      <w:r>
        <w:rPr>
          <w:rFonts w:hint="eastAsia"/>
          <w:sz w:val="24"/>
          <w:u w:val="none" w:color="auto"/>
        </w:rPr>
        <w:t>回用及</w:t>
      </w:r>
      <w:r>
        <w:rPr>
          <w:sz w:val="24"/>
          <w:u w:val="none" w:color="auto"/>
        </w:rPr>
        <w:t>用于道路洒水和场区绿化，不外排</w:t>
      </w:r>
      <w:r>
        <w:rPr>
          <w:rFonts w:hint="default" w:ascii="Times New Roman" w:hAnsi="Times New Roman" w:cs="Times New Roman"/>
          <w:sz w:val="24"/>
          <w:u w:val="none" w:color="auto"/>
        </w:rPr>
        <w:t>。</w:t>
      </w:r>
    </w:p>
    <w:p>
      <w:p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t>（2）生活污水</w:t>
      </w:r>
    </w:p>
    <w:p>
      <w:p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t>本项目施工期平均人数为</w:t>
      </w:r>
      <w:r>
        <w:rPr>
          <w:rFonts w:hint="eastAsia" w:cs="Times New Roman"/>
          <w:sz w:val="24"/>
          <w:u w:val="none" w:color="auto"/>
          <w:lang w:val="en-US" w:eastAsia="zh-CN"/>
        </w:rPr>
        <w:t>60</w:t>
      </w:r>
      <w:r>
        <w:rPr>
          <w:rFonts w:hint="default" w:ascii="Times New Roman" w:hAnsi="Times New Roman" w:cs="Times New Roman"/>
          <w:sz w:val="24"/>
          <w:u w:val="none" w:color="auto"/>
        </w:rPr>
        <w:t>人，高峰人数为</w:t>
      </w:r>
      <w:r>
        <w:rPr>
          <w:rFonts w:hint="eastAsia" w:cs="Times New Roman"/>
          <w:sz w:val="24"/>
          <w:u w:val="none" w:color="auto"/>
          <w:lang w:val="en-US" w:eastAsia="zh-CN"/>
        </w:rPr>
        <w:t>100</w:t>
      </w:r>
      <w:r>
        <w:rPr>
          <w:rFonts w:hint="default" w:ascii="Times New Roman" w:hAnsi="Times New Roman" w:cs="Times New Roman"/>
          <w:sz w:val="24"/>
          <w:u w:val="none" w:color="auto"/>
        </w:rPr>
        <w:t>人。考虑到本项目施工期用工多为当地民工，不在工地住宿，故本项目施工期员工生活用水按120L/人·d计，施工人员生活污水排放系数取0.8，则施工期最大污水排放量</w:t>
      </w:r>
      <w:r>
        <w:rPr>
          <w:rFonts w:hint="eastAsia" w:cs="Times New Roman"/>
          <w:sz w:val="24"/>
          <w:u w:val="none" w:color="auto"/>
          <w:lang w:val="en-US" w:eastAsia="zh-CN"/>
        </w:rPr>
        <w:t>9.6</w:t>
      </w:r>
      <w:r>
        <w:rPr>
          <w:rFonts w:hint="default" w:ascii="Times New Roman" w:hAnsi="Times New Roman" w:cs="Times New Roman"/>
          <w:sz w:val="24"/>
          <w:u w:val="none" w:color="auto"/>
        </w:rPr>
        <w:t>m³/d。施工人员产生的生活污水主要污染物为BOD</w:t>
      </w:r>
      <w:r>
        <w:rPr>
          <w:rFonts w:hint="default" w:ascii="Times New Roman" w:hAnsi="Times New Roman" w:cs="Times New Roman"/>
          <w:sz w:val="24"/>
          <w:u w:val="none" w:color="auto"/>
          <w:vertAlign w:val="subscript"/>
        </w:rPr>
        <w:t>5</w:t>
      </w:r>
      <w:r>
        <w:rPr>
          <w:rFonts w:hint="default" w:ascii="Times New Roman" w:hAnsi="Times New Roman" w:cs="Times New Roman"/>
          <w:sz w:val="24"/>
          <w:u w:val="none" w:color="auto"/>
        </w:rPr>
        <w:t>、COD</w:t>
      </w:r>
      <w:r>
        <w:rPr>
          <w:rFonts w:hint="default" w:ascii="Times New Roman" w:hAnsi="Times New Roman" w:cs="Times New Roman"/>
          <w:sz w:val="24"/>
          <w:u w:val="none" w:color="auto"/>
          <w:vertAlign w:val="subscript"/>
        </w:rPr>
        <w:t>Cr</w:t>
      </w:r>
      <w:r>
        <w:rPr>
          <w:rFonts w:hint="default" w:ascii="Times New Roman" w:hAnsi="Times New Roman" w:cs="Times New Roman"/>
          <w:sz w:val="24"/>
          <w:u w:val="none" w:color="auto"/>
        </w:rPr>
        <w:t>和悬浮物，其浓度较低，施工生活污水</w:t>
      </w:r>
      <w:r>
        <w:rPr>
          <w:rFonts w:hint="eastAsia" w:cs="Times New Roman"/>
          <w:sz w:val="24"/>
          <w:u w:val="none" w:color="auto"/>
          <w:lang w:val="en-US" w:eastAsia="zh-CN"/>
        </w:rPr>
        <w:t>依托租用民房的</w:t>
      </w:r>
      <w:r>
        <w:rPr>
          <w:rFonts w:hint="default" w:ascii="Times New Roman" w:hAnsi="Times New Roman" w:cs="Times New Roman"/>
          <w:sz w:val="24"/>
          <w:u w:val="none" w:color="auto"/>
        </w:rPr>
        <w:t>化粪池内处理后定期清运用于周边</w:t>
      </w:r>
      <w:r>
        <w:rPr>
          <w:rFonts w:hint="eastAsia" w:cs="Times New Roman"/>
          <w:sz w:val="24"/>
          <w:u w:val="none" w:color="auto"/>
          <w:lang w:val="en-US" w:eastAsia="zh-CN"/>
        </w:rPr>
        <w:t>菜</w:t>
      </w:r>
      <w:r>
        <w:rPr>
          <w:rFonts w:hint="default" w:ascii="Times New Roman" w:hAnsi="Times New Roman" w:cs="Times New Roman"/>
          <w:sz w:val="24"/>
          <w:u w:val="none" w:color="auto"/>
        </w:rPr>
        <w:t>地施肥，不外排。</w:t>
      </w:r>
    </w:p>
    <w:p>
      <w:pPr>
        <w:spacing w:line="360" w:lineRule="auto"/>
        <w:ind w:firstLine="481" w:firstLineChars="200"/>
        <w:rPr>
          <w:rFonts w:hint="default" w:ascii="Times New Roman" w:hAnsi="Times New Roman" w:cs="Times New Roman"/>
          <w:b/>
          <w:bCs/>
          <w:sz w:val="24"/>
          <w:u w:val="none" w:color="auto"/>
        </w:rPr>
      </w:pPr>
      <w:r>
        <w:rPr>
          <w:rFonts w:hint="default" w:ascii="Times New Roman" w:hAnsi="Times New Roman" w:cs="Times New Roman"/>
          <w:b/>
          <w:bCs/>
          <w:sz w:val="24"/>
          <w:u w:val="none" w:color="auto"/>
        </w:rPr>
        <w:t>3、噪声</w:t>
      </w:r>
    </w:p>
    <w:p>
      <w:p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t>施工期噪声主要是施工机械和运输车辆产生的噪声。交通运输噪声来自于自卸汽车等运输，属于流动噪声源，根据类比分析，其声级范围为75～92dB(A)。施工机械包括挖土机、振捣机、起重机等，运输车辆包括混凝土搅拌运输车、自卸车，噪声源强见表</w:t>
      </w:r>
      <w:r>
        <w:rPr>
          <w:rFonts w:hint="eastAsia" w:ascii="Times New Roman" w:hAnsi="Times New Roman" w:cs="Times New Roman"/>
          <w:sz w:val="24"/>
          <w:u w:val="none" w:color="auto"/>
          <w:lang w:val="en-US" w:eastAsia="zh-CN"/>
        </w:rPr>
        <w:t>2-18</w:t>
      </w:r>
      <w:r>
        <w:rPr>
          <w:rFonts w:hint="default" w:ascii="Times New Roman" w:hAnsi="Times New Roman" w:cs="Times New Roman"/>
          <w:sz w:val="24"/>
          <w:u w:val="none" w:color="auto"/>
        </w:rPr>
        <w:t>。</w:t>
      </w:r>
    </w:p>
    <w:p>
      <w:pPr>
        <w:pStyle w:val="2289"/>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pPr>
      <w:r>
        <w:rPr>
          <w:rFonts w:hint="default" w:ascii="Times New Roman" w:hAnsi="Times New Roman" w:eastAsia="宋体" w:cs="Times New Roman"/>
          <w:color w:val="000000" w:themeColor="text1"/>
          <w:highlight w:val="none"/>
          <w:u w:val="none" w:color="auto"/>
          <w:lang w:eastAsia="zh-CN"/>
          <w14:textFill>
            <w14:solidFill>
              <w14:schemeClr w14:val="tx1"/>
            </w14:solidFill>
          </w14:textFill>
        </w:rPr>
        <w:t>主要施工机械源强情况（单位：dB(A)）</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15"/>
        <w:gridCol w:w="4959"/>
        <w:gridCol w:w="23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3" w:hRule="atLeast"/>
          <w:tblHeader/>
          <w:jc w:val="center"/>
        </w:trPr>
        <w:tc>
          <w:tcPr>
            <w:tcW w:w="121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sz w:val="21"/>
                <w:szCs w:val="21"/>
                <w:u w:val="none" w:color="auto"/>
              </w:rPr>
            </w:pPr>
            <w:r>
              <w:rPr>
                <w:rFonts w:hint="default" w:ascii="Times New Roman" w:hAnsi="Times New Roman" w:cs="Times New Roman"/>
                <w:b/>
                <w:sz w:val="21"/>
                <w:szCs w:val="21"/>
                <w:u w:val="none" w:color="auto"/>
              </w:rPr>
              <w:t>序号</w:t>
            </w:r>
          </w:p>
        </w:tc>
        <w:tc>
          <w:tcPr>
            <w:tcW w:w="495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sz w:val="21"/>
                <w:szCs w:val="21"/>
                <w:u w:val="none" w:color="auto"/>
              </w:rPr>
            </w:pPr>
            <w:r>
              <w:rPr>
                <w:rFonts w:hint="default" w:ascii="Times New Roman" w:hAnsi="Times New Roman" w:cs="Times New Roman"/>
                <w:b/>
                <w:sz w:val="21"/>
                <w:szCs w:val="21"/>
                <w:u w:val="none" w:color="auto"/>
              </w:rPr>
              <w:t>设备名称</w:t>
            </w:r>
          </w:p>
        </w:tc>
        <w:tc>
          <w:tcPr>
            <w:tcW w:w="238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sz w:val="21"/>
                <w:szCs w:val="21"/>
                <w:u w:val="none" w:color="auto"/>
              </w:rPr>
            </w:pPr>
            <w:r>
              <w:rPr>
                <w:rFonts w:hint="default" w:ascii="Times New Roman" w:hAnsi="Times New Roman" w:cs="Times New Roman"/>
                <w:b/>
                <w:sz w:val="21"/>
                <w:szCs w:val="21"/>
                <w:u w:val="none" w:color="auto"/>
              </w:rPr>
              <w:t>噪声值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21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1</w:t>
            </w:r>
          </w:p>
        </w:tc>
        <w:tc>
          <w:tcPr>
            <w:tcW w:w="495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履带式起重机</w:t>
            </w:r>
          </w:p>
        </w:tc>
        <w:tc>
          <w:tcPr>
            <w:tcW w:w="238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21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2</w:t>
            </w:r>
          </w:p>
        </w:tc>
        <w:tc>
          <w:tcPr>
            <w:tcW w:w="495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汽车式起重机</w:t>
            </w:r>
          </w:p>
        </w:tc>
        <w:tc>
          <w:tcPr>
            <w:tcW w:w="238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21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3</w:t>
            </w:r>
          </w:p>
        </w:tc>
        <w:tc>
          <w:tcPr>
            <w:tcW w:w="495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混凝土搅拌运输车</w:t>
            </w:r>
          </w:p>
        </w:tc>
        <w:tc>
          <w:tcPr>
            <w:tcW w:w="238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21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4</w:t>
            </w:r>
          </w:p>
        </w:tc>
        <w:tc>
          <w:tcPr>
            <w:tcW w:w="495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混凝土输送泵</w:t>
            </w:r>
          </w:p>
        </w:tc>
        <w:tc>
          <w:tcPr>
            <w:tcW w:w="238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21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5</w:t>
            </w:r>
          </w:p>
        </w:tc>
        <w:tc>
          <w:tcPr>
            <w:tcW w:w="495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平板拖车组</w:t>
            </w:r>
          </w:p>
        </w:tc>
        <w:tc>
          <w:tcPr>
            <w:tcW w:w="238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21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6</w:t>
            </w:r>
          </w:p>
        </w:tc>
        <w:tc>
          <w:tcPr>
            <w:tcW w:w="495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钢筋调直机</w:t>
            </w:r>
          </w:p>
        </w:tc>
        <w:tc>
          <w:tcPr>
            <w:tcW w:w="238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21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7</w:t>
            </w:r>
          </w:p>
        </w:tc>
        <w:tc>
          <w:tcPr>
            <w:tcW w:w="495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钢筋切断机</w:t>
            </w:r>
          </w:p>
        </w:tc>
        <w:tc>
          <w:tcPr>
            <w:tcW w:w="238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21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8</w:t>
            </w:r>
          </w:p>
        </w:tc>
        <w:tc>
          <w:tcPr>
            <w:tcW w:w="495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钢筋弯曲机</w:t>
            </w:r>
          </w:p>
        </w:tc>
        <w:tc>
          <w:tcPr>
            <w:tcW w:w="238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21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9</w:t>
            </w:r>
          </w:p>
        </w:tc>
        <w:tc>
          <w:tcPr>
            <w:tcW w:w="495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柴油发电机</w:t>
            </w:r>
          </w:p>
        </w:tc>
        <w:tc>
          <w:tcPr>
            <w:tcW w:w="238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21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10</w:t>
            </w:r>
          </w:p>
        </w:tc>
        <w:tc>
          <w:tcPr>
            <w:tcW w:w="495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挖掘机</w:t>
            </w:r>
          </w:p>
        </w:tc>
        <w:tc>
          <w:tcPr>
            <w:tcW w:w="238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84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21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11</w:t>
            </w:r>
          </w:p>
        </w:tc>
        <w:tc>
          <w:tcPr>
            <w:tcW w:w="495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钎入式振捣器</w:t>
            </w:r>
          </w:p>
        </w:tc>
        <w:tc>
          <w:tcPr>
            <w:tcW w:w="238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102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21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12</w:t>
            </w:r>
          </w:p>
        </w:tc>
        <w:tc>
          <w:tcPr>
            <w:tcW w:w="495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直流电焊机</w:t>
            </w:r>
          </w:p>
        </w:tc>
        <w:tc>
          <w:tcPr>
            <w:tcW w:w="238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21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13</w:t>
            </w:r>
          </w:p>
        </w:tc>
        <w:tc>
          <w:tcPr>
            <w:tcW w:w="495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交流电焊机</w:t>
            </w:r>
          </w:p>
        </w:tc>
        <w:tc>
          <w:tcPr>
            <w:tcW w:w="238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100</w:t>
            </w:r>
          </w:p>
        </w:tc>
      </w:tr>
    </w:tbl>
    <w:p>
      <w:pPr>
        <w:spacing w:line="360" w:lineRule="auto"/>
        <w:ind w:firstLine="481" w:firstLineChars="200"/>
        <w:rPr>
          <w:rFonts w:hint="default" w:ascii="Times New Roman" w:hAnsi="Times New Roman" w:cs="Times New Roman"/>
          <w:b/>
          <w:bCs/>
          <w:sz w:val="24"/>
          <w:u w:val="none" w:color="auto"/>
        </w:rPr>
      </w:pPr>
      <w:r>
        <w:rPr>
          <w:rFonts w:hint="default" w:ascii="Times New Roman" w:hAnsi="Times New Roman" w:cs="Times New Roman"/>
          <w:b/>
          <w:bCs/>
          <w:sz w:val="24"/>
          <w:u w:val="none" w:color="auto"/>
        </w:rPr>
        <w:t>4、固体废物</w:t>
      </w:r>
    </w:p>
    <w:p>
      <w:p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t>施工期固体废物主要为施工过程中产生的多余的土石方和施工人员生活垃圾。</w:t>
      </w:r>
    </w:p>
    <w:p>
      <w:p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t>（1）施工弃渣</w:t>
      </w:r>
    </w:p>
    <w:p>
      <w:pPr>
        <w:spacing w:line="360" w:lineRule="auto"/>
        <w:ind w:firstLine="480" w:firstLineChars="200"/>
        <w:rPr>
          <w:rFonts w:hint="default" w:ascii="Times New Roman" w:hAnsi="Times New Roman" w:cs="Times New Roman"/>
          <w:sz w:val="24"/>
          <w:highlight w:val="none"/>
          <w:u w:val="none" w:color="auto"/>
        </w:rPr>
      </w:pPr>
      <w:r>
        <w:rPr>
          <w:rFonts w:hint="default" w:ascii="Times New Roman" w:hAnsi="Times New Roman" w:cs="Times New Roman"/>
          <w:sz w:val="24"/>
          <w:u w:val="none" w:color="auto"/>
        </w:rPr>
        <w:t>根据土石方平衡可知，项目产生多余的</w:t>
      </w:r>
      <w:r>
        <w:rPr>
          <w:rFonts w:hint="default" w:ascii="Times New Roman" w:hAnsi="Times New Roman" w:cs="Times New Roman"/>
          <w:sz w:val="24"/>
          <w:highlight w:val="none"/>
          <w:u w:val="none" w:color="auto"/>
        </w:rPr>
        <w:t>土石方量约为</w:t>
      </w:r>
      <w:r>
        <w:rPr>
          <w:rFonts w:hint="eastAsia" w:ascii="Times New Roman" w:hAnsi="Times New Roman" w:eastAsia="宋体" w:cs="Times New Roman"/>
          <w:color w:val="auto"/>
          <w:kern w:val="28"/>
          <w:sz w:val="24"/>
          <w:szCs w:val="24"/>
          <w:highlight w:val="none"/>
          <w:u w:val="none" w:color="auto"/>
          <w:lang w:eastAsia="zh-CN"/>
        </w:rPr>
        <w:t>35.32</w:t>
      </w:r>
      <w:r>
        <w:rPr>
          <w:rFonts w:hint="default" w:ascii="Times New Roman" w:hAnsi="Times New Roman" w:cs="Times New Roman"/>
          <w:sz w:val="24"/>
          <w:highlight w:val="none"/>
          <w:u w:val="none" w:color="auto"/>
        </w:rPr>
        <w:t>万m³。</w:t>
      </w:r>
    </w:p>
    <w:p>
      <w:p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t>（2）生活垃圾</w:t>
      </w:r>
    </w:p>
    <w:p>
      <w:p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t>本项目施工高峰期人员1</w:t>
      </w:r>
      <w:r>
        <w:rPr>
          <w:rFonts w:hint="eastAsia" w:cs="Times New Roman"/>
          <w:sz w:val="24"/>
          <w:u w:val="none" w:color="auto"/>
          <w:lang w:val="en-US" w:eastAsia="zh-CN"/>
        </w:rPr>
        <w:t>0</w:t>
      </w:r>
      <w:r>
        <w:rPr>
          <w:rFonts w:hint="default" w:ascii="Times New Roman" w:hAnsi="Times New Roman" w:cs="Times New Roman"/>
          <w:sz w:val="24"/>
          <w:u w:val="none" w:color="auto"/>
        </w:rPr>
        <w:t>0人，生活垃圾日产生量按0.5kg/d计，则施工期生活垃圾日产生量约</w:t>
      </w:r>
      <w:r>
        <w:rPr>
          <w:rFonts w:hint="eastAsia" w:cs="Times New Roman"/>
          <w:sz w:val="24"/>
          <w:u w:val="none" w:color="auto"/>
          <w:lang w:val="en-US" w:eastAsia="zh-CN"/>
        </w:rPr>
        <w:t>50</w:t>
      </w:r>
      <w:r>
        <w:rPr>
          <w:rFonts w:hint="default" w:ascii="Times New Roman" w:hAnsi="Times New Roman" w:cs="Times New Roman"/>
          <w:sz w:val="24"/>
          <w:u w:val="none" w:color="auto"/>
        </w:rPr>
        <w:t>kg/d。</w:t>
      </w:r>
    </w:p>
    <w:p>
      <w:pPr>
        <w:spacing w:line="360" w:lineRule="auto"/>
        <w:ind w:firstLine="481" w:firstLineChars="200"/>
        <w:rPr>
          <w:rFonts w:hint="default" w:ascii="Times New Roman" w:hAnsi="Times New Roman" w:cs="Times New Roman"/>
          <w:b/>
          <w:bCs/>
          <w:sz w:val="24"/>
          <w:u w:val="none" w:color="auto"/>
        </w:rPr>
      </w:pPr>
      <w:r>
        <w:rPr>
          <w:rFonts w:hint="default" w:ascii="Times New Roman" w:hAnsi="Times New Roman" w:cs="Times New Roman"/>
          <w:b/>
          <w:bCs/>
          <w:sz w:val="24"/>
          <w:u w:val="none" w:color="auto"/>
        </w:rPr>
        <w:t>5、生态环境</w:t>
      </w:r>
    </w:p>
    <w:p>
      <w:p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t>本项目施工期基础开挖使项目区域植被遭到破坏，地表裸露，从而使区域生态结构发生一定的变化，裸露的地表被雨水冲刷后将造成水土流失，进而降低土壤肥力。</w:t>
      </w:r>
    </w:p>
    <w:p>
      <w:p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fldChar w:fldCharType="begin"/>
      </w:r>
      <w:r>
        <w:rPr>
          <w:rFonts w:hint="default" w:ascii="Times New Roman" w:hAnsi="Times New Roman" w:cs="Times New Roman"/>
          <w:sz w:val="24"/>
          <w:u w:val="none" w:color="auto"/>
        </w:rPr>
        <w:instrText xml:space="preserve"> = 1 \* GB3 \* MERGEFORMAT </w:instrText>
      </w:r>
      <w:r>
        <w:rPr>
          <w:rFonts w:hint="default" w:ascii="Times New Roman" w:hAnsi="Times New Roman" w:cs="Times New Roman"/>
          <w:sz w:val="24"/>
          <w:u w:val="none" w:color="auto"/>
        </w:rPr>
        <w:fldChar w:fldCharType="separate"/>
      </w:r>
      <w:r>
        <w:rPr>
          <w:rFonts w:hint="default" w:ascii="Times New Roman" w:hAnsi="Times New Roman" w:cs="Times New Roman"/>
          <w:u w:val="none" w:color="auto"/>
        </w:rPr>
        <w:t>①</w:t>
      </w:r>
      <w:r>
        <w:rPr>
          <w:rFonts w:hint="default" w:ascii="Times New Roman" w:hAnsi="Times New Roman" w:cs="Times New Roman"/>
          <w:sz w:val="24"/>
          <w:u w:val="none" w:color="auto"/>
        </w:rPr>
        <w:fldChar w:fldCharType="end"/>
      </w:r>
      <w:r>
        <w:rPr>
          <w:rFonts w:hint="default" w:ascii="Times New Roman" w:hAnsi="Times New Roman" w:cs="Times New Roman"/>
          <w:sz w:val="24"/>
          <w:u w:val="none" w:color="auto"/>
        </w:rPr>
        <w:t>主体工程：风电机组基础开挖集电线路直埋电缆沟等施工将造成原地表变形，破坏土壤植被，产生新的水蚀、风蚀源，造成局部水土流失；</w:t>
      </w:r>
    </w:p>
    <w:p>
      <w:p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fldChar w:fldCharType="begin"/>
      </w:r>
      <w:r>
        <w:rPr>
          <w:rFonts w:hint="default" w:ascii="Times New Roman" w:hAnsi="Times New Roman" w:cs="Times New Roman"/>
          <w:sz w:val="24"/>
          <w:u w:val="none" w:color="auto"/>
        </w:rPr>
        <w:instrText xml:space="preserve"> = 2 \* GB3 \* MERGEFORMAT </w:instrText>
      </w:r>
      <w:r>
        <w:rPr>
          <w:rFonts w:hint="default" w:ascii="Times New Roman" w:hAnsi="Times New Roman" w:cs="Times New Roman"/>
          <w:sz w:val="24"/>
          <w:u w:val="none" w:color="auto"/>
        </w:rPr>
        <w:fldChar w:fldCharType="separate"/>
      </w:r>
      <w:r>
        <w:rPr>
          <w:rFonts w:hint="default" w:ascii="Times New Roman" w:hAnsi="Times New Roman" w:cs="Times New Roman"/>
          <w:u w:val="none" w:color="auto"/>
        </w:rPr>
        <w:t>②</w:t>
      </w:r>
      <w:r>
        <w:rPr>
          <w:rFonts w:hint="default" w:ascii="Times New Roman" w:hAnsi="Times New Roman" w:cs="Times New Roman"/>
          <w:sz w:val="24"/>
          <w:u w:val="none" w:color="auto"/>
        </w:rPr>
        <w:fldChar w:fldCharType="end"/>
      </w:r>
      <w:r>
        <w:rPr>
          <w:rFonts w:hint="default" w:ascii="Times New Roman" w:hAnsi="Times New Roman" w:cs="Times New Roman"/>
          <w:sz w:val="24"/>
          <w:u w:val="none" w:color="auto"/>
        </w:rPr>
        <w:t>配套附属工程：施工检修道路、临时施工场地、生活场地平整工程等，也要破坏土壤植被和部分山体结构，均会产生水土流失等生态环境影响。</w:t>
      </w:r>
    </w:p>
    <w:p>
      <w:p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t>工程区属湘江-潇水流域，风电场场区地表径流丰富，场区内无较大地表水系，主要为沟谷溪流、水库，少量冲沟常年有水流，大部分为干沟，水量受大气降水影响较大。施工过程中若不采取防护措施，遇降雨土石方可能随径流流入溪流、水库，造成河道淤积，影响水体正常防洪功能和水质。因此在施工过程中应做好土石方调运及边坡防护措施，保护现有河岸岸坡植被，防治施工期水土流失。同时</w:t>
      </w:r>
      <w:r>
        <w:rPr>
          <w:rFonts w:hint="default" w:ascii="Times New Roman" w:hAnsi="Times New Roman" w:cs="Times New Roman"/>
          <w:sz w:val="24"/>
          <w:u w:val="none" w:color="auto"/>
          <w:lang w:val="sq-AL"/>
        </w:rPr>
        <w:t>施工时做好环境保护，避免施工废油等进入水系，不得向溪流、水库内排污，影响河流水质。</w:t>
      </w:r>
    </w:p>
    <w:p>
      <w:pPr>
        <w:spacing w:line="360" w:lineRule="auto"/>
        <w:ind w:firstLine="481" w:firstLineChars="200"/>
        <w:rPr>
          <w:rFonts w:hint="default" w:ascii="Times New Roman" w:hAnsi="Times New Roman" w:cs="Times New Roman"/>
          <w:b/>
          <w:bCs/>
          <w:sz w:val="24"/>
          <w:u w:val="none" w:color="auto"/>
        </w:rPr>
      </w:pPr>
      <w:r>
        <w:rPr>
          <w:rFonts w:hint="default" w:ascii="Times New Roman" w:hAnsi="Times New Roman" w:cs="Times New Roman"/>
          <w:b/>
          <w:bCs/>
          <w:sz w:val="24"/>
          <w:u w:val="none" w:color="auto"/>
        </w:rPr>
        <w:t>6、对区域景观的影响</w:t>
      </w:r>
    </w:p>
    <w:p>
      <w:pPr>
        <w:spacing w:line="360" w:lineRule="auto"/>
        <w:ind w:firstLine="480" w:firstLineChars="200"/>
        <w:rPr>
          <w:rFonts w:hint="default" w:ascii="Times New Roman" w:hAnsi="Times New Roman" w:cs="Times New Roman"/>
          <w:u w:val="none" w:color="auto"/>
        </w:rPr>
      </w:pPr>
      <w:r>
        <w:rPr>
          <w:rFonts w:hint="default" w:ascii="Times New Roman" w:hAnsi="Times New Roman" w:cs="Times New Roman"/>
          <w:sz w:val="24"/>
          <w:u w:val="none" w:color="auto"/>
        </w:rPr>
        <w:t>在施工期，景观影响主要表现在施工斑块与灌木丛的不协调，同时大面积的破土会形成大量扬尘，施工场地物料堆放、土石方工程开挖中土石临时堆存无序、以及对植被的破坏等，均对景观带来负面影响；从影响时段看，这种负面影响将随着建设期的结束而消失。</w:t>
      </w:r>
    </w:p>
    <w:p>
      <w:pPr>
        <w:pStyle w:val="458"/>
        <w:ind w:firstLine="602"/>
        <w:rPr>
          <w:rFonts w:hint="default"/>
          <w:u w:val="none" w:color="auto"/>
          <w:lang w:val="en-US" w:eastAsia="zh-CN"/>
        </w:rPr>
      </w:pPr>
      <w:r>
        <w:rPr>
          <w:rFonts w:hint="eastAsia" w:ascii="Times New Roman" w:hAnsi="Times New Roman" w:eastAsia="宋体" w:cs="Times New Roman"/>
          <w:sz w:val="28"/>
          <w:szCs w:val="28"/>
          <w:u w:val="none" w:color="auto"/>
          <w:lang w:val="en-US" w:eastAsia="zh-CN"/>
        </w:rPr>
        <w:t>运营期污染源分析</w:t>
      </w:r>
    </w:p>
    <w:p>
      <w:p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t>本项目为风力发电项目，营运期无废气产生。因此，本项目营运期产生的污染源主要为废水、噪声、固体废物</w:t>
      </w:r>
      <w:r>
        <w:rPr>
          <w:rFonts w:hint="eastAsia" w:cs="Times New Roman"/>
          <w:sz w:val="24"/>
          <w:u w:val="none" w:color="auto"/>
          <w:lang w:eastAsia="zh-CN"/>
        </w:rPr>
        <w:t>、</w:t>
      </w:r>
      <w:r>
        <w:rPr>
          <w:rFonts w:hint="eastAsia" w:cs="Times New Roman"/>
          <w:sz w:val="24"/>
          <w:u w:val="none" w:color="auto"/>
          <w:lang w:val="en-US" w:eastAsia="zh-CN"/>
        </w:rPr>
        <w:t>电磁，本项目变更后风机单机容量不变、汇集站规模不变，各污染源不变</w:t>
      </w:r>
      <w:r>
        <w:rPr>
          <w:rFonts w:hint="default" w:ascii="Times New Roman" w:hAnsi="Times New Roman" w:cs="Times New Roman"/>
          <w:sz w:val="24"/>
          <w:u w:val="none" w:color="auto"/>
        </w:rPr>
        <w:t>。</w:t>
      </w:r>
    </w:p>
    <w:p>
      <w:pPr>
        <w:spacing w:line="360" w:lineRule="auto"/>
        <w:ind w:firstLine="481" w:firstLineChars="200"/>
        <w:rPr>
          <w:rFonts w:hint="default" w:ascii="Times New Roman" w:hAnsi="Times New Roman" w:cs="Times New Roman"/>
          <w:b/>
          <w:bCs/>
          <w:sz w:val="24"/>
          <w:u w:val="none" w:color="auto"/>
        </w:rPr>
      </w:pPr>
      <w:r>
        <w:rPr>
          <w:rFonts w:hint="default" w:ascii="Times New Roman" w:hAnsi="Times New Roman" w:cs="Times New Roman"/>
          <w:b/>
          <w:bCs/>
          <w:sz w:val="24"/>
          <w:u w:val="none" w:color="auto"/>
        </w:rPr>
        <w:t>1、废水</w:t>
      </w:r>
    </w:p>
    <w:p>
      <w:pPr>
        <w:spacing w:line="360" w:lineRule="auto"/>
        <w:ind w:firstLine="480" w:firstLineChars="200"/>
        <w:rPr>
          <w:rFonts w:hint="default" w:ascii="Times New Roman" w:hAnsi="Times New Roman" w:cs="Times New Roman"/>
          <w:u w:val="none" w:color="auto"/>
        </w:rPr>
      </w:pPr>
      <w:r>
        <w:rPr>
          <w:rFonts w:hint="default" w:ascii="Times New Roman" w:hAnsi="Times New Roman" w:cs="Times New Roman"/>
          <w:sz w:val="24"/>
          <w:u w:val="none" w:color="auto"/>
        </w:rPr>
        <w:t>本项目营运期废水主要为</w:t>
      </w:r>
      <w:r>
        <w:rPr>
          <w:rFonts w:hint="eastAsia" w:cs="Times New Roman"/>
          <w:sz w:val="24"/>
          <w:u w:val="none" w:color="auto"/>
          <w:lang w:eastAsia="zh-CN"/>
        </w:rPr>
        <w:t>汇集站</w:t>
      </w:r>
      <w:r>
        <w:rPr>
          <w:rFonts w:hint="default" w:ascii="Times New Roman" w:hAnsi="Times New Roman" w:cs="Times New Roman"/>
          <w:sz w:val="24"/>
          <w:u w:val="none" w:color="auto"/>
        </w:rPr>
        <w:t>员工产生的生活污水和食堂废水</w:t>
      </w:r>
      <w:r>
        <w:rPr>
          <w:rFonts w:hint="eastAsia" w:ascii="Times New Roman" w:hAnsi="Times New Roman" w:cs="Times New Roman"/>
          <w:sz w:val="24"/>
          <w:u w:val="none" w:color="auto"/>
          <w:lang w:eastAsia="zh-CN"/>
        </w:rPr>
        <w:t>，</w:t>
      </w:r>
      <w:r>
        <w:rPr>
          <w:rFonts w:hint="default" w:ascii="Times New Roman" w:hAnsi="Times New Roman" w:cs="Times New Roman"/>
          <w:sz w:val="24"/>
          <w:u w:val="none" w:color="auto"/>
        </w:rPr>
        <w:t>包括食堂废水、粪便污水、洗涤污水、淋浴污水等</w:t>
      </w:r>
      <w:r>
        <w:rPr>
          <w:rFonts w:hint="default" w:ascii="Times New Roman" w:hAnsi="Times New Roman" w:cs="Times New Roman"/>
          <w:kern w:val="24"/>
          <w:sz w:val="24"/>
          <w:u w:val="none" w:color="auto"/>
        </w:rPr>
        <w:t>。</w:t>
      </w:r>
      <w:r>
        <w:rPr>
          <w:rFonts w:hint="eastAsia" w:cs="Times New Roman"/>
          <w:sz w:val="24"/>
          <w:u w:val="none" w:color="auto"/>
          <w:lang w:eastAsia="zh-CN"/>
        </w:rPr>
        <w:t>汇集站</w:t>
      </w:r>
      <w:r>
        <w:rPr>
          <w:rFonts w:hint="default" w:ascii="Times New Roman" w:hAnsi="Times New Roman" w:cs="Times New Roman"/>
          <w:sz w:val="24"/>
          <w:u w:val="none" w:color="auto"/>
        </w:rPr>
        <w:t>运行管理人员1</w:t>
      </w:r>
      <w:r>
        <w:rPr>
          <w:rFonts w:hint="eastAsia" w:cs="Times New Roman"/>
          <w:sz w:val="24"/>
          <w:u w:val="none" w:color="auto"/>
          <w:lang w:val="en-US" w:eastAsia="zh-CN"/>
        </w:rPr>
        <w:t>0</w:t>
      </w:r>
      <w:r>
        <w:rPr>
          <w:rFonts w:hint="default" w:ascii="Times New Roman" w:hAnsi="Times New Roman" w:cs="Times New Roman"/>
          <w:sz w:val="24"/>
          <w:u w:val="none" w:color="auto"/>
        </w:rPr>
        <w:t>人。生活用水按每人每天0.15m</w:t>
      </w:r>
      <w:r>
        <w:rPr>
          <w:rFonts w:hint="default" w:ascii="Times New Roman" w:hAnsi="Times New Roman" w:cs="Times New Roman"/>
          <w:sz w:val="24"/>
          <w:u w:val="none" w:color="auto"/>
          <w:vertAlign w:val="superscript"/>
        </w:rPr>
        <w:t>3</w:t>
      </w:r>
      <w:r>
        <w:rPr>
          <w:rFonts w:hint="default" w:ascii="Times New Roman" w:hAnsi="Times New Roman" w:cs="Times New Roman"/>
          <w:sz w:val="24"/>
          <w:u w:val="none" w:color="auto"/>
        </w:rPr>
        <w:t>/人.d考虑，排放系数取0.8，营运期生活污水排放量为1.</w:t>
      </w:r>
      <w:r>
        <w:rPr>
          <w:rFonts w:hint="eastAsia" w:cs="Times New Roman"/>
          <w:sz w:val="24"/>
          <w:u w:val="none" w:color="auto"/>
          <w:lang w:val="en-US" w:eastAsia="zh-CN"/>
        </w:rPr>
        <w:t>2</w:t>
      </w:r>
      <w:r>
        <w:rPr>
          <w:rFonts w:hint="default" w:ascii="Times New Roman" w:hAnsi="Times New Roman" w:cs="Times New Roman"/>
          <w:sz w:val="24"/>
          <w:u w:val="none" w:color="auto"/>
        </w:rPr>
        <w:t>m</w:t>
      </w:r>
      <w:r>
        <w:rPr>
          <w:rFonts w:hint="default" w:ascii="Times New Roman" w:hAnsi="Times New Roman" w:cs="Times New Roman"/>
          <w:sz w:val="24"/>
          <w:u w:val="none" w:color="auto"/>
          <w:vertAlign w:val="superscript"/>
        </w:rPr>
        <w:t>3</w:t>
      </w:r>
      <w:r>
        <w:rPr>
          <w:rFonts w:hint="default" w:ascii="Times New Roman" w:hAnsi="Times New Roman" w:cs="Times New Roman"/>
          <w:sz w:val="24"/>
          <w:u w:val="none" w:color="auto"/>
        </w:rPr>
        <w:t>/d。污水中COD浓度300mg/L，BOD</w:t>
      </w:r>
      <w:r>
        <w:rPr>
          <w:rFonts w:hint="default" w:ascii="Times New Roman" w:hAnsi="Times New Roman" w:cs="Times New Roman"/>
          <w:sz w:val="24"/>
          <w:u w:val="none" w:color="auto"/>
          <w:vertAlign w:val="subscript"/>
        </w:rPr>
        <w:t>5</w:t>
      </w:r>
      <w:r>
        <w:rPr>
          <w:rFonts w:hint="default" w:ascii="Times New Roman" w:hAnsi="Times New Roman" w:cs="Times New Roman"/>
          <w:sz w:val="24"/>
          <w:u w:val="none" w:color="auto"/>
        </w:rPr>
        <w:t>浓度150mg/L，氨氮浓度30 mg/L。生活污水排入</w:t>
      </w:r>
      <w:r>
        <w:rPr>
          <w:rFonts w:hint="eastAsia" w:cs="Times New Roman"/>
          <w:sz w:val="24"/>
          <w:u w:val="none" w:color="auto"/>
          <w:lang w:eastAsia="zh-CN"/>
        </w:rPr>
        <w:t>汇集站</w:t>
      </w:r>
      <w:r>
        <w:rPr>
          <w:rFonts w:hint="default" w:ascii="Times New Roman" w:hAnsi="Times New Roman" w:cs="Times New Roman"/>
          <w:sz w:val="24"/>
          <w:u w:val="none" w:color="auto"/>
        </w:rPr>
        <w:t>地埋式一体化生活污水处理装置，</w:t>
      </w:r>
      <w:r>
        <w:rPr>
          <w:rFonts w:hint="default" w:ascii="Times New Roman" w:hAnsi="Times New Roman" w:cs="Times New Roman"/>
          <w:kern w:val="24"/>
          <w:sz w:val="24"/>
          <w:u w:val="none" w:color="auto"/>
        </w:rPr>
        <w:t>经处理达到《污水综合排放标准》（GB8978—1996）一级标准后，</w:t>
      </w:r>
      <w:r>
        <w:rPr>
          <w:rFonts w:hint="default" w:ascii="Times New Roman" w:hAnsi="Times New Roman" w:cs="Times New Roman"/>
          <w:sz w:val="24"/>
          <w:u w:val="none" w:color="auto"/>
        </w:rPr>
        <w:t>用于厂区及周边绿化，不外排。</w:t>
      </w:r>
    </w:p>
    <w:p>
      <w:pPr>
        <w:spacing w:line="360" w:lineRule="auto"/>
        <w:ind w:firstLine="481" w:firstLineChars="200"/>
        <w:rPr>
          <w:rFonts w:hint="default" w:ascii="Times New Roman" w:hAnsi="Times New Roman" w:cs="Times New Roman"/>
          <w:b/>
          <w:bCs/>
          <w:sz w:val="24"/>
          <w:u w:val="none" w:color="auto"/>
        </w:rPr>
      </w:pPr>
      <w:r>
        <w:rPr>
          <w:rFonts w:hint="default" w:ascii="Times New Roman" w:hAnsi="Times New Roman" w:cs="Times New Roman"/>
          <w:b/>
          <w:bCs/>
          <w:sz w:val="24"/>
          <w:u w:val="none" w:color="auto"/>
        </w:rPr>
        <w:t>2、噪声</w:t>
      </w:r>
    </w:p>
    <w:p>
      <w:pPr>
        <w:spacing w:line="360" w:lineRule="auto"/>
        <w:ind w:firstLine="480" w:firstLineChars="200"/>
        <w:rPr>
          <w:rFonts w:hint="default"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eastAsia="zh-CN"/>
        </w:rPr>
        <w:t>本风电场运行期间产生的噪声主要为风电机组噪声以及220</w:t>
      </w:r>
      <w:r>
        <w:rPr>
          <w:rFonts w:hint="eastAsia" w:cs="Times New Roman"/>
          <w:color w:val="auto"/>
          <w:u w:val="none" w:color="auto"/>
          <w:lang w:eastAsia="zh-CN"/>
        </w:rPr>
        <w:t>kV</w:t>
      </w:r>
      <w:r>
        <w:rPr>
          <w:rFonts w:hint="eastAsia" w:cs="Times New Roman"/>
          <w:color w:val="auto"/>
          <w:u w:val="none" w:color="auto"/>
          <w:lang w:val="en-US" w:eastAsia="zh-CN"/>
        </w:rPr>
        <w:t>汇集</w:t>
      </w:r>
      <w:r>
        <w:rPr>
          <w:rFonts w:hint="eastAsia" w:ascii="Times New Roman" w:hAnsi="Times New Roman" w:eastAsia="宋体" w:cs="Times New Roman"/>
          <w:color w:val="auto"/>
          <w:u w:val="none" w:color="auto"/>
          <w:lang w:eastAsia="zh-CN"/>
        </w:rPr>
        <w:t>站运行噪声。</w:t>
      </w:r>
      <w:r>
        <w:rPr>
          <w:rFonts w:hint="eastAsia" w:cs="Times New Roman"/>
          <w:color w:val="auto"/>
          <w:u w:val="none" w:color="auto"/>
          <w:lang w:val="en-US" w:eastAsia="zh-CN"/>
        </w:rPr>
        <w:t>本项目变更后风机型号和汇集站设备不变，噪声源强不变，与变更前一致。</w:t>
      </w:r>
    </w:p>
    <w:p>
      <w:pPr>
        <w:spacing w:line="360" w:lineRule="auto"/>
        <w:ind w:firstLine="480" w:firstLineChars="200"/>
        <w:rPr>
          <w:rFonts w:hint="eastAsia" w:ascii="Times New Roman" w:hAnsi="Times New Roman" w:eastAsia="宋体" w:cs="Times New Roman"/>
          <w:color w:val="auto"/>
          <w:u w:val="none" w:color="auto"/>
          <w:lang w:eastAsia="zh-CN"/>
        </w:rPr>
      </w:pPr>
      <w:r>
        <w:rPr>
          <w:rFonts w:hint="eastAsia" w:ascii="Times New Roman" w:hAnsi="Times New Roman" w:eastAsia="宋体" w:cs="Times New Roman"/>
          <w:color w:val="auto"/>
          <w:u w:val="none" w:color="auto"/>
          <w:lang w:eastAsia="zh-CN"/>
        </w:rPr>
        <w:t>①风电机组运行噪声</w:t>
      </w:r>
    </w:p>
    <w:p>
      <w:pPr>
        <w:spacing w:line="360" w:lineRule="auto"/>
        <w:ind w:firstLine="480" w:firstLineChars="200"/>
        <w:rPr>
          <w:rFonts w:hint="eastAsia" w:ascii="Times New Roman" w:hAnsi="Times New Roman" w:eastAsia="宋体" w:cs="Times New Roman"/>
          <w:color w:val="auto"/>
          <w:u w:val="none" w:color="auto"/>
          <w:lang w:eastAsia="zh-CN"/>
        </w:rPr>
      </w:pPr>
      <w:r>
        <w:rPr>
          <w:rFonts w:hint="eastAsia" w:ascii="Times New Roman" w:hAnsi="Times New Roman" w:eastAsia="宋体" w:cs="Times New Roman"/>
          <w:color w:val="auto"/>
          <w:u w:val="none" w:color="auto"/>
          <w:lang w:eastAsia="zh-CN"/>
        </w:rPr>
        <w:t>风机运行过程中的噪声来源于风轮叶片旋转时产生的空气动力噪声和齿轮箱和发电机等部件发出的机械噪声，液压及润滑油冷却系统噪声。液压及润滑油冷却系统噪声值约为78dB(A)；偏航系统刹车偶发噪声，偏航系统刹车偶发噪声值约为120dB(A)。风电机轮毂处噪声呈现明显的低频特征。</w:t>
      </w:r>
    </w:p>
    <w:p>
      <w:pPr>
        <w:spacing w:line="360" w:lineRule="auto"/>
        <w:ind w:firstLine="480" w:firstLineChars="200"/>
        <w:rPr>
          <w:rFonts w:hint="eastAsia" w:ascii="Times New Roman" w:hAnsi="Times New Roman" w:eastAsia="宋体" w:cs="Times New Roman"/>
          <w:color w:val="auto"/>
          <w:u w:val="none" w:color="auto"/>
          <w:lang w:eastAsia="zh-CN"/>
        </w:rPr>
      </w:pPr>
      <w:r>
        <w:rPr>
          <w:rFonts w:hint="eastAsia" w:ascii="Times New Roman" w:hAnsi="Times New Roman" w:eastAsia="宋体" w:cs="Times New Roman"/>
          <w:color w:val="auto"/>
          <w:u w:val="none" w:color="auto"/>
          <w:lang w:eastAsia="zh-CN"/>
        </w:rPr>
        <w:t>风机运行过程中的噪声来源于风轮叶片旋转时产生的空气动力噪声和齿轮箱和发电机等部件发出的机械噪声，液压及润滑油冷却系统噪声。液压及润滑油冷却系统噪声值约为78dB(A)；偏航系统刹车偶发噪声，偏航系统刹车偶发噪声值约为120dB(A)。风电机轮毂处噪声呈现明显的低频特征。</w:t>
      </w:r>
    </w:p>
    <w:p>
      <w:pPr>
        <w:spacing w:line="360" w:lineRule="auto"/>
        <w:ind w:firstLine="480" w:firstLineChars="200"/>
        <w:rPr>
          <w:rFonts w:hint="eastAsia" w:ascii="Times New Roman" w:hAnsi="Times New Roman" w:eastAsia="宋体" w:cs="Times New Roman"/>
          <w:color w:val="auto"/>
          <w:u w:val="none" w:color="auto"/>
          <w:lang w:eastAsia="zh-CN"/>
        </w:rPr>
      </w:pPr>
      <w:r>
        <w:rPr>
          <w:rFonts w:hint="eastAsia" w:ascii="Times New Roman" w:hAnsi="Times New Roman" w:eastAsia="宋体" w:cs="Times New Roman"/>
          <w:color w:val="auto"/>
          <w:u w:val="none" w:color="auto"/>
          <w:lang w:eastAsia="zh-CN"/>
        </w:rPr>
        <w:t>空气动力噪声产生于电机组叶片与空气撞击引起的压力脉动。一是沿叶片发展的湍流边界层引起的表面压力脉动；二是在运动气体中物体表面的湍涡脱落引起的压力脉动；三是叶片与来流湍流的干涉，如叶片与进气湍流、下游叶片与上游叶片尾迹的干涉等。气动噪声的频率和湍流的大小有关。根据国内外风机发电噪声研究，风电机组的噪声来源主要来自旋转的风机叶片和空气的摩擦噪声，与风机叶片的表面、角度等参数有关，和单机容量无直接关系。通过研究表明，当风机组的转速一定时，风速对风电机组噪声源强影响不大。当转速为非恒定时，风机的源强和风速为线性关系，一般风速越大声源强越大，但是当风机正常运行时其噪声源变化较小。随着技术的进步，机械噪声逐渐降低，但是气动噪声依然是主要噪声源。</w:t>
      </w:r>
    </w:p>
    <w:p>
      <w:pPr>
        <w:spacing w:line="360" w:lineRule="auto"/>
        <w:ind w:firstLine="480" w:firstLineChars="200"/>
        <w:rPr>
          <w:rFonts w:hint="eastAsia" w:ascii="Times New Roman" w:hAnsi="Times New Roman" w:eastAsia="宋体" w:cs="Times New Roman"/>
          <w:color w:val="auto"/>
          <w:u w:val="none" w:color="auto"/>
          <w:lang w:eastAsia="zh-CN"/>
        </w:rPr>
      </w:pPr>
      <w:r>
        <w:rPr>
          <w:rFonts w:hint="eastAsia" w:ascii="Times New Roman" w:hAnsi="Times New Roman" w:eastAsia="宋体" w:cs="Times New Roman"/>
          <w:color w:val="auto"/>
          <w:u w:val="none" w:color="auto"/>
          <w:lang w:eastAsia="zh-CN"/>
        </w:rPr>
        <w:t>本次风机机型为</w:t>
      </w:r>
      <w:r>
        <w:rPr>
          <w:rFonts w:hint="eastAsia"/>
          <w:lang w:eastAsia="zh-CN"/>
        </w:rPr>
        <w:t>DEW195-5000，</w:t>
      </w:r>
      <w:r>
        <w:rPr>
          <w:rFonts w:hint="eastAsia" w:ascii="Times New Roman" w:hAnsi="Times New Roman" w:eastAsia="宋体" w:cs="Times New Roman"/>
          <w:color w:val="auto"/>
          <w:u w:val="none" w:color="auto"/>
          <w:lang w:eastAsia="zh-CN"/>
        </w:rPr>
        <w:t>根据中车公司提供的5.0MW(风机型号 WT5000D195) 风电机组噪声评估报告可知，在风速3m/s~14m/s 情况下，整机噪声值为 98.2~109.0dB (A)。类比中车风机同样单机规模的机型并考虑最不利情况，预测时风电机组运行时轮毅处噪声源强为 109dB (A)。本项目所在区域风速平均为 5.</w:t>
      </w:r>
      <w:r>
        <w:rPr>
          <w:rFonts w:hint="eastAsia" w:cs="Times New Roman"/>
          <w:color w:val="auto"/>
          <w:u w:val="none" w:color="auto"/>
          <w:lang w:val="en-US" w:eastAsia="zh-CN"/>
        </w:rPr>
        <w:t>55</w:t>
      </w:r>
      <w:r>
        <w:rPr>
          <w:rFonts w:hint="eastAsia" w:ascii="Times New Roman" w:hAnsi="Times New Roman" w:eastAsia="宋体" w:cs="Times New Roman"/>
          <w:color w:val="auto"/>
          <w:u w:val="none" w:color="auto"/>
          <w:lang w:eastAsia="zh-CN"/>
        </w:rPr>
        <w:t>m/s，因而取值完全满足评价要求。项目噪声源声级见下表。</w:t>
      </w:r>
    </w:p>
    <w:p>
      <w:pPr>
        <w:pStyle w:val="2289"/>
        <w:bidi w:val="0"/>
        <w:rPr>
          <w:rFonts w:hint="eastAsia"/>
          <w:lang w:eastAsia="zh-CN"/>
        </w:rPr>
      </w:pPr>
      <w:r>
        <w:rPr>
          <w:rFonts w:hint="eastAsia"/>
          <w:lang w:eastAsia="zh-CN"/>
        </w:rPr>
        <w:t>工业企业噪声源强调查清单（室外声源）</w:t>
      </w:r>
    </w:p>
    <w:tbl>
      <w:tblPr>
        <w:tblStyle w:val="3676"/>
        <w:tblW w:w="5003"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34"/>
        <w:gridCol w:w="1711"/>
        <w:gridCol w:w="1245"/>
        <w:gridCol w:w="1103"/>
        <w:gridCol w:w="622"/>
        <w:gridCol w:w="1525"/>
        <w:gridCol w:w="879"/>
        <w:gridCol w:w="108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9" w:hRule="atLeast"/>
          <w:jc w:val="center"/>
        </w:trPr>
        <w:tc>
          <w:tcPr>
            <w:tcW w:w="512" w:type="pct"/>
            <w:vMerge w:val="restar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声源名称</w:t>
            </w:r>
          </w:p>
        </w:tc>
        <w:tc>
          <w:tcPr>
            <w:tcW w:w="939" w:type="pct"/>
            <w:vMerge w:val="restar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型号</w:t>
            </w:r>
          </w:p>
        </w:tc>
        <w:tc>
          <w:tcPr>
            <w:tcW w:w="1630" w:type="pct"/>
            <w:gridSpan w:val="3"/>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空间相对位置/m</w:t>
            </w:r>
          </w:p>
        </w:tc>
        <w:tc>
          <w:tcPr>
            <w:tcW w:w="83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声源源强</w:t>
            </w:r>
          </w:p>
        </w:tc>
        <w:tc>
          <w:tcPr>
            <w:tcW w:w="482" w:type="pct"/>
            <w:vMerge w:val="restar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声源控制措施</w:t>
            </w:r>
          </w:p>
        </w:tc>
        <w:tc>
          <w:tcPr>
            <w:tcW w:w="597" w:type="pct"/>
            <w:vMerge w:val="restar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运行时段</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2" w:type="pct"/>
            <w:vMerge w:val="continue"/>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p>
        </w:tc>
        <w:tc>
          <w:tcPr>
            <w:tcW w:w="939" w:type="pct"/>
            <w:vMerge w:val="continue"/>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p>
        </w:tc>
        <w:tc>
          <w:tcPr>
            <w:tcW w:w="683"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i/>
                <w:kern w:val="0"/>
                <w:sz w:val="21"/>
                <w:szCs w:val="21"/>
                <w:lang w:eastAsia="en-US"/>
              </w:rPr>
            </w:pPr>
            <w:r>
              <w:rPr>
                <w:rFonts w:ascii="Times New Roman" w:hAnsi="Times New Roman"/>
                <w:i/>
                <w:w w:val="99"/>
                <w:kern w:val="0"/>
                <w:sz w:val="21"/>
                <w:szCs w:val="21"/>
                <w:lang w:eastAsia="en-US"/>
              </w:rPr>
              <w:t>Y</w:t>
            </w:r>
          </w:p>
        </w:tc>
        <w:tc>
          <w:tcPr>
            <w:tcW w:w="605"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i/>
                <w:kern w:val="0"/>
                <w:sz w:val="21"/>
                <w:szCs w:val="21"/>
                <w:lang w:eastAsia="en-US"/>
              </w:rPr>
            </w:pPr>
            <w:r>
              <w:rPr>
                <w:rFonts w:ascii="Times New Roman" w:hAnsi="Times New Roman"/>
                <w:i/>
                <w:kern w:val="0"/>
                <w:sz w:val="21"/>
                <w:szCs w:val="21"/>
                <w:lang w:eastAsia="en-US"/>
              </w:rPr>
              <w:t>X</w:t>
            </w:r>
          </w:p>
        </w:tc>
        <w:tc>
          <w:tcPr>
            <w:tcW w:w="341"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i/>
                <w:kern w:val="0"/>
                <w:sz w:val="21"/>
                <w:szCs w:val="21"/>
                <w:lang w:eastAsia="en-US"/>
              </w:rPr>
            </w:pPr>
            <w:r>
              <w:rPr>
                <w:rFonts w:ascii="Times New Roman" w:hAnsi="Times New Roman"/>
                <w:i/>
                <w:w w:val="99"/>
                <w:kern w:val="0"/>
                <w:sz w:val="21"/>
                <w:szCs w:val="21"/>
                <w:lang w:eastAsia="en-US"/>
              </w:rPr>
              <w:t>Z</w:t>
            </w:r>
          </w:p>
        </w:tc>
        <w:tc>
          <w:tcPr>
            <w:tcW w:w="83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声功率级/dB(A)</w:t>
            </w:r>
          </w:p>
        </w:tc>
        <w:tc>
          <w:tcPr>
            <w:tcW w:w="482" w:type="pct"/>
            <w:vMerge w:val="continue"/>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p>
        </w:tc>
        <w:tc>
          <w:tcPr>
            <w:tcW w:w="597" w:type="pct"/>
            <w:vMerge w:val="continue"/>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2" w:hRule="atLeast"/>
          <w:jc w:val="center"/>
        </w:trPr>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L1</w:t>
            </w:r>
          </w:p>
        </w:tc>
        <w:tc>
          <w:tcPr>
            <w:tcW w:w="9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DEW195-5000</w:t>
            </w:r>
          </w:p>
        </w:tc>
        <w:tc>
          <w:tcPr>
            <w:tcW w:w="68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37608614</w:t>
            </w:r>
          </w:p>
        </w:tc>
        <w:tc>
          <w:tcPr>
            <w:tcW w:w="60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2800403</w:t>
            </w:r>
          </w:p>
        </w:tc>
        <w:tc>
          <w:tcPr>
            <w:tcW w:w="341"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110</w:t>
            </w:r>
          </w:p>
        </w:tc>
        <w:tc>
          <w:tcPr>
            <w:tcW w:w="83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109</w:t>
            </w:r>
          </w:p>
        </w:tc>
        <w:tc>
          <w:tcPr>
            <w:tcW w:w="482"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w:t>
            </w:r>
          </w:p>
        </w:tc>
        <w:tc>
          <w:tcPr>
            <w:tcW w:w="59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昼夜</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L2</w:t>
            </w:r>
          </w:p>
        </w:tc>
        <w:tc>
          <w:tcPr>
            <w:tcW w:w="9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DEW195-5000</w:t>
            </w:r>
          </w:p>
        </w:tc>
        <w:tc>
          <w:tcPr>
            <w:tcW w:w="68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37610240</w:t>
            </w:r>
          </w:p>
        </w:tc>
        <w:tc>
          <w:tcPr>
            <w:tcW w:w="60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2800621</w:t>
            </w:r>
          </w:p>
        </w:tc>
        <w:tc>
          <w:tcPr>
            <w:tcW w:w="341"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110</w:t>
            </w:r>
          </w:p>
        </w:tc>
        <w:tc>
          <w:tcPr>
            <w:tcW w:w="83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109</w:t>
            </w:r>
          </w:p>
        </w:tc>
        <w:tc>
          <w:tcPr>
            <w:tcW w:w="482"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w:t>
            </w:r>
          </w:p>
        </w:tc>
        <w:tc>
          <w:tcPr>
            <w:tcW w:w="59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昼夜</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L3</w:t>
            </w:r>
          </w:p>
        </w:tc>
        <w:tc>
          <w:tcPr>
            <w:tcW w:w="9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DEW195-5000</w:t>
            </w:r>
          </w:p>
        </w:tc>
        <w:tc>
          <w:tcPr>
            <w:tcW w:w="68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37610561</w:t>
            </w:r>
          </w:p>
        </w:tc>
        <w:tc>
          <w:tcPr>
            <w:tcW w:w="60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2800730</w:t>
            </w:r>
          </w:p>
        </w:tc>
        <w:tc>
          <w:tcPr>
            <w:tcW w:w="341"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110</w:t>
            </w:r>
          </w:p>
        </w:tc>
        <w:tc>
          <w:tcPr>
            <w:tcW w:w="83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109</w:t>
            </w:r>
          </w:p>
        </w:tc>
        <w:tc>
          <w:tcPr>
            <w:tcW w:w="482"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w:t>
            </w:r>
          </w:p>
        </w:tc>
        <w:tc>
          <w:tcPr>
            <w:tcW w:w="59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昼夜</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L4</w:t>
            </w:r>
          </w:p>
        </w:tc>
        <w:tc>
          <w:tcPr>
            <w:tcW w:w="9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DEW195-5000</w:t>
            </w:r>
          </w:p>
        </w:tc>
        <w:tc>
          <w:tcPr>
            <w:tcW w:w="68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37611423</w:t>
            </w:r>
          </w:p>
        </w:tc>
        <w:tc>
          <w:tcPr>
            <w:tcW w:w="60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2801803</w:t>
            </w:r>
          </w:p>
        </w:tc>
        <w:tc>
          <w:tcPr>
            <w:tcW w:w="341"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110</w:t>
            </w:r>
          </w:p>
        </w:tc>
        <w:tc>
          <w:tcPr>
            <w:tcW w:w="83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109</w:t>
            </w:r>
          </w:p>
        </w:tc>
        <w:tc>
          <w:tcPr>
            <w:tcW w:w="482"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w:t>
            </w:r>
          </w:p>
        </w:tc>
        <w:tc>
          <w:tcPr>
            <w:tcW w:w="59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昼夜</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L5</w:t>
            </w:r>
          </w:p>
        </w:tc>
        <w:tc>
          <w:tcPr>
            <w:tcW w:w="9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DEW195-5000</w:t>
            </w:r>
          </w:p>
        </w:tc>
        <w:tc>
          <w:tcPr>
            <w:tcW w:w="68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37611677</w:t>
            </w:r>
          </w:p>
        </w:tc>
        <w:tc>
          <w:tcPr>
            <w:tcW w:w="60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2802149</w:t>
            </w:r>
          </w:p>
        </w:tc>
        <w:tc>
          <w:tcPr>
            <w:tcW w:w="341"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110</w:t>
            </w:r>
          </w:p>
        </w:tc>
        <w:tc>
          <w:tcPr>
            <w:tcW w:w="83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109</w:t>
            </w:r>
          </w:p>
        </w:tc>
        <w:tc>
          <w:tcPr>
            <w:tcW w:w="482"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w:t>
            </w:r>
          </w:p>
        </w:tc>
        <w:tc>
          <w:tcPr>
            <w:tcW w:w="59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昼夜</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L6</w:t>
            </w:r>
          </w:p>
        </w:tc>
        <w:tc>
          <w:tcPr>
            <w:tcW w:w="9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DEW195-5000</w:t>
            </w:r>
          </w:p>
        </w:tc>
        <w:tc>
          <w:tcPr>
            <w:tcW w:w="68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37611835</w:t>
            </w:r>
          </w:p>
        </w:tc>
        <w:tc>
          <w:tcPr>
            <w:tcW w:w="60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2802705</w:t>
            </w:r>
          </w:p>
        </w:tc>
        <w:tc>
          <w:tcPr>
            <w:tcW w:w="341"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110</w:t>
            </w:r>
          </w:p>
        </w:tc>
        <w:tc>
          <w:tcPr>
            <w:tcW w:w="83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109</w:t>
            </w:r>
          </w:p>
        </w:tc>
        <w:tc>
          <w:tcPr>
            <w:tcW w:w="482"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w:t>
            </w:r>
          </w:p>
        </w:tc>
        <w:tc>
          <w:tcPr>
            <w:tcW w:w="59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昼夜</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L7</w:t>
            </w:r>
          </w:p>
        </w:tc>
        <w:tc>
          <w:tcPr>
            <w:tcW w:w="9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DEW195-5000</w:t>
            </w:r>
          </w:p>
        </w:tc>
        <w:tc>
          <w:tcPr>
            <w:tcW w:w="68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37612123</w:t>
            </w:r>
          </w:p>
        </w:tc>
        <w:tc>
          <w:tcPr>
            <w:tcW w:w="60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2802717</w:t>
            </w:r>
          </w:p>
        </w:tc>
        <w:tc>
          <w:tcPr>
            <w:tcW w:w="341"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110</w:t>
            </w:r>
          </w:p>
        </w:tc>
        <w:tc>
          <w:tcPr>
            <w:tcW w:w="83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109</w:t>
            </w:r>
          </w:p>
        </w:tc>
        <w:tc>
          <w:tcPr>
            <w:tcW w:w="482"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w:t>
            </w:r>
          </w:p>
        </w:tc>
        <w:tc>
          <w:tcPr>
            <w:tcW w:w="59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昼夜</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L8</w:t>
            </w:r>
          </w:p>
        </w:tc>
        <w:tc>
          <w:tcPr>
            <w:tcW w:w="9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DEW195-5000</w:t>
            </w:r>
          </w:p>
        </w:tc>
        <w:tc>
          <w:tcPr>
            <w:tcW w:w="68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37612454</w:t>
            </w:r>
          </w:p>
        </w:tc>
        <w:tc>
          <w:tcPr>
            <w:tcW w:w="60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2802579</w:t>
            </w:r>
          </w:p>
        </w:tc>
        <w:tc>
          <w:tcPr>
            <w:tcW w:w="341"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110</w:t>
            </w:r>
          </w:p>
        </w:tc>
        <w:tc>
          <w:tcPr>
            <w:tcW w:w="83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109</w:t>
            </w:r>
          </w:p>
        </w:tc>
        <w:tc>
          <w:tcPr>
            <w:tcW w:w="482"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w:t>
            </w:r>
          </w:p>
        </w:tc>
        <w:tc>
          <w:tcPr>
            <w:tcW w:w="59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昼夜</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L9</w:t>
            </w:r>
          </w:p>
        </w:tc>
        <w:tc>
          <w:tcPr>
            <w:tcW w:w="9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DEW195-5000</w:t>
            </w:r>
          </w:p>
        </w:tc>
        <w:tc>
          <w:tcPr>
            <w:tcW w:w="68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37613070</w:t>
            </w:r>
          </w:p>
        </w:tc>
        <w:tc>
          <w:tcPr>
            <w:tcW w:w="60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2803689</w:t>
            </w:r>
          </w:p>
        </w:tc>
        <w:tc>
          <w:tcPr>
            <w:tcW w:w="341"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110</w:t>
            </w:r>
          </w:p>
        </w:tc>
        <w:tc>
          <w:tcPr>
            <w:tcW w:w="83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109</w:t>
            </w:r>
          </w:p>
        </w:tc>
        <w:tc>
          <w:tcPr>
            <w:tcW w:w="482"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w:t>
            </w:r>
          </w:p>
        </w:tc>
        <w:tc>
          <w:tcPr>
            <w:tcW w:w="59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昼夜</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L10</w:t>
            </w:r>
          </w:p>
        </w:tc>
        <w:tc>
          <w:tcPr>
            <w:tcW w:w="9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DEW195-5000</w:t>
            </w:r>
          </w:p>
        </w:tc>
        <w:tc>
          <w:tcPr>
            <w:tcW w:w="68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37613487</w:t>
            </w:r>
          </w:p>
        </w:tc>
        <w:tc>
          <w:tcPr>
            <w:tcW w:w="60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2803692</w:t>
            </w:r>
          </w:p>
        </w:tc>
        <w:tc>
          <w:tcPr>
            <w:tcW w:w="341"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110</w:t>
            </w:r>
          </w:p>
        </w:tc>
        <w:tc>
          <w:tcPr>
            <w:tcW w:w="83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109</w:t>
            </w:r>
          </w:p>
        </w:tc>
        <w:tc>
          <w:tcPr>
            <w:tcW w:w="482"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w:t>
            </w:r>
          </w:p>
        </w:tc>
        <w:tc>
          <w:tcPr>
            <w:tcW w:w="59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昼夜</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L11</w:t>
            </w:r>
          </w:p>
        </w:tc>
        <w:tc>
          <w:tcPr>
            <w:tcW w:w="9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DEW195-5000</w:t>
            </w:r>
          </w:p>
        </w:tc>
        <w:tc>
          <w:tcPr>
            <w:tcW w:w="68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37613779</w:t>
            </w:r>
          </w:p>
        </w:tc>
        <w:tc>
          <w:tcPr>
            <w:tcW w:w="60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2803946</w:t>
            </w:r>
          </w:p>
        </w:tc>
        <w:tc>
          <w:tcPr>
            <w:tcW w:w="341"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110</w:t>
            </w:r>
          </w:p>
        </w:tc>
        <w:tc>
          <w:tcPr>
            <w:tcW w:w="83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109</w:t>
            </w:r>
          </w:p>
        </w:tc>
        <w:tc>
          <w:tcPr>
            <w:tcW w:w="482"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w:t>
            </w:r>
          </w:p>
        </w:tc>
        <w:tc>
          <w:tcPr>
            <w:tcW w:w="59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昼夜</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L12</w:t>
            </w:r>
          </w:p>
        </w:tc>
        <w:tc>
          <w:tcPr>
            <w:tcW w:w="9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DEW195-5000</w:t>
            </w:r>
          </w:p>
        </w:tc>
        <w:tc>
          <w:tcPr>
            <w:tcW w:w="68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37613892</w:t>
            </w:r>
          </w:p>
        </w:tc>
        <w:tc>
          <w:tcPr>
            <w:tcW w:w="60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2804449</w:t>
            </w:r>
          </w:p>
        </w:tc>
        <w:tc>
          <w:tcPr>
            <w:tcW w:w="341"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110</w:t>
            </w:r>
          </w:p>
        </w:tc>
        <w:tc>
          <w:tcPr>
            <w:tcW w:w="83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109</w:t>
            </w:r>
          </w:p>
        </w:tc>
        <w:tc>
          <w:tcPr>
            <w:tcW w:w="482"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w:t>
            </w:r>
          </w:p>
        </w:tc>
        <w:tc>
          <w:tcPr>
            <w:tcW w:w="59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昼夜</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L13</w:t>
            </w:r>
          </w:p>
        </w:tc>
        <w:tc>
          <w:tcPr>
            <w:tcW w:w="9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DEW195-5000</w:t>
            </w:r>
          </w:p>
        </w:tc>
        <w:tc>
          <w:tcPr>
            <w:tcW w:w="68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37613862</w:t>
            </w:r>
          </w:p>
        </w:tc>
        <w:tc>
          <w:tcPr>
            <w:tcW w:w="60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2804909</w:t>
            </w:r>
          </w:p>
        </w:tc>
        <w:tc>
          <w:tcPr>
            <w:tcW w:w="341"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110</w:t>
            </w:r>
          </w:p>
        </w:tc>
        <w:tc>
          <w:tcPr>
            <w:tcW w:w="83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109</w:t>
            </w:r>
          </w:p>
        </w:tc>
        <w:tc>
          <w:tcPr>
            <w:tcW w:w="482"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w:t>
            </w:r>
          </w:p>
        </w:tc>
        <w:tc>
          <w:tcPr>
            <w:tcW w:w="59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昼夜</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9" w:hRule="atLeast"/>
          <w:jc w:val="center"/>
        </w:trPr>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L14</w:t>
            </w:r>
          </w:p>
        </w:tc>
        <w:tc>
          <w:tcPr>
            <w:tcW w:w="9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DEW195-5000</w:t>
            </w:r>
          </w:p>
        </w:tc>
        <w:tc>
          <w:tcPr>
            <w:tcW w:w="68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37613907</w:t>
            </w:r>
          </w:p>
        </w:tc>
        <w:tc>
          <w:tcPr>
            <w:tcW w:w="60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2805429</w:t>
            </w:r>
          </w:p>
        </w:tc>
        <w:tc>
          <w:tcPr>
            <w:tcW w:w="341"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110</w:t>
            </w:r>
          </w:p>
        </w:tc>
        <w:tc>
          <w:tcPr>
            <w:tcW w:w="83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109</w:t>
            </w:r>
          </w:p>
        </w:tc>
        <w:tc>
          <w:tcPr>
            <w:tcW w:w="482"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w:t>
            </w:r>
          </w:p>
        </w:tc>
        <w:tc>
          <w:tcPr>
            <w:tcW w:w="59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昼夜</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51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L15</w:t>
            </w:r>
          </w:p>
        </w:tc>
        <w:tc>
          <w:tcPr>
            <w:tcW w:w="9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u w:val="none" w:color="auto"/>
                <w:lang w:val="en-US" w:eastAsia="en-US"/>
              </w:rPr>
            </w:pPr>
            <w:r>
              <w:rPr>
                <w:rFonts w:hint="eastAsia" w:ascii="Times New Roman" w:hAnsi="Times New Roman" w:cs="Times New Roman"/>
                <w:color w:val="auto"/>
                <w:sz w:val="21"/>
                <w:szCs w:val="21"/>
                <w:u w:val="none" w:color="auto"/>
                <w:lang w:val="en-US" w:eastAsia="zh-CN"/>
              </w:rPr>
              <w:t>DEW195-5000</w:t>
            </w:r>
          </w:p>
        </w:tc>
        <w:tc>
          <w:tcPr>
            <w:tcW w:w="68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37614434</w:t>
            </w:r>
          </w:p>
        </w:tc>
        <w:tc>
          <w:tcPr>
            <w:tcW w:w="60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en-US" w:bidi="ar-SA"/>
              </w:rPr>
            </w:pPr>
            <w:r>
              <w:rPr>
                <w:rFonts w:hint="eastAsia" w:ascii="Times New Roman" w:hAnsi="Times New Roman" w:cs="Times New Roman"/>
                <w:color w:val="auto"/>
                <w:sz w:val="21"/>
                <w:szCs w:val="21"/>
                <w:u w:val="none" w:color="auto"/>
                <w:lang w:val="en-US" w:eastAsia="zh-CN"/>
              </w:rPr>
              <w:t>2806037</w:t>
            </w:r>
          </w:p>
        </w:tc>
        <w:tc>
          <w:tcPr>
            <w:tcW w:w="341"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110</w:t>
            </w:r>
          </w:p>
        </w:tc>
        <w:tc>
          <w:tcPr>
            <w:tcW w:w="83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109</w:t>
            </w:r>
          </w:p>
        </w:tc>
        <w:tc>
          <w:tcPr>
            <w:tcW w:w="482"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w:t>
            </w:r>
          </w:p>
        </w:tc>
        <w:tc>
          <w:tcPr>
            <w:tcW w:w="59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1"/>
                <w:lang w:eastAsia="en-US"/>
              </w:rPr>
            </w:pPr>
            <w:r>
              <w:rPr>
                <w:rFonts w:ascii="Times New Roman" w:hAnsi="Times New Roman"/>
                <w:kern w:val="0"/>
                <w:sz w:val="21"/>
                <w:szCs w:val="21"/>
                <w:lang w:eastAsia="en-US"/>
              </w:rPr>
              <w:t>昼夜</w:t>
            </w:r>
          </w:p>
        </w:tc>
      </w:tr>
    </w:tbl>
    <w:p>
      <w:pPr>
        <w:tabs>
          <w:tab w:val="clear" w:pos="480"/>
        </w:tabs>
        <w:adjustRightInd w:val="0"/>
        <w:snapToGrid w:val="0"/>
        <w:ind w:firstLine="480"/>
      </w:pPr>
    </w:p>
    <w:p>
      <w:pPr>
        <w:tabs>
          <w:tab w:val="clear" w:pos="480"/>
        </w:tabs>
        <w:adjustRightInd w:val="0"/>
        <w:snapToGrid w:val="0"/>
        <w:ind w:firstLine="480"/>
      </w:pPr>
      <w:r>
        <w:fldChar w:fldCharType="begin"/>
      </w:r>
      <w:r>
        <w:instrText xml:space="preserve"> = 2 \* GB3 </w:instrText>
      </w:r>
      <w:r>
        <w:fldChar w:fldCharType="separate"/>
      </w:r>
      <w:r>
        <w:rPr>
          <w:rFonts w:hint="eastAsia"/>
        </w:rPr>
        <w:t>②</w:t>
      </w:r>
      <w:r>
        <w:fldChar w:fldCharType="end"/>
      </w:r>
      <w:r>
        <w:rPr>
          <w:rFonts w:hint="eastAsia"/>
        </w:rPr>
        <w:t>22</w:t>
      </w:r>
      <w:r>
        <w:t>0</w:t>
      </w:r>
      <w:r>
        <w:rPr>
          <w:rFonts w:hint="eastAsia"/>
          <w:lang w:eastAsia="zh-CN"/>
        </w:rPr>
        <w:t>kV</w:t>
      </w:r>
      <w:r>
        <w:rPr>
          <w:rFonts w:hint="eastAsia" w:cs="Times New Roman"/>
          <w:color w:val="auto"/>
          <w:u w:val="none" w:color="auto"/>
          <w:lang w:val="en-US" w:eastAsia="zh-CN"/>
        </w:rPr>
        <w:t>汇集</w:t>
      </w:r>
      <w:r>
        <w:rPr>
          <w:rFonts w:hint="eastAsia"/>
        </w:rPr>
        <w:t>站运行噪声</w:t>
      </w:r>
    </w:p>
    <w:p>
      <w:pPr>
        <w:tabs>
          <w:tab w:val="clear" w:pos="480"/>
        </w:tabs>
        <w:adjustRightInd w:val="0"/>
        <w:snapToGrid w:val="0"/>
        <w:ind w:firstLine="480"/>
      </w:pPr>
      <w:r>
        <w:rPr>
          <w:rFonts w:hint="eastAsia"/>
          <w:lang w:val="en-US" w:eastAsia="zh-CN"/>
        </w:rPr>
        <w:t>变更后</w:t>
      </w:r>
      <w:r>
        <w:rPr>
          <w:rFonts w:hint="eastAsia" w:cs="Times New Roman"/>
          <w:color w:val="auto"/>
          <w:u w:val="none" w:color="auto"/>
          <w:lang w:val="en-US" w:eastAsia="zh-CN"/>
        </w:rPr>
        <w:t>汇集</w:t>
      </w:r>
      <w:r>
        <w:rPr>
          <w:rFonts w:hint="eastAsia"/>
        </w:rPr>
        <w:t>站</w:t>
      </w:r>
      <w:r>
        <w:rPr>
          <w:rFonts w:hint="eastAsia"/>
          <w:lang w:eastAsia="zh-CN"/>
        </w:rPr>
        <w:t>的</w:t>
      </w:r>
      <w:r>
        <w:rPr>
          <w:rFonts w:hint="eastAsia"/>
          <w:lang w:val="en-US" w:eastAsia="zh-CN"/>
        </w:rPr>
        <w:t>设备和平面布置不变，和原环评一致，噪声源强不变。</w:t>
      </w:r>
      <w:r>
        <w:t>户外式</w:t>
      </w:r>
      <w:r>
        <w:rPr>
          <w:rFonts w:hint="eastAsia"/>
        </w:rPr>
        <w:t>22</w:t>
      </w:r>
      <w:r>
        <w:t>0</w:t>
      </w:r>
      <w:r>
        <w:rPr>
          <w:rFonts w:hint="eastAsia"/>
          <w:lang w:eastAsia="zh-CN"/>
        </w:rPr>
        <w:t>kV</w:t>
      </w:r>
      <w:r>
        <w:rPr>
          <w:rFonts w:hint="eastAsia" w:cs="Times New Roman"/>
          <w:color w:val="auto"/>
          <w:u w:val="none" w:color="auto"/>
          <w:lang w:val="en-US" w:eastAsia="zh-CN"/>
        </w:rPr>
        <w:t>汇集</w:t>
      </w:r>
      <w:r>
        <w:t>站对周围声环境的影响主要是由主变压器运行时所产生的噪声，</w:t>
      </w:r>
      <w:r>
        <w:rPr>
          <w:rFonts w:hint="eastAsia"/>
          <w:lang w:val="en-US" w:eastAsia="zh-CN"/>
        </w:rPr>
        <w:t>本项目主变</w:t>
      </w:r>
      <w:r>
        <w:t>压器</w:t>
      </w:r>
      <w:r>
        <w:rPr>
          <w:rFonts w:hint="eastAsia"/>
          <w:lang w:val="en-US" w:eastAsia="zh-CN"/>
        </w:rPr>
        <w:t>电压等级为220kV，冷却方式为油浸自冷/风冷，</w:t>
      </w:r>
      <w:r>
        <w:t>根据</w:t>
      </w:r>
      <w:r>
        <w:rPr>
          <w:rFonts w:hint="eastAsia"/>
          <w:lang w:eastAsia="zh-CN"/>
        </w:rPr>
        <w:t>《</w:t>
      </w:r>
      <w:r>
        <w:rPr>
          <w:rFonts w:hint="eastAsia"/>
          <w:lang w:val="en-US" w:eastAsia="zh-CN"/>
        </w:rPr>
        <w:t>变电站噪声控制技术导则</w:t>
      </w:r>
      <w:r>
        <w:rPr>
          <w:rFonts w:hint="eastAsia"/>
          <w:lang w:eastAsia="zh-CN"/>
        </w:rPr>
        <w:t>》（</w:t>
      </w:r>
      <w:r>
        <w:rPr>
          <w:rFonts w:hint="eastAsia"/>
          <w:lang w:val="en-US" w:eastAsia="zh-CN"/>
        </w:rPr>
        <w:t>DL/T 1518-2016</w:t>
      </w:r>
      <w:r>
        <w:rPr>
          <w:rFonts w:hint="eastAsia"/>
          <w:lang w:eastAsia="zh-CN"/>
        </w:rPr>
        <w:t>）</w:t>
      </w:r>
      <w:r>
        <w:t>，距离主变压器1m处声压级</w:t>
      </w:r>
      <w:r>
        <w:rPr>
          <w:rFonts w:hint="eastAsia"/>
          <w:lang w:val="en-US" w:eastAsia="zh-CN"/>
        </w:rPr>
        <w:t>为67.9</w:t>
      </w:r>
      <w:r>
        <w:t>dB（A）。</w:t>
      </w:r>
      <w:r>
        <w:rPr>
          <w:rFonts w:hint="eastAsia"/>
        </w:rPr>
        <w:t>此外，本项目</w:t>
      </w:r>
      <w:r>
        <w:rPr>
          <w:rFonts w:hint="eastAsia"/>
          <w:sz w:val="24"/>
          <w:szCs w:val="24"/>
          <w:lang w:val="en-US" w:eastAsia="zh-CN"/>
        </w:rPr>
        <w:t>汇集</w:t>
      </w:r>
      <w:r>
        <w:rPr>
          <w:rFonts w:hint="eastAsia"/>
          <w:sz w:val="24"/>
          <w:szCs w:val="24"/>
        </w:rPr>
        <w:t>站</w:t>
      </w:r>
      <w:r>
        <w:rPr>
          <w:rFonts w:hint="eastAsia"/>
          <w:color w:val="auto"/>
          <w:sz w:val="24"/>
          <w:szCs w:val="24"/>
          <w:u w:val="none"/>
        </w:rPr>
        <w:t>35</w:t>
      </w:r>
      <w:r>
        <w:rPr>
          <w:rFonts w:hint="eastAsia"/>
          <w:color w:val="auto"/>
          <w:sz w:val="24"/>
          <w:szCs w:val="24"/>
          <w:u w:val="none"/>
          <w:lang w:eastAsia="zh-CN"/>
        </w:rPr>
        <w:t>kV</w:t>
      </w:r>
      <w:r>
        <w:rPr>
          <w:rFonts w:hint="eastAsia"/>
          <w:color w:val="auto"/>
          <w:sz w:val="24"/>
          <w:szCs w:val="24"/>
          <w:u w:val="none"/>
        </w:rPr>
        <w:t>配电室</w:t>
      </w:r>
      <w:r>
        <w:rPr>
          <w:rFonts w:hint="eastAsia"/>
          <w:sz w:val="24"/>
          <w:szCs w:val="24"/>
        </w:rPr>
        <w:t>内设置有5台轴流</w:t>
      </w:r>
      <w:r>
        <w:rPr>
          <w:rFonts w:hint="eastAsia"/>
        </w:rPr>
        <w:t>风机。本项目声源详细参数见下表。</w:t>
      </w:r>
    </w:p>
    <w:p>
      <w:pPr>
        <w:tabs>
          <w:tab w:val="clear" w:pos="480"/>
        </w:tabs>
        <w:adjustRightInd w:val="0"/>
        <w:snapToGrid w:val="0"/>
        <w:spacing w:line="240" w:lineRule="auto"/>
        <w:ind w:firstLine="0" w:firstLineChars="0"/>
        <w:jc w:val="center"/>
        <w:rPr>
          <w:b/>
          <w:bCs/>
          <w:sz w:val="21"/>
          <w:szCs w:val="21"/>
          <w:u w:val="none" w:color="auto"/>
        </w:rPr>
      </w:pPr>
    </w:p>
    <w:p>
      <w:pPr>
        <w:keepNext w:val="0"/>
        <w:keepLines w:val="0"/>
        <w:pageBreakBefore w:val="0"/>
        <w:kinsoku/>
        <w:wordWrap/>
        <w:overflowPunct/>
        <w:topLinePunct w:val="0"/>
        <w:autoSpaceDE/>
        <w:autoSpaceDN/>
        <w:bidi w:val="0"/>
        <w:adjustRightInd/>
        <w:snapToGrid/>
        <w:spacing w:line="360" w:lineRule="auto"/>
        <w:ind w:firstLine="481" w:firstLineChars="200"/>
        <w:textAlignment w:val="auto"/>
        <w:rPr>
          <w:rFonts w:hint="default" w:ascii="Times New Roman" w:hAnsi="Times New Roman" w:cs="Times New Roman"/>
          <w:b/>
          <w:bCs/>
          <w:sz w:val="24"/>
          <w:u w:val="none" w:color="auto"/>
        </w:rPr>
        <w:sectPr>
          <w:pgSz w:w="11905" w:h="16838"/>
          <w:pgMar w:top="1417" w:right="1417" w:bottom="1417" w:left="1417" w:header="851" w:footer="992" w:gutter="0"/>
          <w:pgBorders>
            <w:top w:val="none" w:sz="0" w:space="0"/>
            <w:left w:val="none" w:sz="0" w:space="0"/>
            <w:bottom w:val="none" w:sz="0" w:space="0"/>
            <w:right w:val="none" w:sz="0" w:space="0"/>
          </w:pgBorders>
          <w:cols w:space="0" w:num="1"/>
          <w:rtlGutter w:val="0"/>
          <w:docGrid w:type="lines" w:linePitch="333" w:charSpace="0"/>
        </w:sectPr>
      </w:pPr>
    </w:p>
    <w:p>
      <w:pPr>
        <w:pStyle w:val="2289"/>
        <w:bidi w:val="0"/>
      </w:pPr>
      <w:r>
        <w:rPr>
          <w:rFonts w:hint="eastAsia"/>
        </w:rPr>
        <w:t>工业企业噪声源强调查清单（室外声源）</w:t>
      </w:r>
    </w:p>
    <w:tbl>
      <w:tblPr>
        <w:tblStyle w:val="88"/>
        <w:tblW w:w="48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50"/>
        <w:gridCol w:w="1690"/>
        <w:gridCol w:w="2285"/>
        <w:gridCol w:w="1124"/>
        <w:gridCol w:w="1078"/>
        <w:gridCol w:w="1133"/>
        <w:gridCol w:w="1465"/>
        <w:gridCol w:w="1314"/>
        <w:gridCol w:w="1883"/>
        <w:gridCol w:w="11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序号</w:t>
            </w:r>
          </w:p>
        </w:tc>
        <w:tc>
          <w:tcPr>
            <w:tcW w:w="606"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声源名称</w:t>
            </w:r>
          </w:p>
        </w:tc>
        <w:tc>
          <w:tcPr>
            <w:tcW w:w="820"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型号</w:t>
            </w:r>
          </w:p>
        </w:tc>
        <w:tc>
          <w:tcPr>
            <w:tcW w:w="1196"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相对位置</w:t>
            </w:r>
          </w:p>
        </w:tc>
        <w:tc>
          <w:tcPr>
            <w:tcW w:w="997" w:type="pct"/>
            <w:gridSpan w:val="2"/>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声源源强</w:t>
            </w:r>
          </w:p>
        </w:tc>
        <w:tc>
          <w:tcPr>
            <w:tcW w:w="675"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控制措施</w:t>
            </w:r>
          </w:p>
        </w:tc>
        <w:tc>
          <w:tcPr>
            <w:tcW w:w="398"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运行时段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606"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820"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40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X</w:t>
            </w:r>
          </w:p>
        </w:tc>
        <w:tc>
          <w:tcPr>
            <w:tcW w:w="38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Y</w:t>
            </w:r>
          </w:p>
        </w:tc>
        <w:tc>
          <w:tcPr>
            <w:tcW w:w="40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Z</w:t>
            </w:r>
          </w:p>
        </w:tc>
        <w:tc>
          <w:tcPr>
            <w:tcW w:w="52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声压级</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/dB（A）</w:t>
            </w:r>
          </w:p>
        </w:tc>
        <w:tc>
          <w:tcPr>
            <w:tcW w:w="471"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与声源距离（m）</w:t>
            </w:r>
          </w:p>
        </w:tc>
        <w:tc>
          <w:tcPr>
            <w:tcW w:w="675"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398"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w:t>
            </w:r>
          </w:p>
        </w:tc>
        <w:tc>
          <w:tcPr>
            <w:tcW w:w="606"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sz w:val="21"/>
                <w:szCs w:val="21"/>
                <w:lang w:val="en-US" w:eastAsia="zh-CN"/>
              </w:rPr>
              <w:t>220kV</w:t>
            </w:r>
            <w:r>
              <w:rPr>
                <w:rFonts w:hint="eastAsia" w:ascii="Times New Roman" w:hAnsi="Times New Roman" w:eastAsia="宋体" w:cs="Times New Roman"/>
                <w:color w:val="auto"/>
                <w:sz w:val="21"/>
                <w:szCs w:val="21"/>
                <w:u w:val="none" w:color="auto"/>
                <w:lang w:val="en-US" w:eastAsia="zh-CN"/>
              </w:rPr>
              <w:t>主变压器</w:t>
            </w:r>
          </w:p>
        </w:tc>
        <w:tc>
          <w:tcPr>
            <w:tcW w:w="82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SZ18-100000/220</w:t>
            </w:r>
          </w:p>
        </w:tc>
        <w:tc>
          <w:tcPr>
            <w:tcW w:w="40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56</w:t>
            </w:r>
          </w:p>
        </w:tc>
        <w:tc>
          <w:tcPr>
            <w:tcW w:w="38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89</w:t>
            </w:r>
          </w:p>
        </w:tc>
        <w:tc>
          <w:tcPr>
            <w:tcW w:w="40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1</w:t>
            </w:r>
          </w:p>
        </w:tc>
        <w:tc>
          <w:tcPr>
            <w:tcW w:w="52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67.9</w:t>
            </w:r>
          </w:p>
        </w:tc>
        <w:tc>
          <w:tcPr>
            <w:tcW w:w="471"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w:t>
            </w:r>
          </w:p>
        </w:tc>
        <w:tc>
          <w:tcPr>
            <w:tcW w:w="67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低噪声设备、围墙隔声</w:t>
            </w:r>
          </w:p>
        </w:tc>
        <w:tc>
          <w:tcPr>
            <w:tcW w:w="398"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全时段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2</w:t>
            </w:r>
          </w:p>
        </w:tc>
        <w:tc>
          <w:tcPr>
            <w:tcW w:w="1690"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220kV</w:t>
            </w:r>
            <w:r>
              <w:rPr>
                <w:rFonts w:hint="eastAsia" w:ascii="Times New Roman" w:hAnsi="Times New Roman" w:eastAsia="宋体" w:cs="Times New Roman"/>
                <w:color w:val="auto"/>
                <w:sz w:val="21"/>
                <w:szCs w:val="21"/>
                <w:u w:val="none" w:color="auto"/>
                <w:lang w:val="en-US" w:eastAsia="zh-CN"/>
              </w:rPr>
              <w:t>主变压器</w:t>
            </w:r>
          </w:p>
        </w:tc>
        <w:tc>
          <w:tcPr>
            <w:tcW w:w="82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SZ18-100000/220</w:t>
            </w:r>
          </w:p>
        </w:tc>
        <w:tc>
          <w:tcPr>
            <w:tcW w:w="40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44</w:t>
            </w:r>
          </w:p>
        </w:tc>
        <w:tc>
          <w:tcPr>
            <w:tcW w:w="38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89</w:t>
            </w:r>
          </w:p>
        </w:tc>
        <w:tc>
          <w:tcPr>
            <w:tcW w:w="11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1</w:t>
            </w:r>
          </w:p>
        </w:tc>
        <w:tc>
          <w:tcPr>
            <w:tcW w:w="1465"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67.9</w:t>
            </w:r>
          </w:p>
        </w:tc>
        <w:tc>
          <w:tcPr>
            <w:tcW w:w="1314"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w:t>
            </w:r>
          </w:p>
        </w:tc>
        <w:tc>
          <w:tcPr>
            <w:tcW w:w="1883"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低噪声设备、围墙隔声</w:t>
            </w:r>
          </w:p>
        </w:tc>
        <w:tc>
          <w:tcPr>
            <w:tcW w:w="1110"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全时段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3</w:t>
            </w:r>
          </w:p>
        </w:tc>
        <w:tc>
          <w:tcPr>
            <w:tcW w:w="1690"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220kV</w:t>
            </w:r>
            <w:r>
              <w:rPr>
                <w:rFonts w:hint="eastAsia" w:ascii="Times New Roman" w:hAnsi="Times New Roman" w:eastAsia="宋体" w:cs="Times New Roman"/>
                <w:color w:val="auto"/>
                <w:sz w:val="21"/>
                <w:szCs w:val="21"/>
                <w:u w:val="none" w:color="auto"/>
                <w:lang w:val="en-US" w:eastAsia="zh-CN"/>
              </w:rPr>
              <w:t>主变压器</w:t>
            </w:r>
          </w:p>
        </w:tc>
        <w:tc>
          <w:tcPr>
            <w:tcW w:w="82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SZ18-100000/220</w:t>
            </w:r>
          </w:p>
        </w:tc>
        <w:tc>
          <w:tcPr>
            <w:tcW w:w="40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70</w:t>
            </w:r>
          </w:p>
        </w:tc>
        <w:tc>
          <w:tcPr>
            <w:tcW w:w="38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89</w:t>
            </w:r>
          </w:p>
        </w:tc>
        <w:tc>
          <w:tcPr>
            <w:tcW w:w="11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1</w:t>
            </w:r>
          </w:p>
        </w:tc>
        <w:tc>
          <w:tcPr>
            <w:tcW w:w="1465"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67.9</w:t>
            </w:r>
          </w:p>
        </w:tc>
        <w:tc>
          <w:tcPr>
            <w:tcW w:w="1314"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w:t>
            </w:r>
          </w:p>
        </w:tc>
        <w:tc>
          <w:tcPr>
            <w:tcW w:w="1883"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低噪声设备、围墙隔声</w:t>
            </w:r>
          </w:p>
        </w:tc>
        <w:tc>
          <w:tcPr>
            <w:tcW w:w="1110"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全时段</w:t>
            </w:r>
          </w:p>
        </w:tc>
      </w:tr>
    </w:tbl>
    <w:p>
      <w:pPr>
        <w:bidi w:val="0"/>
        <w:ind w:left="0" w:leftChars="0" w:firstLine="0" w:firstLineChars="0"/>
        <w:rPr>
          <w:rFonts w:hint="default"/>
        </w:rPr>
      </w:pPr>
    </w:p>
    <w:p>
      <w:pPr>
        <w:pStyle w:val="2289"/>
        <w:bidi w:val="0"/>
        <w:rPr>
          <w:rFonts w:hint="default"/>
        </w:rPr>
      </w:pPr>
      <w:r>
        <w:rPr>
          <w:rFonts w:hint="eastAsia"/>
        </w:rPr>
        <w:t>工业企业噪声源强调查清单（室内声源）</w:t>
      </w:r>
    </w:p>
    <w:tbl>
      <w:tblPr>
        <w:tblStyle w:val="88"/>
        <w:tblW w:w="489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0"/>
        <w:gridCol w:w="981"/>
        <w:gridCol w:w="854"/>
        <w:gridCol w:w="1696"/>
        <w:gridCol w:w="1004"/>
        <w:gridCol w:w="877"/>
        <w:gridCol w:w="845"/>
        <w:gridCol w:w="801"/>
        <w:gridCol w:w="1008"/>
        <w:gridCol w:w="1078"/>
        <w:gridCol w:w="888"/>
        <w:gridCol w:w="1073"/>
        <w:gridCol w:w="935"/>
        <w:gridCol w:w="11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tblHeader/>
          <w:jc w:val="center"/>
        </w:trPr>
        <w:tc>
          <w:tcPr>
            <w:tcW w:w="255"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序号</w:t>
            </w:r>
          </w:p>
        </w:tc>
        <w:tc>
          <w:tcPr>
            <w:tcW w:w="35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建筑物名称</w:t>
            </w:r>
          </w:p>
        </w:tc>
        <w:tc>
          <w:tcPr>
            <w:tcW w:w="306"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声源名称</w:t>
            </w:r>
          </w:p>
        </w:tc>
        <w:tc>
          <w:tcPr>
            <w:tcW w:w="60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声源源强</w:t>
            </w:r>
          </w:p>
        </w:tc>
        <w:tc>
          <w:tcPr>
            <w:tcW w:w="360"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声源控制措施</w:t>
            </w:r>
          </w:p>
        </w:tc>
        <w:tc>
          <w:tcPr>
            <w:tcW w:w="906" w:type="pct"/>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空间相对位置/m</w:t>
            </w:r>
          </w:p>
        </w:tc>
        <w:tc>
          <w:tcPr>
            <w:tcW w:w="36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距室内边界距离/m</w:t>
            </w:r>
          </w:p>
        </w:tc>
        <w:tc>
          <w:tcPr>
            <w:tcW w:w="38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室内边界声级/dB(A)</w:t>
            </w:r>
          </w:p>
        </w:tc>
        <w:tc>
          <w:tcPr>
            <w:tcW w:w="319"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运行时段</w:t>
            </w:r>
          </w:p>
        </w:tc>
        <w:tc>
          <w:tcPr>
            <w:tcW w:w="385"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建筑物插入损失 / dB(A)</w:t>
            </w:r>
          </w:p>
        </w:tc>
        <w:tc>
          <w:tcPr>
            <w:tcW w:w="754"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建筑物外噪声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0" w:hRule="atLeast"/>
          <w:tblHeader/>
          <w:jc w:val="center"/>
        </w:trPr>
        <w:tc>
          <w:tcPr>
            <w:tcW w:w="25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35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30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60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声压级/距声源距离（dB(A)/m）</w:t>
            </w:r>
          </w:p>
        </w:tc>
        <w:tc>
          <w:tcPr>
            <w:tcW w:w="3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3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X</w:t>
            </w:r>
          </w:p>
        </w:tc>
        <w:tc>
          <w:tcPr>
            <w:tcW w:w="30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Y</w:t>
            </w:r>
          </w:p>
        </w:tc>
        <w:tc>
          <w:tcPr>
            <w:tcW w:w="2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Z</w:t>
            </w:r>
          </w:p>
        </w:tc>
        <w:tc>
          <w:tcPr>
            <w:tcW w:w="36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38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31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38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p>
        </w:tc>
        <w:tc>
          <w:tcPr>
            <w:tcW w:w="3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声压级/dB(A)</w:t>
            </w:r>
          </w:p>
        </w:tc>
        <w:tc>
          <w:tcPr>
            <w:tcW w:w="41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建筑物外距离m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2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w:t>
            </w:r>
          </w:p>
        </w:tc>
        <w:tc>
          <w:tcPr>
            <w:tcW w:w="35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color w:val="auto"/>
                <w:sz w:val="21"/>
                <w:szCs w:val="21"/>
                <w:u w:val="none"/>
              </w:rPr>
              <w:t>35</w:t>
            </w:r>
            <w:r>
              <w:rPr>
                <w:rFonts w:hint="eastAsia"/>
                <w:color w:val="auto"/>
                <w:sz w:val="21"/>
                <w:szCs w:val="21"/>
                <w:u w:val="none"/>
                <w:lang w:eastAsia="zh-CN"/>
              </w:rPr>
              <w:t>kV</w:t>
            </w:r>
            <w:r>
              <w:rPr>
                <w:rFonts w:hint="eastAsia"/>
                <w:color w:val="auto"/>
                <w:sz w:val="21"/>
                <w:szCs w:val="21"/>
                <w:u w:val="none"/>
              </w:rPr>
              <w:t>配电室</w:t>
            </w:r>
          </w:p>
        </w:tc>
        <w:tc>
          <w:tcPr>
            <w:tcW w:w="30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kern w:val="0"/>
                <w:sz w:val="21"/>
                <w:szCs w:val="21"/>
                <w:u w:val="none" w:color="auto"/>
              </w:rPr>
              <w:t>SVG</w:t>
            </w:r>
            <w:r>
              <w:rPr>
                <w:kern w:val="0"/>
                <w:sz w:val="21"/>
                <w:szCs w:val="21"/>
                <w:u w:val="none" w:color="auto"/>
              </w:rPr>
              <w:t>轴流风机</w:t>
            </w:r>
          </w:p>
        </w:tc>
        <w:tc>
          <w:tcPr>
            <w:tcW w:w="60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kern w:val="0"/>
                <w:sz w:val="21"/>
                <w:szCs w:val="21"/>
                <w:u w:val="none" w:color="auto"/>
                <w:lang w:val="en-US" w:eastAsia="zh-CN"/>
              </w:rPr>
            </w:pPr>
            <w:r>
              <w:rPr>
                <w:rFonts w:hint="eastAsia"/>
                <w:kern w:val="0"/>
                <w:sz w:val="21"/>
                <w:szCs w:val="21"/>
                <w:u w:val="none" w:color="auto"/>
                <w:lang w:val="en-US" w:eastAsia="zh-CN"/>
              </w:rPr>
              <w:t>65/1</w:t>
            </w:r>
          </w:p>
        </w:tc>
        <w:tc>
          <w:tcPr>
            <w:tcW w:w="36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kern w:val="0"/>
                <w:sz w:val="21"/>
                <w:szCs w:val="21"/>
                <w:u w:val="none" w:color="auto"/>
                <w:lang w:val="en-US" w:eastAsia="zh-CN"/>
              </w:rPr>
            </w:pPr>
            <w:r>
              <w:rPr>
                <w:kern w:val="0"/>
                <w:sz w:val="21"/>
                <w:szCs w:val="21"/>
                <w:u w:val="none" w:color="auto"/>
              </w:rPr>
              <w:t>厂房隔声、减振垫</w:t>
            </w:r>
          </w:p>
        </w:tc>
        <w:tc>
          <w:tcPr>
            <w:tcW w:w="3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19</w:t>
            </w:r>
          </w:p>
        </w:tc>
        <w:tc>
          <w:tcPr>
            <w:tcW w:w="30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94</w:t>
            </w:r>
          </w:p>
        </w:tc>
        <w:tc>
          <w:tcPr>
            <w:tcW w:w="2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0.5</w:t>
            </w:r>
          </w:p>
        </w:tc>
        <w:tc>
          <w:tcPr>
            <w:tcW w:w="3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3</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51.8</w:t>
            </w:r>
          </w:p>
        </w:tc>
        <w:tc>
          <w:tcPr>
            <w:tcW w:w="31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间歇</w:t>
            </w:r>
          </w:p>
        </w:tc>
        <w:tc>
          <w:tcPr>
            <w:tcW w:w="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15</w:t>
            </w:r>
          </w:p>
        </w:tc>
        <w:tc>
          <w:tcPr>
            <w:tcW w:w="3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36.8</w:t>
            </w:r>
          </w:p>
        </w:tc>
        <w:tc>
          <w:tcPr>
            <w:tcW w:w="41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2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2</w:t>
            </w:r>
          </w:p>
        </w:tc>
        <w:tc>
          <w:tcPr>
            <w:tcW w:w="35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u w:val="none"/>
              </w:rPr>
            </w:pPr>
          </w:p>
        </w:tc>
        <w:tc>
          <w:tcPr>
            <w:tcW w:w="30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kern w:val="0"/>
                <w:sz w:val="21"/>
                <w:szCs w:val="21"/>
                <w:u w:val="none" w:color="auto"/>
              </w:rPr>
            </w:pPr>
            <w:r>
              <w:rPr>
                <w:rFonts w:hint="eastAsia"/>
                <w:kern w:val="0"/>
                <w:sz w:val="21"/>
                <w:szCs w:val="21"/>
                <w:u w:val="none" w:color="auto"/>
              </w:rPr>
              <w:t>SVG</w:t>
            </w:r>
            <w:r>
              <w:rPr>
                <w:kern w:val="0"/>
                <w:sz w:val="21"/>
                <w:szCs w:val="21"/>
                <w:u w:val="none" w:color="auto"/>
              </w:rPr>
              <w:t>轴流风机</w:t>
            </w:r>
          </w:p>
        </w:tc>
        <w:tc>
          <w:tcPr>
            <w:tcW w:w="60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kern w:val="0"/>
                <w:sz w:val="21"/>
                <w:szCs w:val="21"/>
                <w:u w:val="none" w:color="auto"/>
                <w:lang w:val="en-US" w:eastAsia="zh-CN"/>
              </w:rPr>
            </w:pPr>
            <w:r>
              <w:rPr>
                <w:rFonts w:hint="eastAsia"/>
                <w:kern w:val="0"/>
                <w:sz w:val="21"/>
                <w:szCs w:val="21"/>
                <w:u w:val="none" w:color="auto"/>
                <w:lang w:val="en-US" w:eastAsia="zh-CN"/>
              </w:rPr>
              <w:t>65/1</w:t>
            </w:r>
          </w:p>
        </w:tc>
        <w:tc>
          <w:tcPr>
            <w:tcW w:w="36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kern w:val="0"/>
                <w:sz w:val="21"/>
                <w:szCs w:val="21"/>
                <w:u w:val="none" w:color="auto"/>
              </w:rPr>
            </w:pPr>
            <w:r>
              <w:rPr>
                <w:kern w:val="0"/>
                <w:sz w:val="21"/>
                <w:szCs w:val="21"/>
                <w:u w:val="none" w:color="auto"/>
              </w:rPr>
              <w:t>厂房隔声、减振垫</w:t>
            </w:r>
          </w:p>
        </w:tc>
        <w:tc>
          <w:tcPr>
            <w:tcW w:w="3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17</w:t>
            </w:r>
          </w:p>
        </w:tc>
        <w:tc>
          <w:tcPr>
            <w:tcW w:w="30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92</w:t>
            </w:r>
          </w:p>
        </w:tc>
        <w:tc>
          <w:tcPr>
            <w:tcW w:w="2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0.5</w:t>
            </w:r>
          </w:p>
        </w:tc>
        <w:tc>
          <w:tcPr>
            <w:tcW w:w="3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3</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51.8</w:t>
            </w:r>
          </w:p>
        </w:tc>
        <w:tc>
          <w:tcPr>
            <w:tcW w:w="31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间歇</w:t>
            </w:r>
          </w:p>
        </w:tc>
        <w:tc>
          <w:tcPr>
            <w:tcW w:w="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15</w:t>
            </w:r>
          </w:p>
        </w:tc>
        <w:tc>
          <w:tcPr>
            <w:tcW w:w="3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36.8</w:t>
            </w:r>
          </w:p>
        </w:tc>
        <w:tc>
          <w:tcPr>
            <w:tcW w:w="41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2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3</w:t>
            </w:r>
          </w:p>
        </w:tc>
        <w:tc>
          <w:tcPr>
            <w:tcW w:w="35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u w:val="none"/>
              </w:rPr>
            </w:pPr>
          </w:p>
        </w:tc>
        <w:tc>
          <w:tcPr>
            <w:tcW w:w="30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kern w:val="0"/>
                <w:sz w:val="21"/>
                <w:szCs w:val="21"/>
                <w:u w:val="none" w:color="auto"/>
              </w:rPr>
            </w:pPr>
            <w:r>
              <w:rPr>
                <w:rFonts w:hint="eastAsia"/>
                <w:kern w:val="0"/>
                <w:sz w:val="21"/>
                <w:szCs w:val="21"/>
                <w:u w:val="none" w:color="auto"/>
              </w:rPr>
              <w:t>SVG</w:t>
            </w:r>
            <w:r>
              <w:rPr>
                <w:kern w:val="0"/>
                <w:sz w:val="21"/>
                <w:szCs w:val="21"/>
                <w:u w:val="none" w:color="auto"/>
              </w:rPr>
              <w:t>轴流风机</w:t>
            </w:r>
          </w:p>
        </w:tc>
        <w:tc>
          <w:tcPr>
            <w:tcW w:w="60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kern w:val="0"/>
                <w:sz w:val="21"/>
                <w:szCs w:val="21"/>
                <w:u w:val="none" w:color="auto"/>
                <w:lang w:val="en-US" w:eastAsia="zh-CN"/>
              </w:rPr>
            </w:pPr>
            <w:r>
              <w:rPr>
                <w:rFonts w:hint="eastAsia"/>
                <w:kern w:val="0"/>
                <w:sz w:val="21"/>
                <w:szCs w:val="21"/>
                <w:u w:val="none" w:color="auto"/>
                <w:lang w:val="en-US" w:eastAsia="zh-CN"/>
              </w:rPr>
              <w:t>65/1</w:t>
            </w:r>
          </w:p>
        </w:tc>
        <w:tc>
          <w:tcPr>
            <w:tcW w:w="36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kern w:val="0"/>
                <w:sz w:val="21"/>
                <w:szCs w:val="21"/>
                <w:u w:val="none" w:color="auto"/>
              </w:rPr>
            </w:pPr>
            <w:r>
              <w:rPr>
                <w:kern w:val="0"/>
                <w:sz w:val="21"/>
                <w:szCs w:val="21"/>
                <w:u w:val="none" w:color="auto"/>
              </w:rPr>
              <w:t>厂房隔声、减振垫</w:t>
            </w:r>
          </w:p>
        </w:tc>
        <w:tc>
          <w:tcPr>
            <w:tcW w:w="3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20</w:t>
            </w:r>
          </w:p>
        </w:tc>
        <w:tc>
          <w:tcPr>
            <w:tcW w:w="30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92</w:t>
            </w:r>
          </w:p>
        </w:tc>
        <w:tc>
          <w:tcPr>
            <w:tcW w:w="2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0.5</w:t>
            </w:r>
          </w:p>
        </w:tc>
        <w:tc>
          <w:tcPr>
            <w:tcW w:w="3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3</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51.8</w:t>
            </w:r>
          </w:p>
        </w:tc>
        <w:tc>
          <w:tcPr>
            <w:tcW w:w="31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间歇</w:t>
            </w:r>
          </w:p>
        </w:tc>
        <w:tc>
          <w:tcPr>
            <w:tcW w:w="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15</w:t>
            </w:r>
          </w:p>
        </w:tc>
        <w:tc>
          <w:tcPr>
            <w:tcW w:w="3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36.8</w:t>
            </w:r>
          </w:p>
        </w:tc>
        <w:tc>
          <w:tcPr>
            <w:tcW w:w="41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2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4</w:t>
            </w:r>
          </w:p>
        </w:tc>
        <w:tc>
          <w:tcPr>
            <w:tcW w:w="35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u w:val="none"/>
              </w:rPr>
            </w:pPr>
          </w:p>
        </w:tc>
        <w:tc>
          <w:tcPr>
            <w:tcW w:w="30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kern w:val="0"/>
                <w:sz w:val="21"/>
                <w:szCs w:val="21"/>
                <w:u w:val="none" w:color="auto"/>
              </w:rPr>
            </w:pPr>
            <w:r>
              <w:rPr>
                <w:rFonts w:hint="eastAsia"/>
                <w:kern w:val="0"/>
                <w:sz w:val="21"/>
                <w:szCs w:val="21"/>
                <w:u w:val="none" w:color="auto"/>
              </w:rPr>
              <w:t>SVG</w:t>
            </w:r>
            <w:r>
              <w:rPr>
                <w:kern w:val="0"/>
                <w:sz w:val="21"/>
                <w:szCs w:val="21"/>
                <w:u w:val="none" w:color="auto"/>
              </w:rPr>
              <w:t>轴流风机</w:t>
            </w:r>
          </w:p>
        </w:tc>
        <w:tc>
          <w:tcPr>
            <w:tcW w:w="60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kern w:val="0"/>
                <w:sz w:val="21"/>
                <w:szCs w:val="21"/>
                <w:u w:val="none" w:color="auto"/>
                <w:lang w:val="en-US" w:eastAsia="zh-CN"/>
              </w:rPr>
            </w:pPr>
            <w:r>
              <w:rPr>
                <w:rFonts w:hint="eastAsia"/>
                <w:kern w:val="0"/>
                <w:sz w:val="21"/>
                <w:szCs w:val="21"/>
                <w:u w:val="none" w:color="auto"/>
                <w:lang w:val="en-US" w:eastAsia="zh-CN"/>
              </w:rPr>
              <w:t>65/1</w:t>
            </w:r>
          </w:p>
        </w:tc>
        <w:tc>
          <w:tcPr>
            <w:tcW w:w="36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kern w:val="0"/>
                <w:sz w:val="21"/>
                <w:szCs w:val="21"/>
                <w:u w:val="none" w:color="auto"/>
              </w:rPr>
            </w:pPr>
            <w:r>
              <w:rPr>
                <w:kern w:val="0"/>
                <w:sz w:val="21"/>
                <w:szCs w:val="21"/>
                <w:u w:val="none" w:color="auto"/>
              </w:rPr>
              <w:t>厂房隔声、减振垫</w:t>
            </w:r>
          </w:p>
        </w:tc>
        <w:tc>
          <w:tcPr>
            <w:tcW w:w="3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16</w:t>
            </w:r>
          </w:p>
        </w:tc>
        <w:tc>
          <w:tcPr>
            <w:tcW w:w="30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71</w:t>
            </w:r>
          </w:p>
        </w:tc>
        <w:tc>
          <w:tcPr>
            <w:tcW w:w="2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0.5</w:t>
            </w:r>
          </w:p>
        </w:tc>
        <w:tc>
          <w:tcPr>
            <w:tcW w:w="3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3</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51.8</w:t>
            </w:r>
          </w:p>
        </w:tc>
        <w:tc>
          <w:tcPr>
            <w:tcW w:w="31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间歇</w:t>
            </w:r>
          </w:p>
        </w:tc>
        <w:tc>
          <w:tcPr>
            <w:tcW w:w="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15</w:t>
            </w:r>
          </w:p>
        </w:tc>
        <w:tc>
          <w:tcPr>
            <w:tcW w:w="3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36.8</w:t>
            </w:r>
          </w:p>
        </w:tc>
        <w:tc>
          <w:tcPr>
            <w:tcW w:w="41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2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5</w:t>
            </w:r>
          </w:p>
        </w:tc>
        <w:tc>
          <w:tcPr>
            <w:tcW w:w="35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u w:val="none"/>
              </w:rPr>
            </w:pPr>
          </w:p>
        </w:tc>
        <w:tc>
          <w:tcPr>
            <w:tcW w:w="30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kern w:val="0"/>
                <w:sz w:val="21"/>
                <w:szCs w:val="21"/>
                <w:u w:val="none" w:color="auto"/>
              </w:rPr>
            </w:pPr>
            <w:r>
              <w:rPr>
                <w:rFonts w:hint="eastAsia"/>
                <w:kern w:val="0"/>
                <w:sz w:val="21"/>
                <w:szCs w:val="21"/>
                <w:u w:val="none" w:color="auto"/>
              </w:rPr>
              <w:t>SVG</w:t>
            </w:r>
            <w:r>
              <w:rPr>
                <w:kern w:val="0"/>
                <w:sz w:val="21"/>
                <w:szCs w:val="21"/>
                <w:u w:val="none" w:color="auto"/>
              </w:rPr>
              <w:t>轴流风机</w:t>
            </w:r>
          </w:p>
        </w:tc>
        <w:tc>
          <w:tcPr>
            <w:tcW w:w="60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kern w:val="0"/>
                <w:sz w:val="21"/>
                <w:szCs w:val="21"/>
                <w:u w:val="none" w:color="auto"/>
                <w:lang w:val="en-US" w:eastAsia="zh-CN"/>
              </w:rPr>
            </w:pPr>
            <w:r>
              <w:rPr>
                <w:rFonts w:hint="eastAsia"/>
                <w:kern w:val="0"/>
                <w:sz w:val="21"/>
                <w:szCs w:val="21"/>
                <w:u w:val="none" w:color="auto"/>
                <w:lang w:val="en-US" w:eastAsia="zh-CN"/>
              </w:rPr>
              <w:t>65/1</w:t>
            </w:r>
          </w:p>
        </w:tc>
        <w:tc>
          <w:tcPr>
            <w:tcW w:w="36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kern w:val="0"/>
                <w:sz w:val="21"/>
                <w:szCs w:val="21"/>
                <w:u w:val="none" w:color="auto"/>
              </w:rPr>
            </w:pPr>
            <w:r>
              <w:rPr>
                <w:kern w:val="0"/>
                <w:sz w:val="21"/>
                <w:szCs w:val="21"/>
                <w:u w:val="none" w:color="auto"/>
              </w:rPr>
              <w:t>厂房隔声、减振垫</w:t>
            </w:r>
          </w:p>
        </w:tc>
        <w:tc>
          <w:tcPr>
            <w:tcW w:w="3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20</w:t>
            </w:r>
          </w:p>
        </w:tc>
        <w:tc>
          <w:tcPr>
            <w:tcW w:w="30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71</w:t>
            </w:r>
          </w:p>
        </w:tc>
        <w:tc>
          <w:tcPr>
            <w:tcW w:w="2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0.5</w:t>
            </w:r>
          </w:p>
        </w:tc>
        <w:tc>
          <w:tcPr>
            <w:tcW w:w="3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3</w:t>
            </w:r>
          </w:p>
        </w:tc>
        <w:tc>
          <w:tcPr>
            <w:tcW w:w="3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51.8</w:t>
            </w:r>
          </w:p>
        </w:tc>
        <w:tc>
          <w:tcPr>
            <w:tcW w:w="31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间歇</w:t>
            </w:r>
          </w:p>
        </w:tc>
        <w:tc>
          <w:tcPr>
            <w:tcW w:w="3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15</w:t>
            </w:r>
          </w:p>
        </w:tc>
        <w:tc>
          <w:tcPr>
            <w:tcW w:w="3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36.8</w:t>
            </w:r>
          </w:p>
        </w:tc>
        <w:tc>
          <w:tcPr>
            <w:tcW w:w="41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w:t>
            </w:r>
          </w:p>
        </w:tc>
      </w:tr>
    </w:tbl>
    <w:p>
      <w:pPr>
        <w:keepNext w:val="0"/>
        <w:keepLines w:val="0"/>
        <w:pageBreakBefore w:val="0"/>
        <w:kinsoku/>
        <w:wordWrap/>
        <w:overflowPunct/>
        <w:topLinePunct w:val="0"/>
        <w:autoSpaceDE/>
        <w:autoSpaceDN/>
        <w:bidi w:val="0"/>
        <w:adjustRightInd/>
        <w:snapToGrid/>
        <w:spacing w:line="360" w:lineRule="auto"/>
        <w:ind w:firstLine="481" w:firstLineChars="200"/>
        <w:textAlignment w:val="auto"/>
        <w:rPr>
          <w:rFonts w:hint="default" w:ascii="Times New Roman" w:hAnsi="Times New Roman" w:cs="Times New Roman"/>
          <w:b/>
          <w:bCs/>
          <w:sz w:val="24"/>
          <w:u w:val="none" w:color="auto"/>
        </w:rPr>
        <w:sectPr>
          <w:pgSz w:w="16838" w:h="11905" w:orient="landscape"/>
          <w:pgMar w:top="1417" w:right="1417" w:bottom="1417" w:left="1417" w:header="851" w:footer="992" w:gutter="0"/>
          <w:pgBorders>
            <w:top w:val="none" w:sz="0" w:space="0"/>
            <w:left w:val="none" w:sz="0" w:space="0"/>
            <w:bottom w:val="none" w:sz="0" w:space="0"/>
            <w:right w:val="none" w:sz="0" w:space="0"/>
          </w:pgBorders>
          <w:cols w:space="0" w:num="1"/>
          <w:rtlGutter w:val="0"/>
          <w:docGrid w:type="lines" w:linePitch="333" w:charSpace="0"/>
        </w:sectPr>
      </w:pPr>
    </w:p>
    <w:p>
      <w:pPr>
        <w:keepNext w:val="0"/>
        <w:keepLines w:val="0"/>
        <w:pageBreakBefore w:val="0"/>
        <w:kinsoku/>
        <w:wordWrap/>
        <w:overflowPunct/>
        <w:topLinePunct w:val="0"/>
        <w:autoSpaceDE/>
        <w:autoSpaceDN/>
        <w:bidi w:val="0"/>
        <w:adjustRightInd/>
        <w:snapToGrid/>
        <w:spacing w:line="360" w:lineRule="auto"/>
        <w:ind w:firstLine="481" w:firstLineChars="200"/>
        <w:textAlignment w:val="auto"/>
        <w:rPr>
          <w:rFonts w:hint="default" w:ascii="Times New Roman" w:hAnsi="Times New Roman" w:cs="Times New Roman"/>
          <w:b/>
          <w:bCs/>
          <w:sz w:val="24"/>
          <w:u w:val="none" w:color="auto"/>
        </w:rPr>
      </w:pPr>
      <w:r>
        <w:rPr>
          <w:rFonts w:hint="default" w:ascii="Times New Roman" w:hAnsi="Times New Roman" w:cs="Times New Roman"/>
          <w:b/>
          <w:bCs/>
          <w:sz w:val="24"/>
          <w:u w:val="none" w:color="auto"/>
        </w:rPr>
        <w:t>3、固体废物</w:t>
      </w:r>
    </w:p>
    <w:p>
      <w:p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t>营运期产生的固体废物主要为风电场职工生活垃圾、废油（含风力发电机组废润滑油、变压器废油）、废旧蓄电池等。</w:t>
      </w:r>
    </w:p>
    <w:p>
      <w:p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t>（1）生活垃圾</w:t>
      </w:r>
    </w:p>
    <w:p>
      <w:pPr>
        <w:spacing w:line="360" w:lineRule="auto"/>
        <w:ind w:firstLine="480" w:firstLineChars="200"/>
        <w:rPr>
          <w:rFonts w:hint="default" w:ascii="Times New Roman" w:hAnsi="Times New Roman" w:cs="Times New Roman"/>
          <w:sz w:val="24"/>
          <w:u w:val="none" w:color="auto"/>
        </w:rPr>
      </w:pPr>
      <w:r>
        <w:rPr>
          <w:rFonts w:hint="default" w:ascii="Times New Roman" w:hAnsi="Times New Roman" w:cs="Times New Roman"/>
          <w:sz w:val="24"/>
          <w:u w:val="none" w:color="auto"/>
        </w:rPr>
        <w:t>营运期风电场劳动定员为1</w:t>
      </w:r>
      <w:r>
        <w:rPr>
          <w:rFonts w:hint="eastAsia" w:cs="Times New Roman"/>
          <w:sz w:val="24"/>
          <w:u w:val="none" w:color="auto"/>
          <w:lang w:val="en-US" w:eastAsia="zh-CN"/>
        </w:rPr>
        <w:t>0</w:t>
      </w:r>
      <w:r>
        <w:rPr>
          <w:rFonts w:hint="default" w:ascii="Times New Roman" w:hAnsi="Times New Roman" w:cs="Times New Roman"/>
          <w:sz w:val="24"/>
          <w:u w:val="none" w:color="auto"/>
        </w:rPr>
        <w:t>人，生活垃圾日产生量按</w:t>
      </w:r>
      <w:r>
        <w:rPr>
          <w:rFonts w:hint="eastAsia" w:cs="Times New Roman"/>
          <w:sz w:val="24"/>
          <w:u w:val="none" w:color="auto"/>
          <w:lang w:val="en-US" w:eastAsia="zh-CN"/>
        </w:rPr>
        <w:t>0.5</w:t>
      </w:r>
      <w:r>
        <w:rPr>
          <w:rFonts w:hint="default" w:ascii="Times New Roman" w:hAnsi="Times New Roman" w:cs="Times New Roman"/>
          <w:sz w:val="24"/>
          <w:u w:val="none" w:color="auto"/>
        </w:rPr>
        <w:t>kg/d计，则风电场职工生活垃圾产生量为</w:t>
      </w:r>
      <w:r>
        <w:rPr>
          <w:rFonts w:hint="eastAsia" w:cs="Times New Roman"/>
          <w:sz w:val="24"/>
          <w:u w:val="none" w:color="auto"/>
          <w:lang w:val="en-US" w:eastAsia="zh-CN"/>
        </w:rPr>
        <w:t>5</w:t>
      </w:r>
      <w:r>
        <w:rPr>
          <w:rFonts w:hint="default" w:ascii="Times New Roman" w:hAnsi="Times New Roman" w:cs="Times New Roman"/>
          <w:sz w:val="24"/>
          <w:u w:val="none" w:color="auto"/>
        </w:rPr>
        <w:t>kg/d。</w:t>
      </w:r>
    </w:p>
    <w:p>
      <w:pPr>
        <w:spacing w:line="360" w:lineRule="auto"/>
        <w:ind w:firstLine="480" w:firstLineChars="200"/>
        <w:rPr>
          <w:rFonts w:hint="eastAsia" w:eastAsia="宋体"/>
          <w:color w:val="auto"/>
          <w:u w:val="none" w:color="auto"/>
          <w:lang w:eastAsia="zh-CN"/>
        </w:rPr>
      </w:pPr>
      <w:r>
        <w:rPr>
          <w:rFonts w:hint="eastAsia"/>
          <w:color w:val="auto"/>
          <w:u w:val="none" w:color="auto"/>
          <w:lang w:eastAsia="zh-CN"/>
        </w:rPr>
        <w:t>（</w:t>
      </w:r>
      <w:r>
        <w:rPr>
          <w:rFonts w:hint="eastAsia"/>
          <w:color w:val="auto"/>
          <w:u w:val="none" w:color="auto"/>
          <w:lang w:val="en-US" w:eastAsia="zh-CN"/>
        </w:rPr>
        <w:t>2</w:t>
      </w:r>
      <w:r>
        <w:rPr>
          <w:rFonts w:hint="eastAsia"/>
          <w:color w:val="auto"/>
          <w:u w:val="none" w:color="auto"/>
          <w:lang w:eastAsia="zh-CN"/>
        </w:rPr>
        <w:t>）</w:t>
      </w:r>
      <w:r>
        <w:rPr>
          <w:rFonts w:hint="eastAsia" w:ascii="Times New Roman" w:hAnsi="Times New Roman" w:eastAsia="宋体" w:cs="Times New Roman"/>
          <w:color w:val="auto"/>
          <w:sz w:val="24"/>
          <w:u w:val="none" w:color="auto"/>
          <w:lang w:eastAsia="zh-CN"/>
        </w:rPr>
        <w:t>废</w:t>
      </w:r>
      <w:r>
        <w:rPr>
          <w:rFonts w:hint="eastAsia" w:ascii="Times New Roman" w:hAnsi="Times New Roman" w:cs="Times New Roman"/>
          <w:sz w:val="24"/>
          <w:u w:val="none" w:color="auto"/>
          <w:lang w:eastAsia="zh-CN"/>
        </w:rPr>
        <w:t>润滑油</w:t>
      </w:r>
    </w:p>
    <w:p>
      <w:pPr>
        <w:spacing w:line="360" w:lineRule="auto"/>
        <w:ind w:firstLine="480" w:firstLineChars="200"/>
        <w:rPr>
          <w:rFonts w:cs="Times New Roman"/>
          <w:color w:val="auto"/>
          <w:u w:val="none" w:color="auto"/>
        </w:rPr>
      </w:pPr>
      <w:r>
        <w:rPr>
          <w:kern w:val="0"/>
          <w:sz w:val="24"/>
          <w:u w:val="none" w:color="auto"/>
          <w:lang w:val="sq-AL"/>
        </w:rPr>
        <w:t>风力发电机日常维护或故障检修时，会产生少量废润滑油</w:t>
      </w:r>
      <w:r>
        <w:rPr>
          <w:rFonts w:hint="eastAsia"/>
          <w:kern w:val="0"/>
          <w:sz w:val="24"/>
          <w:u w:val="none" w:color="auto"/>
          <w:lang w:val="sq-AL"/>
        </w:rPr>
        <w:t>，</w:t>
      </w:r>
      <w:r>
        <w:rPr>
          <w:kern w:val="0"/>
          <w:sz w:val="24"/>
          <w:u w:val="none" w:color="auto"/>
          <w:lang w:val="sq-AL"/>
        </w:rPr>
        <w:t>产生量约为</w:t>
      </w:r>
      <w:r>
        <w:rPr>
          <w:kern w:val="0"/>
          <w:sz w:val="24"/>
          <w:u w:val="none" w:color="auto"/>
        </w:rPr>
        <w:t>5kg/a·台，本项目废润滑油的总</w:t>
      </w:r>
      <w:r>
        <w:rPr>
          <w:rFonts w:hint="default" w:ascii="Times New Roman" w:hAnsi="Times New Roman" w:cs="Times New Roman"/>
          <w:sz w:val="24"/>
          <w:u w:val="none" w:color="auto"/>
        </w:rPr>
        <w:t>产生量</w:t>
      </w:r>
      <w:r>
        <w:rPr>
          <w:kern w:val="0"/>
          <w:sz w:val="24"/>
          <w:u w:val="none" w:color="auto"/>
        </w:rPr>
        <w:t>为</w:t>
      </w:r>
      <w:r>
        <w:rPr>
          <w:rFonts w:hint="eastAsia"/>
          <w:kern w:val="0"/>
          <w:sz w:val="24"/>
          <w:u w:val="none" w:color="auto"/>
          <w:lang w:val="en-US" w:eastAsia="zh-CN"/>
        </w:rPr>
        <w:t>75</w:t>
      </w:r>
      <w:r>
        <w:rPr>
          <w:kern w:val="0"/>
          <w:sz w:val="24"/>
          <w:u w:val="none" w:color="auto"/>
        </w:rPr>
        <w:t>kg/a。</w:t>
      </w:r>
      <w:r>
        <w:rPr>
          <w:kern w:val="0"/>
          <w:sz w:val="24"/>
          <w:u w:val="none" w:color="auto"/>
          <w:lang w:val="sq-AL"/>
        </w:rPr>
        <w:t>根据《国家危险废物名录》（</w:t>
      </w:r>
      <w:r>
        <w:rPr>
          <w:rFonts w:hint="eastAsia"/>
          <w:kern w:val="0"/>
          <w:sz w:val="24"/>
          <w:u w:val="none" w:color="auto"/>
          <w:lang w:val="sq-AL"/>
        </w:rPr>
        <w:t>202</w:t>
      </w:r>
      <w:r>
        <w:rPr>
          <w:rFonts w:hint="eastAsia"/>
          <w:kern w:val="0"/>
          <w:sz w:val="24"/>
          <w:u w:val="none" w:color="auto"/>
          <w:lang w:val="en-US" w:eastAsia="zh-CN"/>
        </w:rPr>
        <w:t>5</w:t>
      </w:r>
      <w:r>
        <w:rPr>
          <w:kern w:val="0"/>
          <w:sz w:val="24"/>
          <w:u w:val="none" w:color="auto"/>
          <w:lang w:val="sq-AL"/>
        </w:rPr>
        <w:t>年版），风电场日常维护</w:t>
      </w:r>
      <w:r>
        <w:rPr>
          <w:rFonts w:hint="eastAsia"/>
          <w:kern w:val="0"/>
          <w:sz w:val="24"/>
          <w:u w:val="none" w:color="auto"/>
          <w:lang w:val="sq-AL"/>
        </w:rPr>
        <w:t>、</w:t>
      </w:r>
      <w:r>
        <w:rPr>
          <w:kern w:val="0"/>
          <w:sz w:val="24"/>
          <w:u w:val="none" w:color="auto"/>
          <w:lang w:val="sq-AL"/>
        </w:rPr>
        <w:t>检修工序产生的废润滑油属于危险废物</w:t>
      </w:r>
      <w:r>
        <w:rPr>
          <w:rFonts w:hint="eastAsia"/>
          <w:kern w:val="0"/>
          <w:sz w:val="24"/>
          <w:u w:val="none" w:color="auto"/>
          <w:lang w:val="sq-AL"/>
        </w:rPr>
        <w:t>，</w:t>
      </w:r>
      <w:r>
        <w:rPr>
          <w:kern w:val="0"/>
          <w:sz w:val="24"/>
          <w:u w:val="none" w:color="auto"/>
          <w:lang w:val="sq-AL"/>
        </w:rPr>
        <w:t>废物类别为HW08，废物代码为900-214-08，危险特性为毒性、易燃性</w:t>
      </w:r>
      <w:r>
        <w:rPr>
          <w:rFonts w:cs="Times New Roman"/>
          <w:color w:val="auto"/>
          <w:u w:val="none" w:color="auto"/>
        </w:rPr>
        <w:t>。</w:t>
      </w:r>
    </w:p>
    <w:p>
      <w:pPr>
        <w:spacing w:line="360" w:lineRule="auto"/>
        <w:ind w:firstLine="480" w:firstLineChars="200"/>
        <w:rPr>
          <w:rFonts w:hint="default"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lang w:eastAsia="zh-CN"/>
        </w:rPr>
        <w:t>（</w:t>
      </w:r>
      <w:r>
        <w:rPr>
          <w:rFonts w:hint="eastAsia" w:ascii="Times New Roman" w:hAnsi="Times New Roman" w:eastAsia="宋体" w:cs="Times New Roman"/>
          <w:color w:val="auto"/>
          <w:sz w:val="24"/>
          <w:u w:val="none" w:color="auto"/>
          <w:lang w:val="en-US" w:eastAsia="zh-CN"/>
        </w:rPr>
        <w:t>3</w:t>
      </w:r>
      <w:r>
        <w:rPr>
          <w:rFonts w:hint="eastAsia" w:ascii="Times New Roman" w:hAnsi="Times New Roman" w:eastAsia="宋体" w:cs="Times New Roman"/>
          <w:color w:val="auto"/>
          <w:sz w:val="24"/>
          <w:u w:val="none" w:color="auto"/>
          <w:lang w:eastAsia="zh-CN"/>
        </w:rPr>
        <w:t>）废</w:t>
      </w:r>
      <w:r>
        <w:rPr>
          <w:rFonts w:hint="eastAsia" w:ascii="Times New Roman" w:hAnsi="Times New Roman" w:cs="Times New Roman"/>
          <w:sz w:val="24"/>
          <w:u w:val="none" w:color="auto"/>
          <w:lang w:eastAsia="zh-CN"/>
        </w:rPr>
        <w:t>变压器</w:t>
      </w:r>
      <w:r>
        <w:rPr>
          <w:rFonts w:hint="default" w:ascii="Times New Roman" w:hAnsi="Times New Roman" w:eastAsia="宋体" w:cs="Times New Roman"/>
          <w:color w:val="auto"/>
          <w:sz w:val="24"/>
          <w:u w:val="none" w:color="auto"/>
        </w:rPr>
        <w:t>油</w:t>
      </w:r>
    </w:p>
    <w:p>
      <w:pPr>
        <w:spacing w:line="360" w:lineRule="auto"/>
        <w:ind w:firstLine="480" w:firstLineChars="200"/>
        <w:rPr>
          <w:rFonts w:hint="eastAsia"/>
          <w:kern w:val="0"/>
          <w:sz w:val="24"/>
          <w:u w:val="none" w:color="auto"/>
          <w:lang w:val="sq-AL"/>
        </w:rPr>
      </w:pPr>
      <w:r>
        <w:rPr>
          <w:rFonts w:hint="eastAsia"/>
          <w:kern w:val="0"/>
          <w:sz w:val="24"/>
          <w:u w:val="none" w:color="auto"/>
          <w:lang w:val="sq-AL"/>
        </w:rPr>
        <w:t>本项目主变压器为油浸式变压器，发生漏油事故时，主变会排放事故油。</w:t>
      </w:r>
      <w:r>
        <w:rPr>
          <w:rFonts w:hint="eastAsia"/>
          <w:kern w:val="0"/>
          <w:sz w:val="24"/>
          <w:u w:val="none" w:color="auto"/>
          <w:lang w:val="en-US" w:eastAsia="zh-CN"/>
        </w:rPr>
        <w:t>汇集</w:t>
      </w:r>
      <w:r>
        <w:rPr>
          <w:rFonts w:hint="eastAsia"/>
          <w:kern w:val="0"/>
          <w:sz w:val="24"/>
          <w:u w:val="none" w:color="auto"/>
          <w:lang w:val="sq-AL"/>
        </w:rPr>
        <w:t>站内最大单台变压器的油量约为80t，事故油池容积按收集主变油量的100%设计，事故油池的有效容量为90m</w:t>
      </w:r>
      <w:r>
        <w:rPr>
          <w:rFonts w:hint="eastAsia"/>
          <w:kern w:val="0"/>
          <w:sz w:val="24"/>
          <w:u w:val="none" w:color="auto"/>
          <w:vertAlign w:val="superscript"/>
          <w:lang w:val="sq-AL"/>
        </w:rPr>
        <w:t>3</w:t>
      </w:r>
      <w:r>
        <w:rPr>
          <w:rFonts w:hint="eastAsia"/>
          <w:kern w:val="0"/>
          <w:sz w:val="24"/>
          <w:u w:val="none" w:color="auto"/>
          <w:lang w:val="sq-AL"/>
        </w:rPr>
        <w:t>。</w:t>
      </w:r>
    </w:p>
    <w:p>
      <w:pPr>
        <w:spacing w:line="360" w:lineRule="auto"/>
        <w:ind w:firstLine="480" w:firstLineChars="200"/>
        <w:rPr>
          <w:rFonts w:hint="eastAsia"/>
          <w:color w:val="auto"/>
          <w:kern w:val="0"/>
          <w:szCs w:val="21"/>
          <w:lang w:val="sq-AL"/>
        </w:rPr>
      </w:pPr>
      <w:r>
        <w:rPr>
          <w:rFonts w:hint="eastAsia"/>
          <w:color w:val="auto"/>
          <w:kern w:val="0"/>
          <w:szCs w:val="21"/>
          <w:lang w:val="sq-AL"/>
        </w:rPr>
        <w:t>本项目共有</w:t>
      </w:r>
      <w:r>
        <w:rPr>
          <w:rFonts w:hint="eastAsia"/>
          <w:color w:val="auto"/>
          <w:kern w:val="0"/>
          <w:szCs w:val="21"/>
        </w:rPr>
        <w:t>15</w:t>
      </w:r>
      <w:r>
        <w:rPr>
          <w:rFonts w:hint="eastAsia"/>
          <w:color w:val="auto"/>
          <w:kern w:val="0"/>
          <w:szCs w:val="21"/>
          <w:lang w:val="sq-AL"/>
        </w:rPr>
        <w:t>台</w:t>
      </w:r>
      <w:r>
        <w:rPr>
          <w:rFonts w:hint="eastAsia"/>
          <w:color w:val="auto"/>
          <w:kern w:val="0"/>
          <w:szCs w:val="21"/>
          <w:lang w:val="sq-AL" w:eastAsia="zh-CN"/>
        </w:rPr>
        <w:t>箱式变压器</w:t>
      </w:r>
      <w:r>
        <w:rPr>
          <w:rFonts w:hint="eastAsia"/>
          <w:color w:val="auto"/>
          <w:kern w:val="0"/>
          <w:szCs w:val="21"/>
          <w:lang w:val="sq-AL"/>
        </w:rPr>
        <w:t>，每台箱变含油</w:t>
      </w:r>
      <w:r>
        <w:rPr>
          <w:rFonts w:hint="eastAsia"/>
          <w:color w:val="auto"/>
          <w:kern w:val="0"/>
          <w:szCs w:val="21"/>
          <w:lang w:val="en-US" w:eastAsia="zh-CN"/>
        </w:rPr>
        <w:t>2.4</w:t>
      </w:r>
      <w:r>
        <w:rPr>
          <w:rFonts w:hint="eastAsia"/>
          <w:color w:val="auto"/>
          <w:kern w:val="0"/>
          <w:szCs w:val="21"/>
          <w:lang w:val="sq-AL"/>
        </w:rPr>
        <w:t>t</w:t>
      </w:r>
      <w:r>
        <w:rPr>
          <w:rFonts w:hint="eastAsia"/>
          <w:color w:val="auto"/>
          <w:kern w:val="0"/>
          <w:szCs w:val="21"/>
          <w:lang w:val="sq-AL" w:eastAsia="zh-CN"/>
        </w:rPr>
        <w:t>，为</w:t>
      </w:r>
      <w:r>
        <w:rPr>
          <w:rFonts w:hint="eastAsia"/>
          <w:color w:val="auto"/>
          <w:kern w:val="0"/>
          <w:szCs w:val="21"/>
          <w:lang w:val="sq-AL"/>
        </w:rPr>
        <w:t>预防</w:t>
      </w:r>
      <w:r>
        <w:rPr>
          <w:rFonts w:hint="eastAsia"/>
          <w:color w:val="auto"/>
          <w:kern w:val="0"/>
          <w:szCs w:val="21"/>
          <w:lang w:val="sq-AL" w:eastAsia="zh-CN"/>
        </w:rPr>
        <w:t>箱式变压器变压</w:t>
      </w:r>
      <w:r>
        <w:rPr>
          <w:rFonts w:hint="eastAsia"/>
          <w:color w:val="auto"/>
          <w:kern w:val="0"/>
          <w:szCs w:val="21"/>
          <w:lang w:val="sq-AL"/>
        </w:rPr>
        <w:t>油泄漏，在</w:t>
      </w:r>
      <w:r>
        <w:rPr>
          <w:rFonts w:hint="eastAsia"/>
          <w:color w:val="auto"/>
          <w:kern w:val="0"/>
          <w:szCs w:val="21"/>
          <w:lang w:val="sq-AL" w:eastAsia="zh-CN"/>
        </w:rPr>
        <w:t>各箱式变压器</w:t>
      </w:r>
      <w:r>
        <w:rPr>
          <w:rFonts w:hint="eastAsia"/>
          <w:color w:val="auto"/>
          <w:kern w:val="0"/>
          <w:szCs w:val="21"/>
          <w:lang w:val="sq-AL"/>
        </w:rPr>
        <w:t>下设置一个</w:t>
      </w:r>
      <w:r>
        <w:rPr>
          <w:rFonts w:hint="eastAsia"/>
          <w:color w:val="auto"/>
          <w:kern w:val="0"/>
          <w:szCs w:val="21"/>
          <w:lang w:val="en-US" w:eastAsia="zh-CN"/>
        </w:rPr>
        <w:t>2.8</w:t>
      </w:r>
      <w:r>
        <w:rPr>
          <w:rFonts w:hint="eastAsia"/>
          <w:color w:val="auto"/>
          <w:kern w:val="0"/>
          <w:szCs w:val="21"/>
          <w:lang w:val="sq-AL"/>
        </w:rPr>
        <w:t>m</w:t>
      </w:r>
      <w:r>
        <w:rPr>
          <w:rFonts w:hint="eastAsia"/>
          <w:color w:val="auto"/>
          <w:kern w:val="0"/>
          <w:szCs w:val="21"/>
          <w:vertAlign w:val="superscript"/>
        </w:rPr>
        <w:t>3</w:t>
      </w:r>
      <w:r>
        <w:rPr>
          <w:rFonts w:hint="eastAsia"/>
          <w:color w:val="auto"/>
          <w:kern w:val="0"/>
          <w:szCs w:val="21"/>
          <w:lang w:val="sq-AL"/>
        </w:rPr>
        <w:t>事故油池。</w:t>
      </w:r>
    </w:p>
    <w:p>
      <w:pPr>
        <w:spacing w:line="360" w:lineRule="auto"/>
        <w:ind w:firstLine="480" w:firstLineChars="200"/>
        <w:rPr>
          <w:rFonts w:hint="eastAsia"/>
          <w:u w:val="none" w:color="auto"/>
          <w:lang w:eastAsia="zh-CN"/>
        </w:rPr>
      </w:pPr>
      <w:r>
        <w:rPr>
          <w:kern w:val="0"/>
          <w:sz w:val="24"/>
          <w:u w:val="none" w:color="auto"/>
          <w:lang w:val="sq-AL"/>
        </w:rPr>
        <w:t>根据《国家危险废物名录》（</w:t>
      </w:r>
      <w:r>
        <w:rPr>
          <w:rFonts w:hint="eastAsia"/>
          <w:kern w:val="0"/>
          <w:sz w:val="24"/>
          <w:u w:val="none" w:color="auto"/>
          <w:lang w:val="sq-AL"/>
        </w:rPr>
        <w:t>202</w:t>
      </w:r>
      <w:r>
        <w:rPr>
          <w:rFonts w:hint="eastAsia"/>
          <w:kern w:val="0"/>
          <w:sz w:val="24"/>
          <w:u w:val="none" w:color="auto"/>
          <w:lang w:val="en-US" w:eastAsia="zh-CN"/>
        </w:rPr>
        <w:t>5</w:t>
      </w:r>
      <w:r>
        <w:rPr>
          <w:kern w:val="0"/>
          <w:sz w:val="24"/>
          <w:u w:val="none" w:color="auto"/>
          <w:lang w:val="sq-AL"/>
        </w:rPr>
        <w:t>年版），变压器维护</w:t>
      </w:r>
      <w:r>
        <w:rPr>
          <w:rFonts w:hint="eastAsia"/>
          <w:kern w:val="0"/>
          <w:sz w:val="24"/>
          <w:u w:val="none" w:color="auto"/>
          <w:lang w:val="sq-AL"/>
        </w:rPr>
        <w:t>、</w:t>
      </w:r>
      <w:r>
        <w:rPr>
          <w:kern w:val="0"/>
          <w:sz w:val="24"/>
          <w:u w:val="none" w:color="auto"/>
          <w:lang w:val="sq-AL"/>
        </w:rPr>
        <w:t>更换和拆解过程中产生的废变压器油属于危险废物</w:t>
      </w:r>
      <w:r>
        <w:rPr>
          <w:rFonts w:hint="eastAsia"/>
          <w:kern w:val="0"/>
          <w:sz w:val="24"/>
          <w:u w:val="none" w:color="auto"/>
          <w:lang w:val="sq-AL"/>
        </w:rPr>
        <w:t>，废物</w:t>
      </w:r>
      <w:r>
        <w:rPr>
          <w:kern w:val="0"/>
          <w:sz w:val="24"/>
          <w:u w:val="none" w:color="auto"/>
          <w:lang w:val="sq-AL"/>
        </w:rPr>
        <w:t>类别为</w:t>
      </w:r>
      <w:r>
        <w:rPr>
          <w:rFonts w:hint="eastAsia"/>
          <w:kern w:val="0"/>
          <w:sz w:val="24"/>
          <w:u w:val="none" w:color="auto"/>
          <w:lang w:val="sq-AL"/>
        </w:rPr>
        <w:t>HW08，废物代码为900-220-08，</w:t>
      </w:r>
      <w:r>
        <w:rPr>
          <w:kern w:val="0"/>
          <w:sz w:val="24"/>
          <w:u w:val="none" w:color="auto"/>
          <w:lang w:val="sq-AL"/>
        </w:rPr>
        <w:t>危险特性为毒性、易燃性</w:t>
      </w:r>
      <w:r>
        <w:rPr>
          <w:rFonts w:hint="eastAsia"/>
          <w:kern w:val="0"/>
          <w:sz w:val="24"/>
          <w:u w:val="none" w:color="auto"/>
          <w:lang w:val="sq-AL"/>
        </w:rPr>
        <w:t>。</w:t>
      </w:r>
    </w:p>
    <w:p>
      <w:pPr>
        <w:spacing w:line="360" w:lineRule="auto"/>
        <w:ind w:firstLine="480" w:firstLineChars="200"/>
        <w:rPr>
          <w:rFonts w:hint="default" w:ascii="Times New Roman" w:hAnsi="Times New Roman" w:eastAsia="宋体" w:cs="Times New Roman"/>
          <w:sz w:val="24"/>
          <w:szCs w:val="24"/>
          <w:u w:val="none" w:color="auto"/>
        </w:rPr>
      </w:pPr>
      <w:r>
        <w:rPr>
          <w:rFonts w:hint="eastAsia" w:ascii="Times New Roman" w:hAnsi="Times New Roman" w:eastAsia="宋体" w:cs="Times New Roman"/>
          <w:sz w:val="24"/>
          <w:szCs w:val="24"/>
          <w:u w:val="none" w:color="auto"/>
          <w:lang w:eastAsia="zh-CN"/>
        </w:rPr>
        <w:t>（</w:t>
      </w:r>
      <w:r>
        <w:rPr>
          <w:rFonts w:hint="eastAsia" w:cs="Times New Roman"/>
          <w:sz w:val="24"/>
          <w:szCs w:val="24"/>
          <w:u w:val="none" w:color="auto"/>
          <w:lang w:val="en-US" w:eastAsia="zh-CN"/>
        </w:rPr>
        <w:t>4</w:t>
      </w:r>
      <w:r>
        <w:rPr>
          <w:rFonts w:hint="eastAsia" w:ascii="Times New Roman" w:hAnsi="Times New Roman" w:eastAsia="宋体" w:cs="Times New Roman"/>
          <w:sz w:val="24"/>
          <w:szCs w:val="24"/>
          <w:u w:val="none" w:color="auto"/>
          <w:lang w:eastAsia="zh-CN"/>
        </w:rPr>
        <w:t>）</w:t>
      </w:r>
      <w:r>
        <w:rPr>
          <w:rFonts w:hint="default" w:ascii="Times New Roman" w:hAnsi="Times New Roman" w:eastAsia="宋体" w:cs="Times New Roman"/>
          <w:sz w:val="24"/>
          <w:szCs w:val="24"/>
          <w:u w:val="none" w:color="auto"/>
        </w:rPr>
        <w:t>废旧蓄电池</w:t>
      </w:r>
    </w:p>
    <w:p>
      <w:pPr>
        <w:spacing w:line="360" w:lineRule="auto"/>
        <w:ind w:firstLine="480" w:firstLineChars="200"/>
        <w:rPr>
          <w:rFonts w:hint="eastAsia"/>
          <w:kern w:val="0"/>
          <w:sz w:val="24"/>
          <w:u w:val="none" w:color="auto"/>
          <w:lang w:val="sq-AL" w:eastAsia="zh-CN"/>
        </w:rPr>
      </w:pPr>
      <w:r>
        <w:rPr>
          <w:rFonts w:hint="eastAsia"/>
          <w:kern w:val="0"/>
          <w:sz w:val="24"/>
          <w:u w:val="none" w:color="auto"/>
          <w:lang w:val="sq-AL"/>
        </w:rPr>
        <w:t>变电站蓄电池是站内电源系统中直流供电系统的重要组成部分，主要担负着为站内二次系统负载提供安全、稳定、可靠的电力保障，确保继电保护、通信设备的正常运行。目前国内变电站直流系统的蓄电池大多数都是用阀控密封铅酸蓄电池，每个变电站一般两组，每组110个电池左右。蓄电池使用一段时间后，会因活性物质脱落、板栅腐蚀或极板变形、硫化等因素，使容量降低直至失效。变电站铅酸蓄电池使用年限不一，一般浮充寿命为8~10年左右。</w:t>
      </w:r>
      <w:r>
        <w:rPr>
          <w:kern w:val="0"/>
          <w:sz w:val="24"/>
          <w:u w:val="none" w:color="auto"/>
          <w:lang w:val="sq-AL"/>
        </w:rPr>
        <w:t>根据《国家危险废物名录》（</w:t>
      </w:r>
      <w:r>
        <w:rPr>
          <w:rFonts w:hint="eastAsia"/>
          <w:kern w:val="0"/>
          <w:sz w:val="24"/>
          <w:u w:val="none" w:color="auto"/>
          <w:lang w:val="sq-AL"/>
        </w:rPr>
        <w:t>202</w:t>
      </w:r>
      <w:r>
        <w:rPr>
          <w:rFonts w:hint="eastAsia"/>
          <w:kern w:val="0"/>
          <w:sz w:val="24"/>
          <w:u w:val="none" w:color="auto"/>
          <w:lang w:val="en-US" w:eastAsia="zh-CN"/>
        </w:rPr>
        <w:t>5</w:t>
      </w:r>
      <w:r>
        <w:rPr>
          <w:kern w:val="0"/>
          <w:sz w:val="24"/>
          <w:u w:val="none" w:color="auto"/>
          <w:lang w:val="sq-AL"/>
        </w:rPr>
        <w:t>年版），废铅蓄电池属于危险废物</w:t>
      </w:r>
      <w:r>
        <w:rPr>
          <w:rFonts w:hint="eastAsia"/>
          <w:kern w:val="0"/>
          <w:sz w:val="24"/>
          <w:u w:val="none" w:color="auto"/>
          <w:lang w:val="sq-AL"/>
        </w:rPr>
        <w:t>，废物</w:t>
      </w:r>
      <w:r>
        <w:rPr>
          <w:kern w:val="0"/>
          <w:sz w:val="24"/>
          <w:u w:val="none" w:color="auto"/>
          <w:lang w:val="sq-AL"/>
        </w:rPr>
        <w:t>类别为</w:t>
      </w:r>
      <w:r>
        <w:rPr>
          <w:rFonts w:hint="eastAsia"/>
          <w:kern w:val="0"/>
          <w:sz w:val="24"/>
          <w:u w:val="none" w:color="auto"/>
          <w:lang w:val="sq-AL"/>
        </w:rPr>
        <w:t>HW31，废物代码为900-052-31，</w:t>
      </w:r>
      <w:r>
        <w:rPr>
          <w:kern w:val="0"/>
          <w:sz w:val="24"/>
          <w:u w:val="none" w:color="auto"/>
          <w:lang w:val="sq-AL"/>
        </w:rPr>
        <w:t>危险特性为毒性、</w:t>
      </w:r>
      <w:r>
        <w:rPr>
          <w:rFonts w:hint="eastAsia"/>
          <w:kern w:val="0"/>
          <w:sz w:val="24"/>
          <w:u w:val="none" w:color="auto"/>
          <w:lang w:val="sq-AL"/>
        </w:rPr>
        <w:t>腐蚀</w:t>
      </w:r>
      <w:r>
        <w:rPr>
          <w:kern w:val="0"/>
          <w:sz w:val="24"/>
          <w:u w:val="none" w:color="auto"/>
          <w:lang w:val="sq-AL"/>
        </w:rPr>
        <w:t>性</w:t>
      </w:r>
      <w:r>
        <w:rPr>
          <w:rFonts w:hint="eastAsia"/>
          <w:kern w:val="0"/>
          <w:sz w:val="24"/>
          <w:u w:val="none" w:color="auto"/>
          <w:lang w:val="sq-AL" w:eastAsia="zh-CN"/>
        </w:rPr>
        <w:t>。</w:t>
      </w:r>
    </w:p>
    <w:p>
      <w:pPr>
        <w:pStyle w:val="2289"/>
        <w:bidi w:val="0"/>
        <w:rPr>
          <w:rFonts w:hint="eastAsia" w:ascii="Times New Roman" w:hAnsi="Times New Roman" w:eastAsia="宋体" w:cs="宋体"/>
        </w:rPr>
      </w:pPr>
      <w:r>
        <w:rPr>
          <w:rFonts w:hint="eastAsia" w:ascii="Times New Roman" w:hAnsi="Times New Roman" w:eastAsia="宋体" w:cs="宋体"/>
        </w:rPr>
        <w:t>危险废物汇总表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73"/>
        <w:gridCol w:w="917"/>
        <w:gridCol w:w="796"/>
        <w:gridCol w:w="1015"/>
        <w:gridCol w:w="857"/>
        <w:gridCol w:w="793"/>
        <w:gridCol w:w="791"/>
        <w:gridCol w:w="647"/>
        <w:gridCol w:w="789"/>
        <w:gridCol w:w="724"/>
        <w:gridCol w:w="817"/>
        <w:gridCol w:w="6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4" w:type="pct"/>
            <w:tcBorders>
              <w:top w:val="single" w:color="auto" w:sz="12" w:space="0"/>
              <w:left w:val="single" w:color="auto" w:sz="12"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序号</w:t>
            </w:r>
          </w:p>
        </w:tc>
        <w:tc>
          <w:tcPr>
            <w:tcW w:w="493" w:type="pct"/>
            <w:tcBorders>
              <w:top w:val="single" w:color="auto" w:sz="12"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危险废物名称</w:t>
            </w:r>
          </w:p>
        </w:tc>
        <w:tc>
          <w:tcPr>
            <w:tcW w:w="428" w:type="pct"/>
            <w:tcBorders>
              <w:top w:val="single" w:color="auto" w:sz="12"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危险废物类别</w:t>
            </w:r>
          </w:p>
        </w:tc>
        <w:tc>
          <w:tcPr>
            <w:tcW w:w="546" w:type="pct"/>
            <w:tcBorders>
              <w:top w:val="single" w:color="auto" w:sz="12"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危险废物代码</w:t>
            </w:r>
          </w:p>
        </w:tc>
        <w:tc>
          <w:tcPr>
            <w:tcW w:w="461" w:type="pct"/>
            <w:tcBorders>
              <w:top w:val="single" w:color="auto" w:sz="12"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产生量</w:t>
            </w:r>
          </w:p>
        </w:tc>
        <w:tc>
          <w:tcPr>
            <w:tcW w:w="426" w:type="pct"/>
            <w:tcBorders>
              <w:top w:val="single" w:color="auto" w:sz="12"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产生工序及装置</w:t>
            </w:r>
          </w:p>
        </w:tc>
        <w:tc>
          <w:tcPr>
            <w:tcW w:w="425" w:type="pct"/>
            <w:tcBorders>
              <w:top w:val="single" w:color="auto" w:sz="12"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形态</w:t>
            </w:r>
          </w:p>
        </w:tc>
        <w:tc>
          <w:tcPr>
            <w:tcW w:w="348" w:type="pct"/>
            <w:tcBorders>
              <w:top w:val="single" w:color="auto" w:sz="12"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主要成分</w:t>
            </w:r>
          </w:p>
        </w:tc>
        <w:tc>
          <w:tcPr>
            <w:tcW w:w="424" w:type="pct"/>
            <w:tcBorders>
              <w:top w:val="single" w:color="auto" w:sz="12"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有害成分</w:t>
            </w:r>
          </w:p>
        </w:tc>
        <w:tc>
          <w:tcPr>
            <w:tcW w:w="389" w:type="pct"/>
            <w:tcBorders>
              <w:top w:val="single" w:color="auto" w:sz="12"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产废周期</w:t>
            </w:r>
          </w:p>
        </w:tc>
        <w:tc>
          <w:tcPr>
            <w:tcW w:w="439" w:type="pct"/>
            <w:tcBorders>
              <w:top w:val="single" w:color="auto" w:sz="12"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危险</w:t>
            </w:r>
          </w:p>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特性</w:t>
            </w:r>
          </w:p>
        </w:tc>
        <w:tc>
          <w:tcPr>
            <w:tcW w:w="359" w:type="pct"/>
            <w:tcBorders>
              <w:top w:val="single" w:color="auto" w:sz="12" w:space="0"/>
              <w:left w:val="single" w:color="auto" w:sz="4" w:space="0"/>
              <w:bottom w:val="single" w:color="auto" w:sz="4" w:space="0"/>
              <w:right w:val="single" w:color="auto" w:sz="12"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污染防治措施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4" w:type="pct"/>
            <w:tcBorders>
              <w:top w:val="single" w:color="auto" w:sz="4" w:space="0"/>
              <w:left w:val="single" w:color="auto" w:sz="12"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1</w:t>
            </w:r>
          </w:p>
        </w:tc>
        <w:tc>
          <w:tcPr>
            <w:tcW w:w="493"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rFonts w:hint="eastAsia" w:eastAsia="宋体"/>
                <w:kern w:val="0"/>
                <w:sz w:val="21"/>
                <w:szCs w:val="21"/>
                <w:lang w:val="en-US" w:eastAsia="zh-CN"/>
              </w:rPr>
            </w:pPr>
            <w:r>
              <w:rPr>
                <w:kern w:val="0"/>
                <w:sz w:val="21"/>
                <w:szCs w:val="21"/>
              </w:rPr>
              <w:t>废</w:t>
            </w:r>
            <w:r>
              <w:rPr>
                <w:rFonts w:hint="eastAsia"/>
                <w:kern w:val="0"/>
                <w:sz w:val="21"/>
                <w:szCs w:val="21"/>
                <w:lang w:val="en-US" w:eastAsia="zh-CN"/>
              </w:rPr>
              <w:t>润滑油</w:t>
            </w:r>
          </w:p>
        </w:tc>
        <w:tc>
          <w:tcPr>
            <w:tcW w:w="428"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HW08</w:t>
            </w:r>
          </w:p>
        </w:tc>
        <w:tc>
          <w:tcPr>
            <w:tcW w:w="546"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u w:val="none" w:color="auto"/>
                <w:lang w:val="sq-AL"/>
              </w:rPr>
              <w:t>900-214-08</w:t>
            </w:r>
          </w:p>
        </w:tc>
        <w:tc>
          <w:tcPr>
            <w:tcW w:w="461"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rFonts w:hint="eastAsia" w:eastAsia="宋体"/>
                <w:kern w:val="0"/>
                <w:sz w:val="21"/>
                <w:szCs w:val="21"/>
                <w:lang w:eastAsia="zh-CN"/>
              </w:rPr>
            </w:pPr>
            <w:r>
              <w:rPr>
                <w:rFonts w:hint="eastAsia"/>
                <w:sz w:val="21"/>
                <w:szCs w:val="21"/>
                <w:lang w:val="en-US" w:eastAsia="zh-CN"/>
              </w:rPr>
              <w:t>75</w:t>
            </w:r>
            <w:r>
              <w:rPr>
                <w:sz w:val="21"/>
                <w:szCs w:val="21"/>
              </w:rPr>
              <w:t>kg/</w:t>
            </w:r>
            <w:r>
              <w:rPr>
                <w:rFonts w:hint="eastAsia"/>
                <w:sz w:val="21"/>
                <w:szCs w:val="21"/>
                <w:lang w:val="en-US" w:eastAsia="zh-CN"/>
              </w:rPr>
              <w:t>a</w:t>
            </w:r>
          </w:p>
        </w:tc>
        <w:tc>
          <w:tcPr>
            <w:tcW w:w="426"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风机检修</w:t>
            </w:r>
          </w:p>
        </w:tc>
        <w:tc>
          <w:tcPr>
            <w:tcW w:w="425"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液态</w:t>
            </w:r>
          </w:p>
        </w:tc>
        <w:tc>
          <w:tcPr>
            <w:tcW w:w="348"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废油</w:t>
            </w:r>
          </w:p>
        </w:tc>
        <w:tc>
          <w:tcPr>
            <w:tcW w:w="424"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矿物油</w:t>
            </w:r>
          </w:p>
        </w:tc>
        <w:tc>
          <w:tcPr>
            <w:tcW w:w="389"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5~10年</w:t>
            </w:r>
          </w:p>
        </w:tc>
        <w:tc>
          <w:tcPr>
            <w:tcW w:w="439"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易燃、有毒</w:t>
            </w:r>
          </w:p>
        </w:tc>
        <w:tc>
          <w:tcPr>
            <w:tcW w:w="359" w:type="pct"/>
            <w:vMerge w:val="restart"/>
            <w:tcBorders>
              <w:top w:val="single" w:color="auto" w:sz="4" w:space="0"/>
              <w:left w:val="single" w:color="auto" w:sz="4" w:space="0"/>
              <w:right w:val="single" w:color="auto" w:sz="12" w:space="0"/>
            </w:tcBorders>
            <w:vAlign w:val="center"/>
          </w:tcPr>
          <w:p>
            <w:pPr>
              <w:tabs>
                <w:tab w:val="clear" w:pos="480"/>
              </w:tabs>
              <w:topLinePunct/>
              <w:adjustRightInd w:val="0"/>
              <w:snapToGrid w:val="0"/>
              <w:spacing w:line="240" w:lineRule="auto"/>
              <w:ind w:firstLine="0" w:firstLineChars="0"/>
              <w:rPr>
                <w:kern w:val="0"/>
                <w:sz w:val="21"/>
                <w:szCs w:val="21"/>
              </w:rPr>
            </w:pPr>
            <w:r>
              <w:rPr>
                <w:kern w:val="0"/>
                <w:sz w:val="21"/>
                <w:szCs w:val="21"/>
              </w:rPr>
              <w:t>交由有资质单位处理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4" w:type="pct"/>
            <w:tcBorders>
              <w:top w:val="single" w:color="auto" w:sz="4" w:space="0"/>
              <w:left w:val="single" w:color="auto" w:sz="12"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rFonts w:hint="eastAsia" w:eastAsia="宋体"/>
                <w:kern w:val="0"/>
                <w:sz w:val="21"/>
                <w:szCs w:val="21"/>
                <w:lang w:val="en-US" w:eastAsia="zh-CN"/>
              </w:rPr>
            </w:pPr>
            <w:r>
              <w:rPr>
                <w:rFonts w:hint="eastAsia"/>
                <w:kern w:val="0"/>
                <w:sz w:val="21"/>
                <w:szCs w:val="21"/>
                <w:lang w:val="en-US" w:eastAsia="zh-CN"/>
              </w:rPr>
              <w:t>2</w:t>
            </w:r>
          </w:p>
        </w:tc>
        <w:tc>
          <w:tcPr>
            <w:tcW w:w="493"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废变压器油</w:t>
            </w:r>
          </w:p>
        </w:tc>
        <w:tc>
          <w:tcPr>
            <w:tcW w:w="428"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HW08</w:t>
            </w:r>
          </w:p>
        </w:tc>
        <w:tc>
          <w:tcPr>
            <w:tcW w:w="546"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900-220</w:t>
            </w:r>
          </w:p>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-08</w:t>
            </w:r>
          </w:p>
        </w:tc>
        <w:tc>
          <w:tcPr>
            <w:tcW w:w="461"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rFonts w:hint="default" w:eastAsia="宋体"/>
                <w:kern w:val="0"/>
                <w:sz w:val="21"/>
                <w:szCs w:val="21"/>
                <w:lang w:val="en-US" w:eastAsia="zh-CN"/>
              </w:rPr>
            </w:pPr>
            <w:r>
              <w:rPr>
                <w:rFonts w:hint="eastAsia"/>
                <w:sz w:val="21"/>
                <w:szCs w:val="21"/>
                <w:lang w:val="en-US" w:eastAsia="zh-CN"/>
              </w:rPr>
              <w:t>80t/次</w:t>
            </w:r>
          </w:p>
        </w:tc>
        <w:tc>
          <w:tcPr>
            <w:tcW w:w="426"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rFonts w:hint="eastAsia" w:eastAsia="宋体"/>
                <w:kern w:val="0"/>
                <w:sz w:val="21"/>
                <w:szCs w:val="21"/>
                <w:lang w:val="en-US" w:eastAsia="zh-CN"/>
              </w:rPr>
            </w:pPr>
            <w:r>
              <w:rPr>
                <w:rFonts w:hint="eastAsia"/>
                <w:kern w:val="0"/>
                <w:sz w:val="21"/>
                <w:szCs w:val="21"/>
                <w:lang w:val="en-US" w:eastAsia="zh-CN"/>
              </w:rPr>
              <w:t>主变压器</w:t>
            </w:r>
          </w:p>
        </w:tc>
        <w:tc>
          <w:tcPr>
            <w:tcW w:w="425"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液态</w:t>
            </w:r>
          </w:p>
        </w:tc>
        <w:tc>
          <w:tcPr>
            <w:tcW w:w="348"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废油</w:t>
            </w:r>
          </w:p>
        </w:tc>
        <w:tc>
          <w:tcPr>
            <w:tcW w:w="424"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矿物油</w:t>
            </w:r>
          </w:p>
        </w:tc>
        <w:tc>
          <w:tcPr>
            <w:tcW w:w="389"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6~10年</w:t>
            </w:r>
          </w:p>
        </w:tc>
        <w:tc>
          <w:tcPr>
            <w:tcW w:w="439"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易燃、有毒</w:t>
            </w:r>
          </w:p>
        </w:tc>
        <w:tc>
          <w:tcPr>
            <w:tcW w:w="359" w:type="pct"/>
            <w:vMerge w:val="continue"/>
            <w:tcBorders>
              <w:left w:val="single" w:color="auto" w:sz="4" w:space="0"/>
              <w:right w:val="single" w:color="auto" w:sz="12" w:space="0"/>
            </w:tcBorders>
            <w:vAlign w:val="center"/>
          </w:tcPr>
          <w:p>
            <w:pPr>
              <w:tabs>
                <w:tab w:val="clear" w:pos="480"/>
              </w:tabs>
              <w:topLinePunct/>
              <w:adjustRightInd w:val="0"/>
              <w:snapToGrid w:val="0"/>
              <w:spacing w:line="240" w:lineRule="auto"/>
              <w:ind w:firstLine="0" w:firstLineChars="0"/>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4" w:type="pct"/>
            <w:tcBorders>
              <w:top w:val="single" w:color="auto" w:sz="4" w:space="0"/>
              <w:left w:val="single" w:color="auto" w:sz="12"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3</w:t>
            </w:r>
          </w:p>
        </w:tc>
        <w:tc>
          <w:tcPr>
            <w:tcW w:w="493" w:type="pct"/>
            <w:tcBorders>
              <w:top w:val="single" w:color="auto" w:sz="4" w:space="0"/>
              <w:left w:val="single" w:color="auto" w:sz="4" w:space="0"/>
              <w:bottom w:val="single" w:color="auto" w:sz="4" w:space="0"/>
              <w:right w:val="single" w:color="auto" w:sz="4" w:space="0"/>
            </w:tcBorders>
            <w:shd w:val="clear" w:color="auto" w:fill="auto"/>
            <w:vAlign w:val="center"/>
          </w:tcPr>
          <w:p>
            <w:pPr>
              <w:tabs>
                <w:tab w:val="clear" w:pos="480"/>
              </w:tabs>
              <w:topLinePunct/>
              <w:adjustRightInd w:val="0"/>
              <w:snapToGrid w:val="0"/>
              <w:spacing w:line="240" w:lineRule="auto"/>
              <w:ind w:firstLine="0" w:firstLineChars="0"/>
              <w:jc w:val="center"/>
              <w:rPr>
                <w:rFonts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kern w:val="0"/>
                <w:sz w:val="21"/>
                <w:szCs w:val="21"/>
              </w:rPr>
              <w:t>废变压器油</w:t>
            </w:r>
          </w:p>
        </w:tc>
        <w:tc>
          <w:tcPr>
            <w:tcW w:w="428" w:type="pct"/>
            <w:tcBorders>
              <w:top w:val="single" w:color="auto" w:sz="4" w:space="0"/>
              <w:left w:val="single" w:color="auto" w:sz="4" w:space="0"/>
              <w:bottom w:val="single" w:color="auto" w:sz="4" w:space="0"/>
              <w:right w:val="single" w:color="auto" w:sz="4" w:space="0"/>
            </w:tcBorders>
            <w:shd w:val="clear" w:color="auto" w:fill="auto"/>
            <w:vAlign w:val="center"/>
          </w:tcPr>
          <w:p>
            <w:pPr>
              <w:tabs>
                <w:tab w:val="clear" w:pos="480"/>
              </w:tabs>
              <w:topLinePunct/>
              <w:adjustRightInd w:val="0"/>
              <w:snapToGrid w:val="0"/>
              <w:spacing w:line="240" w:lineRule="auto"/>
              <w:ind w:firstLine="0" w:firstLineChars="0"/>
              <w:jc w:val="center"/>
              <w:rPr>
                <w:rFonts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kern w:val="0"/>
                <w:sz w:val="21"/>
                <w:szCs w:val="21"/>
              </w:rPr>
              <w:t>HW08</w:t>
            </w:r>
          </w:p>
        </w:tc>
        <w:tc>
          <w:tcPr>
            <w:tcW w:w="546" w:type="pct"/>
            <w:tcBorders>
              <w:top w:val="single" w:color="auto" w:sz="4" w:space="0"/>
              <w:left w:val="single" w:color="auto" w:sz="4" w:space="0"/>
              <w:bottom w:val="single" w:color="auto" w:sz="4" w:space="0"/>
              <w:right w:val="single" w:color="auto" w:sz="4" w:space="0"/>
            </w:tcBorders>
            <w:shd w:val="clear" w:color="auto" w:fill="auto"/>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900-220</w:t>
            </w:r>
          </w:p>
          <w:p>
            <w:pPr>
              <w:tabs>
                <w:tab w:val="clear" w:pos="480"/>
              </w:tabs>
              <w:topLinePunct/>
              <w:adjustRightInd w:val="0"/>
              <w:snapToGrid w:val="0"/>
              <w:spacing w:line="240" w:lineRule="auto"/>
              <w:ind w:firstLine="0" w:firstLineChars="0"/>
              <w:jc w:val="center"/>
              <w:rPr>
                <w:rFonts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kern w:val="0"/>
                <w:sz w:val="21"/>
                <w:szCs w:val="21"/>
              </w:rPr>
              <w:t>-08</w:t>
            </w:r>
          </w:p>
        </w:tc>
        <w:tc>
          <w:tcPr>
            <w:tcW w:w="461"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rFonts w:hint="default"/>
                <w:sz w:val="21"/>
                <w:szCs w:val="21"/>
                <w:lang w:val="en-US" w:eastAsia="zh-CN"/>
              </w:rPr>
            </w:pPr>
            <w:r>
              <w:rPr>
                <w:rFonts w:hint="eastAsia"/>
                <w:sz w:val="21"/>
                <w:szCs w:val="21"/>
                <w:lang w:val="en-US" w:eastAsia="zh-CN"/>
              </w:rPr>
              <w:t>2.4/次.台</w:t>
            </w:r>
          </w:p>
        </w:tc>
        <w:tc>
          <w:tcPr>
            <w:tcW w:w="426" w:type="pct"/>
            <w:tcBorders>
              <w:top w:val="single" w:color="auto" w:sz="4" w:space="0"/>
              <w:left w:val="single" w:color="auto" w:sz="4" w:space="0"/>
              <w:bottom w:val="single" w:color="auto" w:sz="4" w:space="0"/>
              <w:right w:val="single" w:color="auto" w:sz="4" w:space="0"/>
            </w:tcBorders>
            <w:vAlign w:val="center"/>
          </w:tcPr>
          <w:p>
            <w:pPr>
              <w:tabs>
                <w:tab w:val="clear" w:pos="480"/>
              </w:tabs>
              <w:topLinePunct/>
              <w:adjustRightInd w:val="0"/>
              <w:snapToGrid w:val="0"/>
              <w:spacing w:line="240" w:lineRule="auto"/>
              <w:ind w:firstLine="0" w:firstLineChars="0"/>
              <w:jc w:val="center"/>
              <w:rPr>
                <w:rFonts w:hint="eastAsia"/>
                <w:kern w:val="0"/>
                <w:sz w:val="21"/>
                <w:szCs w:val="21"/>
                <w:lang w:val="en-US" w:eastAsia="zh-CN"/>
              </w:rPr>
            </w:pPr>
            <w:r>
              <w:rPr>
                <w:kern w:val="0"/>
                <w:sz w:val="21"/>
                <w:szCs w:val="21"/>
              </w:rPr>
              <w:t>箱变冷却</w:t>
            </w:r>
          </w:p>
        </w:tc>
        <w:tc>
          <w:tcPr>
            <w:tcW w:w="425" w:type="pct"/>
            <w:tcBorders>
              <w:top w:val="single" w:color="auto" w:sz="4" w:space="0"/>
              <w:left w:val="single" w:color="auto" w:sz="4" w:space="0"/>
              <w:bottom w:val="single" w:color="auto" w:sz="4" w:space="0"/>
              <w:right w:val="single" w:color="auto" w:sz="4" w:space="0"/>
            </w:tcBorders>
            <w:shd w:val="clear" w:color="auto" w:fill="auto"/>
            <w:vAlign w:val="center"/>
          </w:tcPr>
          <w:p>
            <w:pPr>
              <w:tabs>
                <w:tab w:val="clear" w:pos="480"/>
              </w:tabs>
              <w:topLinePunct/>
              <w:adjustRightInd w:val="0"/>
              <w:snapToGrid w:val="0"/>
              <w:spacing w:line="240" w:lineRule="auto"/>
              <w:ind w:firstLine="0" w:firstLineChars="0"/>
              <w:jc w:val="center"/>
              <w:rPr>
                <w:rFonts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kern w:val="0"/>
                <w:sz w:val="21"/>
                <w:szCs w:val="21"/>
              </w:rPr>
              <w:t>液态</w:t>
            </w:r>
          </w:p>
        </w:tc>
        <w:tc>
          <w:tcPr>
            <w:tcW w:w="348" w:type="pct"/>
            <w:tcBorders>
              <w:top w:val="single" w:color="auto" w:sz="4" w:space="0"/>
              <w:left w:val="single" w:color="auto" w:sz="4" w:space="0"/>
              <w:bottom w:val="single" w:color="auto" w:sz="4" w:space="0"/>
              <w:right w:val="single" w:color="auto" w:sz="4" w:space="0"/>
            </w:tcBorders>
            <w:shd w:val="clear" w:color="auto" w:fill="auto"/>
            <w:vAlign w:val="center"/>
          </w:tcPr>
          <w:p>
            <w:pPr>
              <w:tabs>
                <w:tab w:val="clear" w:pos="480"/>
              </w:tabs>
              <w:topLinePunct/>
              <w:adjustRightInd w:val="0"/>
              <w:snapToGrid w:val="0"/>
              <w:spacing w:line="240" w:lineRule="auto"/>
              <w:ind w:firstLine="0" w:firstLineChars="0"/>
              <w:jc w:val="center"/>
              <w:rPr>
                <w:rFonts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kern w:val="0"/>
                <w:sz w:val="21"/>
                <w:szCs w:val="21"/>
              </w:rPr>
              <w:t>废油</w:t>
            </w:r>
          </w:p>
        </w:tc>
        <w:tc>
          <w:tcPr>
            <w:tcW w:w="424" w:type="pct"/>
            <w:tcBorders>
              <w:top w:val="single" w:color="auto" w:sz="4" w:space="0"/>
              <w:left w:val="single" w:color="auto" w:sz="4" w:space="0"/>
              <w:bottom w:val="single" w:color="auto" w:sz="4" w:space="0"/>
              <w:right w:val="single" w:color="auto" w:sz="4" w:space="0"/>
            </w:tcBorders>
            <w:shd w:val="clear" w:color="auto" w:fill="auto"/>
            <w:vAlign w:val="center"/>
          </w:tcPr>
          <w:p>
            <w:pPr>
              <w:tabs>
                <w:tab w:val="clear" w:pos="480"/>
              </w:tabs>
              <w:topLinePunct/>
              <w:adjustRightInd w:val="0"/>
              <w:snapToGrid w:val="0"/>
              <w:spacing w:line="240" w:lineRule="auto"/>
              <w:ind w:firstLine="0" w:firstLineChars="0"/>
              <w:jc w:val="center"/>
              <w:rPr>
                <w:rFonts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kern w:val="0"/>
                <w:sz w:val="21"/>
                <w:szCs w:val="21"/>
              </w:rPr>
              <w:t>矿物油</w:t>
            </w:r>
          </w:p>
        </w:tc>
        <w:tc>
          <w:tcPr>
            <w:tcW w:w="389" w:type="pct"/>
            <w:tcBorders>
              <w:top w:val="single" w:color="auto" w:sz="4" w:space="0"/>
              <w:left w:val="single" w:color="auto" w:sz="4" w:space="0"/>
              <w:bottom w:val="single" w:color="auto" w:sz="4" w:space="0"/>
              <w:right w:val="single" w:color="auto" w:sz="4" w:space="0"/>
            </w:tcBorders>
            <w:shd w:val="clear" w:color="auto" w:fill="auto"/>
            <w:vAlign w:val="center"/>
          </w:tcPr>
          <w:p>
            <w:pPr>
              <w:tabs>
                <w:tab w:val="clear" w:pos="480"/>
              </w:tabs>
              <w:topLinePunct/>
              <w:adjustRightInd w:val="0"/>
              <w:snapToGrid w:val="0"/>
              <w:spacing w:line="240" w:lineRule="auto"/>
              <w:ind w:firstLine="0" w:firstLineChars="0"/>
              <w:jc w:val="center"/>
              <w:rPr>
                <w:rFonts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kern w:val="0"/>
                <w:sz w:val="21"/>
                <w:szCs w:val="21"/>
              </w:rPr>
              <w:t>6~10年</w:t>
            </w:r>
          </w:p>
        </w:tc>
        <w:tc>
          <w:tcPr>
            <w:tcW w:w="439" w:type="pct"/>
            <w:tcBorders>
              <w:top w:val="single" w:color="auto" w:sz="4" w:space="0"/>
              <w:left w:val="single" w:color="auto" w:sz="4" w:space="0"/>
              <w:bottom w:val="single" w:color="auto" w:sz="4" w:space="0"/>
              <w:right w:val="single" w:color="auto" w:sz="4" w:space="0"/>
            </w:tcBorders>
            <w:shd w:val="clear" w:color="auto" w:fill="auto"/>
            <w:vAlign w:val="center"/>
          </w:tcPr>
          <w:p>
            <w:pPr>
              <w:tabs>
                <w:tab w:val="clear" w:pos="480"/>
              </w:tabs>
              <w:topLinePunct/>
              <w:adjustRightInd w:val="0"/>
              <w:snapToGrid w:val="0"/>
              <w:spacing w:line="240" w:lineRule="auto"/>
              <w:ind w:firstLine="0" w:firstLineChars="0"/>
              <w:jc w:val="center"/>
              <w:rPr>
                <w:rFonts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kern w:val="0"/>
                <w:sz w:val="21"/>
                <w:szCs w:val="21"/>
              </w:rPr>
              <w:t>易燃、有毒</w:t>
            </w:r>
          </w:p>
        </w:tc>
        <w:tc>
          <w:tcPr>
            <w:tcW w:w="359" w:type="pct"/>
            <w:vMerge w:val="continue"/>
            <w:tcBorders>
              <w:left w:val="single" w:color="auto" w:sz="4" w:space="0"/>
              <w:right w:val="single" w:color="auto" w:sz="12" w:space="0"/>
            </w:tcBorders>
            <w:vAlign w:val="center"/>
          </w:tcPr>
          <w:p>
            <w:pPr>
              <w:tabs>
                <w:tab w:val="clear" w:pos="480"/>
              </w:tabs>
              <w:topLinePunct/>
              <w:adjustRightInd w:val="0"/>
              <w:snapToGrid w:val="0"/>
              <w:spacing w:line="240" w:lineRule="auto"/>
              <w:ind w:firstLine="0" w:firstLineChars="0"/>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4" w:type="pct"/>
            <w:tcBorders>
              <w:top w:val="single" w:color="auto" w:sz="4" w:space="0"/>
              <w:left w:val="single" w:color="auto" w:sz="12" w:space="0"/>
              <w:bottom w:val="single" w:color="auto" w:sz="12" w:space="0"/>
              <w:right w:val="single" w:color="auto" w:sz="4" w:space="0"/>
            </w:tcBorders>
            <w:vAlign w:val="center"/>
          </w:tcPr>
          <w:p>
            <w:pPr>
              <w:tabs>
                <w:tab w:val="clear" w:pos="480"/>
              </w:tabs>
              <w:topLinePunct/>
              <w:adjustRightInd w:val="0"/>
              <w:snapToGrid w:val="0"/>
              <w:spacing w:line="240" w:lineRule="auto"/>
              <w:ind w:firstLine="0" w:firstLineChars="0"/>
              <w:jc w:val="center"/>
              <w:rPr>
                <w:rFonts w:hint="eastAsia" w:eastAsia="宋体"/>
                <w:kern w:val="0"/>
                <w:sz w:val="21"/>
                <w:szCs w:val="21"/>
                <w:lang w:val="en-US" w:eastAsia="zh-CN"/>
              </w:rPr>
            </w:pPr>
            <w:r>
              <w:rPr>
                <w:rFonts w:hint="eastAsia"/>
                <w:kern w:val="0"/>
                <w:sz w:val="21"/>
                <w:szCs w:val="21"/>
                <w:lang w:val="en-US" w:eastAsia="zh-CN"/>
              </w:rPr>
              <w:t>4</w:t>
            </w:r>
          </w:p>
        </w:tc>
        <w:tc>
          <w:tcPr>
            <w:tcW w:w="493" w:type="pct"/>
            <w:tcBorders>
              <w:top w:val="single" w:color="auto" w:sz="4" w:space="0"/>
              <w:left w:val="single" w:color="auto" w:sz="4" w:space="0"/>
              <w:bottom w:val="single" w:color="auto" w:sz="12"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废铅酸蓄电池</w:t>
            </w:r>
          </w:p>
        </w:tc>
        <w:tc>
          <w:tcPr>
            <w:tcW w:w="428" w:type="pct"/>
            <w:tcBorders>
              <w:top w:val="single" w:color="auto" w:sz="4" w:space="0"/>
              <w:left w:val="single" w:color="auto" w:sz="4" w:space="0"/>
              <w:bottom w:val="single" w:color="auto" w:sz="12"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HW31</w:t>
            </w:r>
          </w:p>
        </w:tc>
        <w:tc>
          <w:tcPr>
            <w:tcW w:w="546" w:type="pct"/>
            <w:tcBorders>
              <w:top w:val="single" w:color="auto" w:sz="4" w:space="0"/>
              <w:left w:val="single" w:color="auto" w:sz="4" w:space="0"/>
              <w:bottom w:val="single" w:color="auto" w:sz="12"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900-052</w:t>
            </w:r>
          </w:p>
          <w:p>
            <w:pPr>
              <w:tabs>
                <w:tab w:val="clear" w:pos="480"/>
              </w:tabs>
              <w:adjustRightInd w:val="0"/>
              <w:spacing w:line="240" w:lineRule="auto"/>
              <w:ind w:firstLine="0" w:firstLineChars="0"/>
              <w:jc w:val="center"/>
              <w:rPr>
                <w:sz w:val="21"/>
                <w:szCs w:val="21"/>
              </w:rPr>
            </w:pPr>
            <w:r>
              <w:rPr>
                <w:sz w:val="21"/>
                <w:szCs w:val="21"/>
              </w:rPr>
              <w:t>-31</w:t>
            </w:r>
          </w:p>
        </w:tc>
        <w:tc>
          <w:tcPr>
            <w:tcW w:w="461" w:type="pct"/>
            <w:tcBorders>
              <w:top w:val="single" w:color="auto" w:sz="4" w:space="0"/>
              <w:left w:val="single" w:color="auto" w:sz="4" w:space="0"/>
              <w:bottom w:val="single" w:color="auto" w:sz="12"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rFonts w:hint="eastAsia"/>
                <w:kern w:val="0"/>
                <w:sz w:val="21"/>
                <w:szCs w:val="21"/>
                <w:lang w:val="en-US" w:eastAsia="zh-CN"/>
              </w:rPr>
              <w:t>220</w:t>
            </w:r>
            <w:r>
              <w:rPr>
                <w:kern w:val="0"/>
                <w:sz w:val="21"/>
                <w:szCs w:val="21"/>
              </w:rPr>
              <w:t>节</w:t>
            </w:r>
          </w:p>
        </w:tc>
        <w:tc>
          <w:tcPr>
            <w:tcW w:w="426" w:type="pct"/>
            <w:tcBorders>
              <w:top w:val="single" w:color="auto" w:sz="4" w:space="0"/>
              <w:left w:val="single" w:color="auto" w:sz="4" w:space="0"/>
              <w:bottom w:val="single" w:color="auto" w:sz="12"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定期更换</w:t>
            </w:r>
          </w:p>
        </w:tc>
        <w:tc>
          <w:tcPr>
            <w:tcW w:w="425" w:type="pct"/>
            <w:tcBorders>
              <w:top w:val="single" w:color="auto" w:sz="4" w:space="0"/>
              <w:left w:val="single" w:color="auto" w:sz="4" w:space="0"/>
              <w:bottom w:val="single" w:color="auto" w:sz="12"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固态</w:t>
            </w:r>
          </w:p>
        </w:tc>
        <w:tc>
          <w:tcPr>
            <w:tcW w:w="348" w:type="pct"/>
            <w:tcBorders>
              <w:top w:val="single" w:color="auto" w:sz="4" w:space="0"/>
              <w:left w:val="single" w:color="auto" w:sz="4" w:space="0"/>
              <w:bottom w:val="single" w:color="auto" w:sz="12"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rFonts w:hint="eastAsia"/>
                <w:kern w:val="0"/>
                <w:sz w:val="21"/>
                <w:szCs w:val="21"/>
              </w:rPr>
              <w:t>-</w:t>
            </w:r>
            <w:r>
              <w:rPr>
                <w:kern w:val="0"/>
                <w:sz w:val="21"/>
                <w:szCs w:val="21"/>
              </w:rPr>
              <w:t>-</w:t>
            </w:r>
          </w:p>
        </w:tc>
        <w:tc>
          <w:tcPr>
            <w:tcW w:w="424" w:type="pct"/>
            <w:tcBorders>
              <w:top w:val="single" w:color="auto" w:sz="4" w:space="0"/>
              <w:left w:val="single" w:color="auto" w:sz="4" w:space="0"/>
              <w:bottom w:val="single" w:color="auto" w:sz="12"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铅、镍</w:t>
            </w:r>
          </w:p>
        </w:tc>
        <w:tc>
          <w:tcPr>
            <w:tcW w:w="389" w:type="pct"/>
            <w:tcBorders>
              <w:top w:val="single" w:color="auto" w:sz="4" w:space="0"/>
              <w:left w:val="single" w:color="auto" w:sz="4" w:space="0"/>
              <w:bottom w:val="single" w:color="auto" w:sz="12"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rFonts w:hint="eastAsia"/>
                <w:kern w:val="0"/>
                <w:sz w:val="21"/>
                <w:szCs w:val="21"/>
                <w:u w:val="none" w:color="auto"/>
                <w:lang w:val="sq-AL"/>
              </w:rPr>
              <w:t>8~10年</w:t>
            </w:r>
          </w:p>
        </w:tc>
        <w:tc>
          <w:tcPr>
            <w:tcW w:w="439" w:type="pct"/>
            <w:tcBorders>
              <w:top w:val="single" w:color="auto" w:sz="4" w:space="0"/>
              <w:left w:val="single" w:color="auto" w:sz="4" w:space="0"/>
              <w:bottom w:val="single" w:color="auto" w:sz="12" w:space="0"/>
              <w:right w:val="single" w:color="auto" w:sz="4" w:space="0"/>
            </w:tcBorders>
            <w:vAlign w:val="center"/>
          </w:tcPr>
          <w:p>
            <w:pPr>
              <w:tabs>
                <w:tab w:val="clear" w:pos="480"/>
              </w:tabs>
              <w:topLinePunct/>
              <w:adjustRightInd w:val="0"/>
              <w:snapToGrid w:val="0"/>
              <w:spacing w:line="240" w:lineRule="auto"/>
              <w:ind w:firstLine="0" w:firstLineChars="0"/>
              <w:jc w:val="center"/>
              <w:rPr>
                <w:kern w:val="0"/>
                <w:sz w:val="21"/>
                <w:szCs w:val="21"/>
              </w:rPr>
            </w:pPr>
            <w:r>
              <w:rPr>
                <w:kern w:val="0"/>
                <w:sz w:val="21"/>
                <w:szCs w:val="21"/>
              </w:rPr>
              <w:t>毒性</w:t>
            </w:r>
          </w:p>
        </w:tc>
        <w:tc>
          <w:tcPr>
            <w:tcW w:w="359" w:type="pct"/>
            <w:vMerge w:val="continue"/>
            <w:tcBorders>
              <w:left w:val="single" w:color="auto" w:sz="4" w:space="0"/>
              <w:bottom w:val="single" w:color="auto" w:sz="12" w:space="0"/>
              <w:right w:val="single" w:color="auto" w:sz="12" w:space="0"/>
            </w:tcBorders>
            <w:vAlign w:val="center"/>
          </w:tcPr>
          <w:p>
            <w:pPr>
              <w:tabs>
                <w:tab w:val="clear" w:pos="480"/>
              </w:tabs>
              <w:topLinePunct/>
              <w:adjustRightInd w:val="0"/>
              <w:snapToGrid w:val="0"/>
              <w:spacing w:line="240" w:lineRule="auto"/>
              <w:ind w:firstLine="0" w:firstLineChars="0"/>
              <w:rPr>
                <w:kern w:val="0"/>
                <w:sz w:val="21"/>
                <w:szCs w:val="21"/>
              </w:rPr>
            </w:pPr>
          </w:p>
        </w:tc>
      </w:tr>
    </w:tbl>
    <w:p>
      <w:pPr>
        <w:spacing w:line="360" w:lineRule="auto"/>
        <w:ind w:left="0" w:leftChars="0" w:firstLine="0" w:firstLineChars="0"/>
        <w:rPr>
          <w:rFonts w:hint="eastAsia"/>
          <w:kern w:val="0"/>
          <w:sz w:val="24"/>
          <w:u w:val="none" w:color="auto"/>
          <w:lang w:val="sq-AL" w:eastAsia="zh-CN"/>
        </w:rPr>
      </w:pPr>
    </w:p>
    <w:p>
      <w:pPr>
        <w:spacing w:line="360" w:lineRule="auto"/>
        <w:ind w:firstLine="481" w:firstLineChars="200"/>
        <w:rPr>
          <w:rFonts w:hint="default" w:ascii="Times New Roman" w:hAnsi="Times New Roman" w:cs="Times New Roman"/>
          <w:b/>
          <w:bCs/>
          <w:sz w:val="24"/>
          <w:u w:val="none" w:color="auto"/>
        </w:rPr>
      </w:pPr>
      <w:r>
        <w:rPr>
          <w:rFonts w:hint="default" w:ascii="Times New Roman" w:hAnsi="Times New Roman" w:cs="Times New Roman"/>
          <w:b/>
          <w:bCs/>
          <w:sz w:val="24"/>
          <w:u w:val="none" w:color="auto"/>
        </w:rPr>
        <w:t>4、电磁辐射</w:t>
      </w:r>
    </w:p>
    <w:p>
      <w:pPr>
        <w:pStyle w:val="3632"/>
        <w:ind w:firstLine="480"/>
        <w:rPr>
          <w:rFonts w:cs="Times New Roman"/>
          <w:color w:val="auto"/>
        </w:rPr>
      </w:pPr>
      <w:r>
        <w:rPr>
          <w:rFonts w:hint="eastAsia" w:hAnsi="宋体" w:cs="Times New Roman"/>
          <w:color w:val="auto"/>
        </w:rPr>
        <w:t>本期工程新建</w:t>
      </w:r>
      <w:r>
        <w:rPr>
          <w:rFonts w:hint="eastAsia" w:hAnsi="宋体" w:cs="Times New Roman"/>
          <w:color w:val="auto"/>
          <w:lang w:val="en-US" w:eastAsia="zh-CN"/>
        </w:rPr>
        <w:t>220</w:t>
      </w:r>
      <w:r>
        <w:rPr>
          <w:rFonts w:hint="eastAsia" w:hAnsi="宋体" w:cs="Times New Roman"/>
          <w:color w:val="auto"/>
          <w:lang w:eastAsia="zh-CN"/>
        </w:rPr>
        <w:t>kV汇集</w:t>
      </w:r>
      <w:r>
        <w:rPr>
          <w:rFonts w:hint="eastAsia" w:hAnsi="宋体" w:cs="Times New Roman"/>
          <w:color w:val="auto"/>
        </w:rPr>
        <w:t>站，风机以35</w:t>
      </w:r>
      <w:r>
        <w:rPr>
          <w:rFonts w:hint="eastAsia" w:hAnsi="宋体" w:cs="Times New Roman"/>
          <w:color w:val="auto"/>
          <w:lang w:eastAsia="zh-CN"/>
        </w:rPr>
        <w:t>kV</w:t>
      </w:r>
      <w:r>
        <w:rPr>
          <w:rFonts w:hint="eastAsia" w:hAnsi="宋体" w:cs="Times New Roman"/>
          <w:color w:val="auto"/>
        </w:rPr>
        <w:t>集电线路接入</w:t>
      </w:r>
      <w:r>
        <w:rPr>
          <w:rFonts w:hint="eastAsia" w:hAnsi="宋体" w:cs="Times New Roman"/>
          <w:color w:val="auto"/>
          <w:lang w:eastAsia="zh-CN"/>
        </w:rPr>
        <w:t>汇集</w:t>
      </w:r>
      <w:r>
        <w:rPr>
          <w:rFonts w:hint="eastAsia" w:hAnsi="宋体" w:cs="Times New Roman"/>
          <w:color w:val="auto"/>
        </w:rPr>
        <w:t>站35</w:t>
      </w:r>
      <w:r>
        <w:rPr>
          <w:rFonts w:hint="eastAsia" w:hAnsi="宋体" w:cs="Times New Roman"/>
          <w:color w:val="auto"/>
          <w:lang w:eastAsia="zh-CN"/>
        </w:rPr>
        <w:t>kV</w:t>
      </w:r>
      <w:r>
        <w:rPr>
          <w:rFonts w:hint="eastAsia" w:hAnsi="宋体" w:cs="Times New Roman"/>
          <w:color w:val="auto"/>
        </w:rPr>
        <w:t>开关柜内。本工程接入系统方案以1回</w:t>
      </w:r>
      <w:r>
        <w:rPr>
          <w:rFonts w:hint="eastAsia" w:hAnsi="宋体" w:cs="Times New Roman"/>
          <w:color w:val="auto"/>
          <w:lang w:val="en-US" w:eastAsia="zh-CN"/>
        </w:rPr>
        <w:t>35</w:t>
      </w:r>
      <w:r>
        <w:rPr>
          <w:rFonts w:hint="eastAsia" w:hAnsi="宋体" w:cs="Times New Roman"/>
          <w:color w:val="auto"/>
          <w:lang w:eastAsia="zh-CN"/>
        </w:rPr>
        <w:t>kV</w:t>
      </w:r>
      <w:r>
        <w:rPr>
          <w:rFonts w:hint="eastAsia" w:hAnsi="宋体" w:cs="Times New Roman"/>
          <w:color w:val="auto"/>
        </w:rPr>
        <w:t>线路接入</w:t>
      </w:r>
      <w:r>
        <w:rPr>
          <w:rFonts w:hint="eastAsia" w:hAnsi="宋体" w:cs="Times New Roman"/>
          <w:color w:val="auto"/>
          <w:lang w:val="en-US" w:eastAsia="zh-CN"/>
        </w:rPr>
        <w:t>220</w:t>
      </w:r>
      <w:r>
        <w:rPr>
          <w:rFonts w:hint="eastAsia" w:hAnsi="宋体" w:cs="Times New Roman"/>
          <w:color w:val="auto"/>
          <w:lang w:eastAsia="zh-CN"/>
        </w:rPr>
        <w:t>kV汇集站</w:t>
      </w:r>
      <w:r>
        <w:rPr>
          <w:rFonts w:hint="eastAsia" w:hAnsi="宋体" w:cs="Times New Roman"/>
          <w:color w:val="auto"/>
        </w:rPr>
        <w:t>。最终方案以接入系统审查意见为准。汇集站主变容量</w:t>
      </w:r>
      <w:r>
        <w:rPr>
          <w:rFonts w:hint="eastAsia" w:hAnsi="宋体" w:cs="Times New Roman"/>
          <w:color w:val="auto"/>
          <w:lang w:val="en-US" w:eastAsia="zh-CN"/>
        </w:rPr>
        <w:t>近期</w:t>
      </w:r>
      <w:r>
        <w:rPr>
          <w:rFonts w:hint="eastAsia" w:hAnsi="宋体" w:cs="Times New Roman"/>
          <w:color w:val="auto"/>
        </w:rPr>
        <w:t>为2×240MVA</w:t>
      </w:r>
      <w:r>
        <w:rPr>
          <w:rFonts w:hint="eastAsia" w:hAnsi="宋体" w:cs="Times New Roman"/>
          <w:color w:val="auto"/>
          <w:lang w:eastAsia="zh-CN"/>
        </w:rPr>
        <w:t>，</w:t>
      </w:r>
      <w:r>
        <w:rPr>
          <w:rFonts w:hint="eastAsia" w:hAnsi="宋体" w:cs="Times New Roman"/>
          <w:color w:val="auto"/>
          <w:lang w:val="en-US" w:eastAsia="zh-CN"/>
        </w:rPr>
        <w:t>远期为3</w:t>
      </w:r>
      <w:r>
        <w:rPr>
          <w:rFonts w:hint="eastAsia" w:hAnsi="宋体" w:cs="Times New Roman"/>
          <w:color w:val="auto"/>
        </w:rPr>
        <w:t>×240MVA，汇集站设有：1回220</w:t>
      </w:r>
      <w:r>
        <w:rPr>
          <w:rFonts w:hint="eastAsia" w:hAnsi="宋体" w:cs="Times New Roman"/>
          <w:color w:val="auto"/>
          <w:lang w:eastAsia="zh-CN"/>
        </w:rPr>
        <w:t>kV</w:t>
      </w:r>
      <w:r>
        <w:rPr>
          <w:rFonts w:hint="eastAsia" w:hAnsi="宋体" w:cs="Times New Roman"/>
          <w:color w:val="auto"/>
        </w:rPr>
        <w:t>至500</w:t>
      </w:r>
      <w:r>
        <w:rPr>
          <w:rFonts w:hint="eastAsia" w:hAnsi="宋体" w:cs="Times New Roman"/>
          <w:color w:val="auto"/>
          <w:lang w:eastAsia="zh-CN"/>
        </w:rPr>
        <w:t>kV</w:t>
      </w:r>
      <w:r>
        <w:rPr>
          <w:rFonts w:hint="eastAsia" w:hAnsi="宋体" w:cs="Times New Roman"/>
          <w:color w:val="auto"/>
        </w:rPr>
        <w:t>紫霞变电站，3回110</w:t>
      </w:r>
      <w:r>
        <w:rPr>
          <w:rFonts w:hint="eastAsia" w:hAnsi="宋体" w:cs="Times New Roman"/>
          <w:color w:val="auto"/>
          <w:lang w:eastAsia="zh-CN"/>
        </w:rPr>
        <w:t>kV</w:t>
      </w:r>
      <w:r>
        <w:rPr>
          <w:rFonts w:hint="eastAsia" w:hAnsi="宋体" w:cs="Times New Roman"/>
          <w:color w:val="auto"/>
        </w:rPr>
        <w:t>出线，1×4回35</w:t>
      </w:r>
      <w:r>
        <w:rPr>
          <w:rFonts w:hint="eastAsia" w:hAnsi="宋体" w:cs="Times New Roman"/>
          <w:color w:val="auto"/>
          <w:lang w:eastAsia="zh-CN"/>
        </w:rPr>
        <w:t>kV</w:t>
      </w:r>
      <w:r>
        <w:rPr>
          <w:rFonts w:hint="eastAsia" w:hAnsi="宋体" w:cs="Times New Roman"/>
          <w:color w:val="auto"/>
        </w:rPr>
        <w:t>出线，均为架空出线。</w:t>
      </w:r>
      <w:r>
        <w:rPr>
          <w:rFonts w:hint="eastAsia"/>
          <w:lang w:val="en-US" w:eastAsia="zh-CN"/>
        </w:rPr>
        <w:t>变更后汇</w:t>
      </w:r>
      <w:r>
        <w:rPr>
          <w:rFonts w:hint="eastAsia" w:ascii="Times New Roman" w:hAnsi="Times New Roman" w:eastAsia="宋体" w:cs="Times New Roman"/>
          <w:lang w:val="en-US" w:eastAsia="zh-CN"/>
        </w:rPr>
        <w:t>集</w:t>
      </w:r>
      <w:r>
        <w:rPr>
          <w:rFonts w:hint="eastAsia" w:ascii="Times New Roman" w:hAnsi="Times New Roman" w:eastAsia="宋体" w:cs="Times New Roman"/>
          <w:lang w:eastAsia="zh-CN"/>
        </w:rPr>
        <w:t>站的</w:t>
      </w:r>
      <w:r>
        <w:rPr>
          <w:rFonts w:hint="eastAsia" w:ascii="Times New Roman" w:hAnsi="Times New Roman" w:eastAsia="宋体" w:cs="Times New Roman"/>
          <w:lang w:val="en-US" w:eastAsia="zh-CN"/>
        </w:rPr>
        <w:t>设备和平面布置不变，和原环评一致，</w:t>
      </w:r>
      <w:r>
        <w:rPr>
          <w:rFonts w:hint="eastAsia" w:cs="Times New Roman"/>
          <w:lang w:val="en-US" w:eastAsia="zh-CN"/>
        </w:rPr>
        <w:t>电磁辐射源强</w:t>
      </w:r>
      <w:r>
        <w:rPr>
          <w:rFonts w:hint="eastAsia" w:ascii="Times New Roman" w:hAnsi="Times New Roman" w:eastAsia="宋体" w:cs="Times New Roman"/>
          <w:lang w:val="en-US" w:eastAsia="zh-CN"/>
        </w:rPr>
        <w:t>不变</w:t>
      </w:r>
      <w:r>
        <w:rPr>
          <w:rFonts w:hint="eastAsia" w:cs="Times New Roman"/>
          <w:lang w:val="en-US" w:eastAsia="zh-CN"/>
        </w:rPr>
        <w:t>。</w:t>
      </w:r>
    </w:p>
    <w:p>
      <w:pPr>
        <w:spacing w:line="360" w:lineRule="auto"/>
        <w:ind w:firstLine="480" w:firstLineChars="200"/>
        <w:rPr>
          <w:color w:val="auto"/>
          <w:sz w:val="24"/>
        </w:rPr>
      </w:pPr>
      <w:r>
        <w:rPr>
          <w:rFonts w:hAnsi="宋体"/>
          <w:color w:val="auto"/>
          <w:sz w:val="24"/>
        </w:rPr>
        <w:t>风</w:t>
      </w:r>
      <w:r>
        <w:rPr>
          <w:rFonts w:ascii="Times New Roman" w:hAnsi="宋体" w:eastAsia="宋体" w:cs="Times New Roman"/>
          <w:color w:val="auto"/>
          <w:sz w:val="24"/>
        </w:rPr>
        <w:t>电场</w:t>
      </w:r>
      <w:r>
        <w:rPr>
          <w:rFonts w:hint="eastAsia" w:ascii="Times New Roman" w:hAnsi="宋体" w:eastAsia="宋体" w:cs="Times New Roman"/>
          <w:color w:val="auto"/>
          <w:sz w:val="24"/>
          <w:lang w:eastAsia="zh-CN"/>
        </w:rPr>
        <w:t>汇集</w:t>
      </w:r>
      <w:r>
        <w:rPr>
          <w:rFonts w:hint="eastAsia" w:ascii="Times New Roman" w:hAnsi="宋体" w:eastAsia="宋体" w:cs="Times New Roman"/>
          <w:color w:val="auto"/>
          <w:sz w:val="24"/>
        </w:rPr>
        <w:t>站</w:t>
      </w:r>
      <w:r>
        <w:rPr>
          <w:rFonts w:ascii="Times New Roman" w:hAnsi="宋体" w:eastAsia="宋体" w:cs="Times New Roman"/>
          <w:color w:val="auto"/>
          <w:sz w:val="24"/>
        </w:rPr>
        <w:t>对</w:t>
      </w:r>
      <w:r>
        <w:rPr>
          <w:rFonts w:hAnsi="宋体"/>
          <w:color w:val="auto"/>
          <w:sz w:val="24"/>
        </w:rPr>
        <w:t>电磁环境的影响主要为工程运营期，输变电设备正常运行时，污染主要是工频电场强度和工频磁感应强度。本工程</w:t>
      </w:r>
      <w:r>
        <w:rPr>
          <w:rFonts w:hint="eastAsia" w:hAnsi="宋体"/>
          <w:color w:val="auto"/>
          <w:sz w:val="24"/>
          <w:lang w:val="en-US" w:eastAsia="zh-CN"/>
        </w:rPr>
        <w:t>电磁</w:t>
      </w:r>
      <w:r>
        <w:rPr>
          <w:rFonts w:hAnsi="宋体"/>
          <w:color w:val="auto"/>
          <w:sz w:val="24"/>
        </w:rPr>
        <w:t>产污过程图如下所示。</w:t>
      </w:r>
    </w:p>
    <w:p>
      <w:pPr>
        <w:spacing w:line="360" w:lineRule="auto"/>
        <w:ind w:left="0" w:leftChars="0" w:firstLine="0" w:firstLineChars="0"/>
        <w:jc w:val="center"/>
        <w:rPr>
          <w:color w:val="auto"/>
          <w:sz w:val="24"/>
        </w:rPr>
      </w:pPr>
      <w:r>
        <w:rPr>
          <w:color w:val="auto"/>
        </w:rPr>
        <w:drawing>
          <wp:inline distT="0" distB="0" distL="114300" distR="114300">
            <wp:extent cx="5536565" cy="2462530"/>
            <wp:effectExtent l="0" t="0" r="6985" b="13970"/>
            <wp:docPr id="7"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true"/>
                    </pic:cNvPicPr>
                  </pic:nvPicPr>
                  <pic:blipFill>
                    <a:blip r:embed="rId36"/>
                    <a:stretch>
                      <a:fillRect/>
                    </a:stretch>
                  </pic:blipFill>
                  <pic:spPr>
                    <a:xfrm>
                      <a:off x="0" y="0"/>
                      <a:ext cx="5536565" cy="2462530"/>
                    </a:xfrm>
                    <a:prstGeom prst="rect">
                      <a:avLst/>
                    </a:prstGeom>
                    <a:noFill/>
                    <a:ln>
                      <a:noFill/>
                    </a:ln>
                  </pic:spPr>
                </pic:pic>
              </a:graphicData>
            </a:graphic>
          </wp:inline>
        </w:drawing>
      </w:r>
    </w:p>
    <w:p>
      <w:pPr>
        <w:pStyle w:val="74"/>
        <w:ind w:left="240" w:leftChars="0" w:firstLine="0" w:firstLineChars="0"/>
        <w:jc w:val="center"/>
        <w:rPr>
          <w:rFonts w:hint="default"/>
          <w:sz w:val="21"/>
          <w:szCs w:val="21"/>
        </w:rPr>
      </w:pPr>
      <w:r>
        <w:rPr>
          <w:rFonts w:hAnsi="宋体"/>
          <w:b/>
          <w:color w:val="auto"/>
          <w:sz w:val="21"/>
          <w:szCs w:val="21"/>
        </w:rPr>
        <w:t>图</w:t>
      </w:r>
      <w:r>
        <w:rPr>
          <w:rFonts w:hint="eastAsia" w:hAnsi="宋体"/>
          <w:b/>
          <w:color w:val="auto"/>
          <w:sz w:val="21"/>
          <w:szCs w:val="21"/>
          <w:lang w:val="en-US" w:eastAsia="zh-CN"/>
        </w:rPr>
        <w:t>2-</w:t>
      </w:r>
      <w:r>
        <w:rPr>
          <w:rFonts w:hint="eastAsia"/>
          <w:b/>
          <w:color w:val="auto"/>
          <w:sz w:val="21"/>
          <w:szCs w:val="21"/>
          <w:lang w:val="en-US" w:eastAsia="zh-CN"/>
        </w:rPr>
        <w:t xml:space="preserve">5  </w:t>
      </w:r>
      <w:r>
        <w:rPr>
          <w:rFonts w:hint="eastAsia" w:hAnsi="宋体"/>
          <w:b/>
          <w:color w:val="auto"/>
          <w:sz w:val="21"/>
          <w:szCs w:val="21"/>
          <w:lang w:val="en-US" w:eastAsia="zh-CN"/>
        </w:rPr>
        <w:t>电磁</w:t>
      </w:r>
      <w:r>
        <w:rPr>
          <w:rFonts w:hAnsi="宋体"/>
          <w:b/>
          <w:color w:val="auto"/>
          <w:sz w:val="21"/>
          <w:szCs w:val="21"/>
        </w:rPr>
        <w:t>产污过程图</w:t>
      </w:r>
    </w:p>
    <w:p>
      <w:pPr>
        <w:rPr>
          <w:rFonts w:hint="default" w:ascii="Times New Roman" w:hAnsi="Times New Roman" w:cs="Times New Roman"/>
          <w:kern w:val="0"/>
          <w:sz w:val="24"/>
          <w:u w:val="none" w:color="auto"/>
        </w:rPr>
      </w:pPr>
      <w:r>
        <w:rPr>
          <w:rFonts w:hint="default" w:ascii="Times New Roman" w:hAnsi="Times New Roman" w:cs="Times New Roman"/>
          <w:kern w:val="0"/>
          <w:sz w:val="24"/>
          <w:u w:val="none" w:color="auto"/>
        </w:rPr>
        <w:br w:type="page"/>
      </w:r>
    </w:p>
    <w:bookmarkEnd w:id="27"/>
    <w:bookmarkEnd w:id="28"/>
    <w:bookmarkEnd w:id="29"/>
    <w:bookmarkEnd w:id="30"/>
    <w:bookmarkEnd w:id="31"/>
    <w:bookmarkEnd w:id="32"/>
    <w:bookmarkEnd w:id="33"/>
    <w:p>
      <w:pPr>
        <w:pStyle w:val="461"/>
        <w:bidi w:val="0"/>
      </w:pPr>
      <w:bookmarkStart w:id="58" w:name="_Toc69118337"/>
      <w:r>
        <w:t xml:space="preserve">  </w:t>
      </w:r>
      <w:bookmarkEnd w:id="58"/>
      <w:bookmarkStart w:id="59" w:name="_Toc28607"/>
      <w:bookmarkStart w:id="60" w:name="_Toc401255954"/>
      <w:r>
        <w:t>环境现状调查与评价</w:t>
      </w:r>
      <w:bookmarkEnd w:id="59"/>
      <w:bookmarkEnd w:id="60"/>
    </w:p>
    <w:p>
      <w:pPr>
        <w:pStyle w:val="457"/>
        <w:ind w:firstLine="643"/>
        <w:rPr>
          <w:rFonts w:ascii="Times New Roman" w:cs="Times New Roman"/>
          <w:color w:val="000000" w:themeColor="text1"/>
          <w:u w:val="none" w:color="auto"/>
          <w14:textFill>
            <w14:solidFill>
              <w14:schemeClr w14:val="tx1"/>
            </w14:solidFill>
          </w14:textFill>
        </w:rPr>
      </w:pPr>
      <w:bookmarkStart w:id="61" w:name="_Toc1799"/>
      <w:bookmarkStart w:id="62" w:name="_Toc401255955"/>
      <w:r>
        <w:rPr>
          <w:rFonts w:ascii="Times New Roman" w:cs="Times New Roman"/>
          <w:color w:val="000000" w:themeColor="text1"/>
          <w:u w:val="none" w:color="auto"/>
          <w14:textFill>
            <w14:solidFill>
              <w14:schemeClr w14:val="tx1"/>
            </w14:solidFill>
          </w14:textFill>
        </w:rPr>
        <w:t>自然环境概况</w:t>
      </w:r>
      <w:bookmarkEnd w:id="61"/>
      <w:bookmarkEnd w:id="62"/>
    </w:p>
    <w:p>
      <w:pPr>
        <w:pStyle w:val="458"/>
        <w:ind w:firstLine="602"/>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地理位置</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蓝山县位于湖南省南部边陲，南岭山脉中段北侧，有“楚尾粤头”之称， 是湘西南通往广东沿海地区的重要门户。蓝山地处九嶷山东麓， 地势由西 南向东北倾斜，境内山、丘、岗、平区相互交错，以山地为主，是典型的 山区县。蓝山县东与郴州临武接壤，南与江华瑶族自治县、广东省连州市 毗邻，西与宁远县交界，北接嘉禾县，从县城沿永连公路南行 33km 及至 广东省界。蓝山县北上长沙 420km，南下广州 320km，省道 322 、216、314 线交汇相通。</w:t>
      </w:r>
    </w:p>
    <w:p>
      <w:pPr>
        <w:ind w:firstLine="480"/>
        <w:rPr>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本风电场位于湖南省永州市蓝山县境内，距蓝山县城区里程约为 12km，距永州市城区公路里程约为 171km。</w:t>
      </w:r>
    </w:p>
    <w:p>
      <w:pPr>
        <w:pStyle w:val="458"/>
        <w:ind w:firstLine="602"/>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地形地貌</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永州市地貌类型复杂，以丘岗山地为主。全市地貌类型发育，在历 次构造运动、岩浆侵入以及地表水的长期风化剥蚀下，形成了以山丘地为主体，丘、岗、平俱全的复杂多样的地貌类型。全市有中山、中低山、低山总面积 11044km</w:t>
      </w:r>
      <w:r>
        <w:rPr>
          <w:rFonts w:hint="eastAsia"/>
          <w:color w:val="000000" w:themeColor="text1"/>
          <w:u w:val="none" w:color="auto"/>
          <w:vertAlign w:val="superscript"/>
          <w14:textFill>
            <w14:solidFill>
              <w14:schemeClr w14:val="tx1"/>
            </w14:solidFill>
          </w14:textFill>
        </w:rPr>
        <w:t>2</w:t>
      </w:r>
      <w:r>
        <w:rPr>
          <w:rFonts w:hint="eastAsia"/>
          <w:color w:val="000000" w:themeColor="text1"/>
          <w:u w:val="none" w:color="auto"/>
          <w14:textFill>
            <w14:solidFill>
              <w14:schemeClr w14:val="tx1"/>
            </w14:solidFill>
          </w14:textFill>
        </w:rPr>
        <w:t>，占全市总面积的 49.5%。丘陵3242km</w:t>
      </w:r>
      <w:r>
        <w:rPr>
          <w:rFonts w:hint="eastAsia"/>
          <w:color w:val="000000" w:themeColor="text1"/>
          <w:u w:val="none" w:color="auto"/>
          <w:vertAlign w:val="superscript"/>
          <w14:textFill>
            <w14:solidFill>
              <w14:schemeClr w14:val="tx1"/>
            </w14:solidFill>
          </w14:textFill>
        </w:rPr>
        <w:t>2</w:t>
      </w:r>
      <w:r>
        <w:rPr>
          <w:rFonts w:hint="eastAsia"/>
          <w:color w:val="000000" w:themeColor="text1"/>
          <w:u w:val="none" w:color="auto"/>
          <w14:textFill>
            <w14:solidFill>
              <w14:schemeClr w14:val="tx1"/>
            </w14:solidFill>
          </w14:textFill>
        </w:rPr>
        <w:t>，岗地 3979km</w:t>
      </w:r>
      <w:r>
        <w:rPr>
          <w:rFonts w:hint="eastAsia"/>
          <w:color w:val="000000" w:themeColor="text1"/>
          <w:u w:val="none" w:color="auto"/>
          <w:vertAlign w:val="superscript"/>
          <w14:textFill>
            <w14:solidFill>
              <w14:schemeClr w14:val="tx1"/>
            </w14:solidFill>
          </w14:textFill>
        </w:rPr>
        <w:t>2</w:t>
      </w:r>
      <w:r>
        <w:rPr>
          <w:rFonts w:hint="eastAsia"/>
          <w:color w:val="000000" w:themeColor="text1"/>
          <w:u w:val="none" w:color="auto"/>
          <w14:textFill>
            <w14:solidFill>
              <w14:schemeClr w14:val="tx1"/>
            </w14:solidFill>
          </w14:textFill>
        </w:rPr>
        <w:t>，平原 3191km</w:t>
      </w:r>
      <w:r>
        <w:rPr>
          <w:rFonts w:hint="eastAsia"/>
          <w:color w:val="000000" w:themeColor="text1"/>
          <w:u w:val="none" w:color="auto"/>
          <w:vertAlign w:val="superscript"/>
          <w14:textFill>
            <w14:solidFill>
              <w14:schemeClr w14:val="tx1"/>
            </w14:solidFill>
          </w14:textFill>
        </w:rPr>
        <w:t>2</w:t>
      </w:r>
      <w:r>
        <w:rPr>
          <w:rFonts w:hint="eastAsia"/>
          <w:color w:val="000000" w:themeColor="text1"/>
          <w:u w:val="none" w:color="auto"/>
          <w14:textFill>
            <w14:solidFill>
              <w14:schemeClr w14:val="tx1"/>
            </w14:solidFill>
          </w14:textFill>
        </w:rPr>
        <w:t>，水面 880km</w:t>
      </w:r>
      <w:r>
        <w:rPr>
          <w:rFonts w:hint="eastAsia"/>
          <w:color w:val="000000" w:themeColor="text1"/>
          <w:u w:val="none" w:color="auto"/>
          <w:vertAlign w:val="superscript"/>
          <w14:textFill>
            <w14:solidFill>
              <w14:schemeClr w14:val="tx1"/>
            </w14:solidFill>
          </w14:textFill>
        </w:rPr>
        <w:t>2</w:t>
      </w:r>
      <w:r>
        <w:rPr>
          <w:rFonts w:hint="eastAsia"/>
          <w:color w:val="000000" w:themeColor="text1"/>
          <w:u w:val="none" w:color="auto"/>
          <w14:textFill>
            <w14:solidFill>
              <w14:schemeClr w14:val="tx1"/>
            </w14:solidFill>
          </w14:textFill>
        </w:rPr>
        <w:t>，分别占总面积的 14.5%、17.81%、 14.29%和 3.94%。</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蓝山县复杂的地质地貌、肥沃的土壤、温湿的气候，赋予了蓝山秀丽的山光水色和丰富的自然资源。蓝山地处九嶷山东麓，地势由西南向东北倾斜，境内山、丘、岗、平区相互交错，以山地为主，是典型的山区县。</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场址区地形地貌受构造和岩性控制，山势总体走向呈北西向，山顶(脊) 高程 1200.00m ～ 1620.00m，属中低山地形地貌类型。地形坡度一般为 15°~35°,局部大于 45°。山顶(脊)主要为灌木丛、竹林、杂草等，植被 覆盖率较高。坡脚主要为耕地、水田及村庄。</w:t>
      </w:r>
    </w:p>
    <w:p>
      <w:pPr>
        <w:pStyle w:val="458"/>
        <w:ind w:firstLine="602"/>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地质</w:t>
      </w:r>
      <w:r>
        <w:rPr>
          <w:rFonts w:hint="eastAsia"/>
          <w:color w:val="000000" w:themeColor="text1"/>
          <w:u w:val="none" w:color="auto"/>
          <w:lang w:eastAsia="zh-CN"/>
          <w14:textFill>
            <w14:solidFill>
              <w14:schemeClr w14:val="tx1"/>
            </w14:solidFill>
          </w14:textFill>
        </w:rPr>
        <w:t>构造与</w:t>
      </w:r>
      <w:r>
        <w:rPr>
          <w:color w:val="000000" w:themeColor="text1"/>
          <w:u w:val="none" w:color="auto"/>
          <w14:textFill>
            <w14:solidFill>
              <w14:schemeClr w14:val="tx1"/>
            </w14:solidFill>
          </w14:textFill>
        </w:rPr>
        <w:t>地震</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从大地构造基本特征来看， 区域大地构造部位于湘粤边界，南岭东 西复杂构造带、湘南经向构造带及华夏系、新华夏系等构造的交界处。 历经了早加里东以来的长期复杂活动，地质构造形变错综复杂。根据构 造形态在空间展布的总体特征，本区域以临武—西江南北一线划分为东 西 2 个构造分区。东区为宏大的北北东褶皱断裂带，西区北部为经向构 造纵贯，西区南部为山字形西翼反射弧。岩浆活动主要为酸性、中酸性 侵入岩和火山喷溢岩。本风电场场地位于西区北部构造分区。</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区域内岩性为寒武系(Є2)长石石英砂岩、石英砂岩。</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场区及周边分布有成沙源复背斜和朝阳庵断裂。</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成沙源复背斜-褶皱轴向北东东-东西，略呈波曲。两翼产状陡耸，倾 角 60°~80°。直立对称褶皱，两翼为次级背斜褶皱所复杂化，总体呈 狭窄紧密线状。该褶皱从场址中部位臵通过。</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朝阳庵断裂-断裂走向北北东略呈燕行排列，倾角颇陡约70°。主断 裂经过之处造成宽 1m ～ 3.5m  不等的花岗糜棱岩带，压碎颗粒经压扁拉 长，成定向排列。主断裂两侧大多见花岗岩压碎现象，断裂带常发生很 强的蚀变现象，如硅化和云英岩化。主断裂派生的低序次构造有北东东 向扭破裂，北北西向一组不甚发育 。断裂延长约 15km ～20km。</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根据《中国地震动参数区划图》(GB18306 -2015)表 c1.6，本工程场 区在Ⅱ类场地条件下基本地震动峰值加速度为 0.05g，基本地震动加速度 反应谱特征周期为 0.35s，相应地震基本烈度为Ⅵ度。</w:t>
      </w:r>
    </w:p>
    <w:p>
      <w:pPr>
        <w:pStyle w:val="458"/>
        <w:ind w:firstLine="602"/>
        <w:rPr>
          <w:color w:val="000000" w:themeColor="text1"/>
          <w:u w:val="none" w:color="auto"/>
          <w14:textFill>
            <w14:solidFill>
              <w14:schemeClr w14:val="tx1"/>
            </w14:solidFill>
          </w14:textFill>
        </w:rPr>
      </w:pPr>
      <w:r>
        <w:rPr>
          <w:color w:val="000000" w:themeColor="text1"/>
          <w:u w:val="none" w:color="auto"/>
          <w14:textFill>
            <w14:solidFill>
              <w14:schemeClr w14:val="tx1"/>
            </w14:solidFill>
          </w14:textFill>
        </w:rPr>
        <w:t>气象气候</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永州地区所处地理位置属温、热带结合部，加之独特的地形地貌，形成境内气候温和、雨量充沛、土地肥沃、物产丰富的亚热带气温条件，既具温光丰富的大陆性季风气候特点，又有雨量充沛、空气湿润的海洋性气候特征。</w:t>
      </w:r>
    </w:p>
    <w:p>
      <w:pPr>
        <w:ind w:firstLine="480"/>
        <w:rPr>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蓝山地处中亚热带季风湿润气候区，热量丰富，生长季长，但春秋两寒明显；年日照多，但春季日照少，南部山区更少；地貌复杂，气候多样，垂直和地域差异大，小气候明显；春湿、大风、暴雨、洪涝、火南风、干旱、冰冻、每年均有发生，局部地区冰雹危害较大。年平均气温为18.1℃，年极端最高气温为39.0℃，日最低气温为-6.5℃；雨量丰沛，但分布不均，多年平均降雨量为1581.2mm，降雨量最多达到了2376.7mm，最少为1138.8mm；光照充足，年日照时数达到1500h以上。</w:t>
      </w:r>
    </w:p>
    <w:p>
      <w:pPr>
        <w:pStyle w:val="458"/>
        <w:ind w:firstLine="602"/>
        <w:rPr>
          <w:color w:val="000000" w:themeColor="text1"/>
          <w:u w:val="none" w:color="auto"/>
          <w14:textFill>
            <w14:solidFill>
              <w14:schemeClr w14:val="tx1"/>
            </w14:solidFill>
          </w14:textFill>
        </w:rPr>
      </w:pPr>
      <w:bookmarkStart w:id="63" w:name="_Toc226195373"/>
      <w:bookmarkStart w:id="64" w:name="_Toc161497121"/>
      <w:bookmarkStart w:id="65" w:name="_Toc224639020"/>
      <w:r>
        <w:rPr>
          <w:color w:val="000000" w:themeColor="text1"/>
          <w:u w:val="none" w:color="auto"/>
          <w14:textFill>
            <w14:solidFill>
              <w14:schemeClr w14:val="tx1"/>
            </w14:solidFill>
          </w14:textFill>
        </w:rPr>
        <w:t>水文</w:t>
      </w:r>
      <w:bookmarkEnd w:id="63"/>
      <w:bookmarkEnd w:id="64"/>
      <w:bookmarkEnd w:id="65"/>
      <w:r>
        <w:rPr>
          <w:color w:val="000000" w:themeColor="text1"/>
          <w:u w:val="none" w:color="auto"/>
          <w14:textFill>
            <w14:solidFill>
              <w14:schemeClr w14:val="tx1"/>
            </w14:solidFill>
          </w14:textFill>
        </w:rPr>
        <w:t>水系</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蓝山县是舂陵水及湘水主要发源地。地跨长江、珠江两大流域；河流较多，主要属长江流域湘江水系。5千米以上河流67条，总长度849.5千米，其中流域面积在50平方千米以上的有12条。河川年平均径流量18.57亿立方米。有地下河3条，泉井1366处。地下河及泉井年排泄量约3024万立方米，占每年大气降雨天然补给量3.38亿立方米的9.2%。</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工程所在区域属于湘江流域，为湘江支流舂陵水支流钟水</w:t>
      </w:r>
      <w:r>
        <w:rPr>
          <w:rFonts w:hint="eastAsia"/>
          <w:color w:val="000000" w:themeColor="text1"/>
          <w:u w:val="none" w:color="auto"/>
          <w:lang w:val="en-US" w:eastAsia="zh-CN"/>
          <w14:textFill>
            <w14:solidFill>
              <w14:schemeClr w14:val="tx1"/>
            </w14:solidFill>
          </w14:textFill>
        </w:rPr>
        <w:t>支流舜</w:t>
      </w:r>
      <w:r>
        <w:rPr>
          <w:rFonts w:hint="eastAsia"/>
          <w:color w:val="000000" w:themeColor="text1"/>
          <w:u w:val="none" w:color="auto"/>
          <w14:textFill>
            <w14:solidFill>
              <w14:schemeClr w14:val="tx1"/>
            </w14:solidFill>
          </w14:textFill>
        </w:rPr>
        <w:t>水区域，项目区地表短浅冲沟较发育，区域植被覆盖率高，水量较充沛。工程建设区域内无大型地表河流通过，多为溪流及水塘。</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舜水，又名岿水，是位于湖南省蓝山县境内的河流，系湘江支流一舂陵水的主要源头。发源于所城镇人形山麓。由南向北，流经所城、塔峰、毛俊三个乡镇，在毛俊镇井湾村的两河口与俊水汇合流入钟水。沿途有横江水、罗家洞水、沙坪水、紫良源水、高良源水、仙姑岩水、团园水、上洞水、锡坑水、排田水、都漯庙水、流沙河水、英溪水、朦溪水等注入。全长53 公里，流域面积486平方公里。传为舜帝南巡沿河经过之地，因名“舜水”。</w:t>
      </w:r>
    </w:p>
    <w:p>
      <w:pPr>
        <w:pStyle w:val="458"/>
        <w:ind w:firstLine="602"/>
        <w:rPr>
          <w:color w:val="000000" w:themeColor="text1"/>
          <w:u w:val="none" w:color="auto"/>
          <w14:textFill>
            <w14:solidFill>
              <w14:schemeClr w14:val="tx1"/>
            </w14:solidFill>
          </w14:textFill>
        </w:rPr>
      </w:pPr>
      <w:r>
        <w:rPr>
          <w:rFonts w:hint="eastAsia"/>
          <w:color w:val="000000" w:themeColor="text1"/>
          <w:u w:val="none" w:color="auto"/>
          <w:lang w:val="en-US" w:eastAsia="zh-CN"/>
          <w14:textFill>
            <w14:solidFill>
              <w14:schemeClr w14:val="tx1"/>
            </w14:solidFill>
          </w14:textFill>
        </w:rPr>
        <w:t>土壤</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蓝山县的土壤类型比较复杂，全县全市共分布有棕黄土、红壤、紫色土、潮土、水稻土五种土壤俱备，包括10 个亚类，20 个土属，71 个土种。土壤类型以棕黄土为主。土壤厚度一般0.4～2.0m。项目区成土母质主要为第四系的褐黄或棕黄色粘土、粉质粘土，表层土厚为30cm，土壤质地较好，有机质含量较高，但抗蚀和抗冲性能差，土壤主要为棕黄土壤。经调查，项目区土壤厚度一般0.4～2.0m，项目区表土厚度为0.1~0.3m。项目区表土资源厚薄极不均匀，部分区域基岩裸露，无可剥离表土，山顶表土厚度为0.1m~0.2m（沿山脊布置的道路及风机区域表土平均厚度为0.1m，弃渣场区表土平均厚度0.20m）。表土随着海拔降低逐渐增加，山脚表土厚度约0.2m~0.3m（其中道路区域表土平均厚度为0.20m，施工生产生活区表土平均厚度为0.30m）。经现场调查以及综合取样、分析，本项目区可剥离的表土资源总量约为4万m</w:t>
      </w:r>
      <w:r>
        <w:rPr>
          <w:rFonts w:hint="eastAsia"/>
          <w:color w:val="000000" w:themeColor="text1"/>
          <w:u w:val="none" w:color="auto"/>
          <w:vertAlign w:val="superscript"/>
          <w14:textFill>
            <w14:solidFill>
              <w14:schemeClr w14:val="tx1"/>
            </w14:solidFill>
          </w14:textFill>
        </w:rPr>
        <w:t>3</w:t>
      </w:r>
      <w:r>
        <w:rPr>
          <w:rFonts w:hint="eastAsia"/>
          <w:color w:val="000000" w:themeColor="text1"/>
          <w:u w:val="none" w:color="auto"/>
          <w14:textFill>
            <w14:solidFill>
              <w14:schemeClr w14:val="tx1"/>
            </w14:solidFill>
          </w14:textFill>
        </w:rPr>
        <w:t>。</w:t>
      </w:r>
    </w:p>
    <w:p>
      <w:pPr>
        <w:pStyle w:val="458"/>
        <w:ind w:firstLine="602"/>
        <w:rPr>
          <w:rFonts w:hint="eastAsia"/>
          <w:color w:val="000000" w:themeColor="text1"/>
          <w:u w:val="none" w:color="auto"/>
          <w:lang w:val="en-US" w:eastAsia="zh-CN"/>
          <w14:textFill>
            <w14:solidFill>
              <w14:schemeClr w14:val="tx1"/>
            </w14:solidFill>
          </w14:textFill>
        </w:rPr>
      </w:pPr>
      <w:r>
        <w:rPr>
          <w:rFonts w:hint="eastAsia"/>
          <w:color w:val="000000" w:themeColor="text1"/>
          <w:u w:val="none" w:color="auto"/>
          <w:lang w:val="en-US" w:eastAsia="zh-CN"/>
          <w14:textFill>
            <w14:solidFill>
              <w14:schemeClr w14:val="tx1"/>
            </w14:solidFill>
          </w14:textFill>
        </w:rPr>
        <w:t>植被</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蓝山县植被系我国北方暖温带落叶林与南方中亚热带常绿阔叶林的过渡类型，原生植被比较完整，建群植物兼具常绿和落叶的各种树种。随着农业结构不断改革，油茶、松、杉、柑、柚等现代人工次生群落迅速发展，构成新的常绿阔叶和针叶混交、常绿阔叶和落叶混交林带。海拔1300m以上的高寒山顶部，局部出现高山灌丛和草地；海拔900m以上，常绿落叶、阔叶混交林带和针阔混交林带，有长苞铁杉、福建柏、白克木、粤松、红豆杉等；海拔400m- 900m常绿阔叶混交林带有红锥、甜槠、白檀、檵木、荚蒾等；海拔400m以下低山丘陵带和房前屋后有油茶、马尾松、杉木、板栗、果木及其他经济林群落。</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项目所在区域的陆生自然植被以樟科、壳斗科、山茶科、山矾科、冬青科和禾本科植物为主，湿生和水生自然植被以杨柳科、胡桃科、桑科、禾本科、莎草科、菊科、蓼科、睡莲科、香蒲科等植物为主。项目区主要植物种类有高山杜鹃、南烛、乌饭灰木、滇白珠、银木荷、水青岗，人工植被主要有杉木林、马尾松林、国外松林、油茶林、柑桔林等等。风电场区坡顶主要为灌木丛，半山腰及山坡为灌木丛与乔木林，植被覆盖率达95 %以上。</w:t>
      </w:r>
    </w:p>
    <w:p>
      <w:pPr>
        <w:pStyle w:val="457"/>
        <w:ind w:firstLine="643"/>
        <w:rPr>
          <w:rFonts w:ascii="Times New Roman" w:cs="Times New Roman"/>
          <w:color w:val="000000" w:themeColor="text1"/>
          <w:u w:val="none" w:color="auto"/>
          <w14:textFill>
            <w14:solidFill>
              <w14:schemeClr w14:val="tx1"/>
            </w14:solidFill>
          </w14:textFill>
        </w:rPr>
      </w:pPr>
      <w:bookmarkStart w:id="66" w:name="_Toc21866"/>
      <w:bookmarkStart w:id="67" w:name="_Toc150492093"/>
      <w:bookmarkStart w:id="68" w:name="_Toc401255959"/>
      <w:bookmarkStart w:id="69" w:name="_Toc323193703"/>
      <w:bookmarkStart w:id="70" w:name="_Toc12959343"/>
      <w:bookmarkStart w:id="71" w:name="_Toc13308086"/>
      <w:bookmarkStart w:id="72" w:name="_Toc401255958"/>
      <w:bookmarkStart w:id="73" w:name="_Toc69118342"/>
      <w:r>
        <w:rPr>
          <w:rFonts w:ascii="Times New Roman" w:cs="Times New Roman"/>
          <w:color w:val="000000" w:themeColor="text1"/>
          <w:u w:val="none" w:color="auto"/>
          <w14:textFill>
            <w14:solidFill>
              <w14:schemeClr w14:val="tx1"/>
            </w14:solidFill>
          </w14:textFill>
        </w:rPr>
        <w:t>区域污染源调查</w:t>
      </w:r>
      <w:bookmarkEnd w:id="66"/>
    </w:p>
    <w:p>
      <w:pPr>
        <w:ind w:firstLine="480"/>
        <w:rPr>
          <w:rFonts w:hint="eastAsia"/>
          <w:u w:val="none" w:color="auto"/>
        </w:rPr>
      </w:pPr>
      <w:r>
        <w:rPr>
          <w:rFonts w:hint="default" w:ascii="Times New Roman" w:hAnsi="Times New Roman" w:cs="Times New Roman"/>
          <w:sz w:val="24"/>
          <w:u w:val="none" w:color="auto"/>
        </w:rPr>
        <w:t>项目评价区域内无大中型工业企业，水环境主要污染源为区域内农业面源污染及农村排放的生活污水。</w:t>
      </w:r>
      <w:r>
        <w:rPr>
          <w:color w:val="000000" w:themeColor="text1"/>
          <w:u w:val="none" w:color="auto"/>
          <w14:textFill>
            <w14:solidFill>
              <w14:schemeClr w14:val="tx1"/>
            </w14:solidFill>
          </w14:textFill>
        </w:rPr>
        <w:t>评价区域</w:t>
      </w:r>
      <w:r>
        <w:rPr>
          <w:rFonts w:hint="eastAsia" w:ascii="Times New Roman" w:hAnsi="Times New Roman" w:cs="Times New Roman"/>
          <w:sz w:val="24"/>
          <w:u w:val="none" w:color="auto"/>
          <w:lang w:eastAsia="zh-CN"/>
        </w:rPr>
        <w:t>有</w:t>
      </w:r>
      <w:r>
        <w:rPr>
          <w:color w:val="000000" w:themeColor="text1"/>
          <w:u w:val="none" w:color="auto"/>
          <w14:textFill>
            <w14:solidFill>
              <w14:schemeClr w14:val="tx1"/>
            </w14:solidFill>
          </w14:textFill>
        </w:rPr>
        <w:t>分散式畜禽养殖污染源。</w:t>
      </w:r>
    </w:p>
    <w:p>
      <w:pPr>
        <w:pStyle w:val="457"/>
        <w:ind w:firstLine="643"/>
        <w:rPr>
          <w:rFonts w:ascii="Times New Roman" w:cs="Times New Roman"/>
          <w:color w:val="000000" w:themeColor="text1"/>
          <w:u w:val="none" w:color="auto"/>
          <w14:textFill>
            <w14:solidFill>
              <w14:schemeClr w14:val="tx1"/>
            </w14:solidFill>
          </w14:textFill>
        </w:rPr>
      </w:pPr>
      <w:bookmarkStart w:id="74" w:name="_Toc24257"/>
      <w:r>
        <w:rPr>
          <w:rFonts w:hint="eastAsia" w:ascii="Times New Roman" w:cs="Times New Roman"/>
          <w:color w:val="000000" w:themeColor="text1"/>
          <w:u w:val="none" w:color="auto"/>
          <w:lang w:eastAsia="zh-CN"/>
          <w14:textFill>
            <w14:solidFill>
              <w14:schemeClr w14:val="tx1"/>
            </w14:solidFill>
          </w14:textFill>
        </w:rPr>
        <w:t>环境质量现状调查与评价</w:t>
      </w:r>
      <w:bookmarkEnd w:id="74"/>
    </w:p>
    <w:p>
      <w:pPr>
        <w:pStyle w:val="458"/>
        <w:ind w:firstLine="602"/>
        <w:rPr>
          <w:rFonts w:ascii="Times New Roman" w:hAnsi="Times New Roman" w:eastAsia="宋体" w:cs="Times New Roman"/>
          <w:color w:val="000000" w:themeColor="text1"/>
          <w:u w:val="none" w:color="auto"/>
          <w14:textFill>
            <w14:solidFill>
              <w14:schemeClr w14:val="tx1"/>
            </w14:solidFill>
          </w14:textFill>
        </w:rPr>
      </w:pPr>
      <w:r>
        <w:rPr>
          <w:rFonts w:ascii="Times New Roman" w:hAnsi="Times New Roman" w:eastAsia="宋体" w:cs="Times New Roman"/>
          <w:color w:val="000000" w:themeColor="text1"/>
          <w:u w:val="none" w:color="auto"/>
          <w14:textFill>
            <w14:solidFill>
              <w14:schemeClr w14:val="tx1"/>
            </w14:solidFill>
          </w14:textFill>
        </w:rPr>
        <w:t>地表水环境现状调查与评价</w:t>
      </w:r>
    </w:p>
    <w:p>
      <w:pPr>
        <w:ind w:firstLine="480"/>
      </w:pPr>
      <w:r>
        <w:rPr>
          <w:rFonts w:hint="eastAsia"/>
        </w:rPr>
        <w:t>为了解该项目所在区域地表水环境质量现状，本次地表水环境质量现状调查采用永州市生态环境局</w:t>
      </w:r>
      <w:r>
        <w:rPr>
          <w:rFonts w:hint="eastAsia"/>
          <w:lang w:val="en-US" w:eastAsia="zh-CN"/>
        </w:rPr>
        <w:t>蓝山分局</w:t>
      </w:r>
      <w:r>
        <w:rPr>
          <w:rFonts w:hint="eastAsia"/>
        </w:rPr>
        <w:t>公布的202</w:t>
      </w:r>
      <w:r>
        <w:rPr>
          <w:rFonts w:hint="eastAsia"/>
          <w:lang w:val="en-US" w:eastAsia="zh-CN"/>
        </w:rPr>
        <w:t>4</w:t>
      </w:r>
      <w:r>
        <w:rPr>
          <w:rFonts w:hint="eastAsia"/>
        </w:rPr>
        <w:t>年</w:t>
      </w:r>
      <w:r>
        <w:rPr>
          <w:rFonts w:hint="eastAsia"/>
          <w:lang w:val="en-US" w:eastAsia="zh-CN"/>
        </w:rPr>
        <w:t>蓝山县环境质量简报</w:t>
      </w:r>
      <w:r>
        <w:rPr>
          <w:rFonts w:hint="eastAsia"/>
        </w:rPr>
        <w:t>中的结论，监测结果详见下表：</w:t>
      </w:r>
    </w:p>
    <w:p>
      <w:pPr>
        <w:pStyle w:val="3587"/>
        <w:bidi w:val="0"/>
        <w:rPr>
          <w:rFonts w:hint="eastAsia" w:ascii="Times New Roman" w:hAnsi="Times New Roman"/>
          <w:lang w:eastAsia="zh-CN"/>
        </w:rPr>
      </w:pPr>
      <w:r>
        <w:rPr>
          <w:rFonts w:hint="eastAsia" w:ascii="Times New Roman" w:hAnsi="Times New Roman"/>
          <w:lang w:val="en-US" w:eastAsia="zh-CN"/>
        </w:rPr>
        <w:t>2024</w:t>
      </w:r>
      <w:r>
        <w:rPr>
          <w:rFonts w:hint="eastAsia" w:ascii="Times New Roman" w:hAnsi="Times New Roman"/>
          <w:lang w:eastAsia="zh-CN"/>
        </w:rPr>
        <w:t>年</w:t>
      </w:r>
      <w:r>
        <w:rPr>
          <w:rFonts w:hint="eastAsia" w:ascii="Times New Roman" w:hAnsi="Times New Roman"/>
          <w:lang w:val="en-US" w:eastAsia="zh-CN"/>
        </w:rPr>
        <w:t>蓝山</w:t>
      </w:r>
      <w:r>
        <w:rPr>
          <w:rFonts w:hint="eastAsia" w:ascii="Times New Roman" w:hAnsi="Times New Roman"/>
          <w:lang w:eastAsia="zh-CN"/>
        </w:rPr>
        <w:t>县</w:t>
      </w:r>
      <w:r>
        <w:rPr>
          <w:rFonts w:hint="eastAsia"/>
          <w:lang w:val="en-US" w:eastAsia="zh-CN"/>
        </w:rPr>
        <w:t>地表水</w:t>
      </w:r>
      <w:r>
        <w:rPr>
          <w:rFonts w:hint="eastAsia" w:ascii="Times New Roman" w:hAnsi="Times New Roman"/>
          <w:lang w:eastAsia="zh-CN"/>
        </w:rPr>
        <w:t>环境质量现状表</w:t>
      </w:r>
    </w:p>
    <w:tbl>
      <w:tblPr>
        <w:tblStyle w:val="89"/>
        <w:tblW w:w="4751"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87"/>
        <w:gridCol w:w="1536"/>
        <w:gridCol w:w="2170"/>
        <w:gridCol w:w="1545"/>
        <w:gridCol w:w="198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899" w:type="pct"/>
            <w:vMerge w:val="restar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eastAsia" w:eastAsia="宋体"/>
                <w:sz w:val="21"/>
                <w:szCs w:val="21"/>
                <w:lang w:val="en-US" w:eastAsia="zh-CN"/>
              </w:rPr>
            </w:pPr>
            <w:r>
              <w:rPr>
                <w:rFonts w:hint="eastAsia"/>
                <w:sz w:val="21"/>
                <w:szCs w:val="21"/>
                <w:lang w:val="en-US" w:eastAsia="zh-CN"/>
              </w:rPr>
              <w:t>时间</w:t>
            </w:r>
          </w:p>
        </w:tc>
        <w:tc>
          <w:tcPr>
            <w:tcW w:w="870"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国控断面</w:t>
            </w:r>
          </w:p>
        </w:tc>
        <w:tc>
          <w:tcPr>
            <w:tcW w:w="1229"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省控断面</w:t>
            </w:r>
          </w:p>
        </w:tc>
        <w:tc>
          <w:tcPr>
            <w:tcW w:w="2000" w:type="pct"/>
            <w:gridSpan w:val="2"/>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饮用水水源地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899" w:type="pct"/>
            <w:vMerge w:val="continue"/>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eastAsia"/>
                <w:sz w:val="21"/>
                <w:szCs w:val="21"/>
                <w:lang w:val="en-US" w:eastAsia="zh-CN"/>
              </w:rPr>
            </w:pPr>
          </w:p>
        </w:tc>
        <w:tc>
          <w:tcPr>
            <w:tcW w:w="870"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舜水河冷脚村</w:t>
            </w:r>
          </w:p>
        </w:tc>
        <w:tc>
          <w:tcPr>
            <w:tcW w:w="1229"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新田湾河汇源源峰村</w:t>
            </w:r>
          </w:p>
        </w:tc>
        <w:tc>
          <w:tcPr>
            <w:tcW w:w="875"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舜水河取水口（岭脚村段）</w:t>
            </w:r>
          </w:p>
        </w:tc>
        <w:tc>
          <w:tcPr>
            <w:tcW w:w="1125"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新田湾河取水口（汇源源峰村段）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899"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default" w:eastAsia="宋体"/>
                <w:sz w:val="21"/>
                <w:szCs w:val="21"/>
                <w:lang w:val="en-US" w:eastAsia="zh-CN"/>
              </w:rPr>
            </w:pPr>
            <w:r>
              <w:rPr>
                <w:rFonts w:hint="eastAsia"/>
                <w:sz w:val="21"/>
                <w:szCs w:val="21"/>
                <w:lang w:val="en-US" w:eastAsia="zh-CN"/>
              </w:rPr>
              <w:t>2024.1</w:t>
            </w:r>
          </w:p>
        </w:tc>
        <w:tc>
          <w:tcPr>
            <w:tcW w:w="87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sz w:val="21"/>
                <w:szCs w:val="21"/>
              </w:rPr>
              <w:t>II</w:t>
            </w:r>
          </w:p>
        </w:tc>
        <w:tc>
          <w:tcPr>
            <w:tcW w:w="1229"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sz w:val="21"/>
                <w:szCs w:val="21"/>
              </w:rPr>
              <w:t>II</w:t>
            </w:r>
          </w:p>
        </w:tc>
        <w:tc>
          <w:tcPr>
            <w:tcW w:w="875"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sz w:val="21"/>
                <w:szCs w:val="21"/>
              </w:rPr>
              <w:t>II</w:t>
            </w:r>
          </w:p>
        </w:tc>
        <w:tc>
          <w:tcPr>
            <w:tcW w:w="1125"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sz w:val="21"/>
                <w:szCs w:val="21"/>
              </w:rPr>
              <w:t>II</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9"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default" w:eastAsia="宋体"/>
                <w:sz w:val="21"/>
                <w:szCs w:val="21"/>
                <w:lang w:val="en-US" w:eastAsia="zh-CN"/>
              </w:rPr>
            </w:pPr>
            <w:r>
              <w:rPr>
                <w:rFonts w:hint="eastAsia"/>
                <w:sz w:val="21"/>
                <w:szCs w:val="21"/>
                <w:lang w:val="en-US" w:eastAsia="zh-CN"/>
              </w:rPr>
              <w:t>2024.2</w:t>
            </w:r>
          </w:p>
        </w:tc>
        <w:tc>
          <w:tcPr>
            <w:tcW w:w="87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sz w:val="21"/>
                <w:szCs w:val="21"/>
              </w:rPr>
              <w:t>II</w:t>
            </w:r>
          </w:p>
        </w:tc>
        <w:tc>
          <w:tcPr>
            <w:tcW w:w="1229"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sz w:val="21"/>
                <w:szCs w:val="21"/>
              </w:rPr>
              <w:t>II</w:t>
            </w:r>
          </w:p>
        </w:tc>
        <w:tc>
          <w:tcPr>
            <w:tcW w:w="875"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sz w:val="21"/>
                <w:szCs w:val="21"/>
              </w:rPr>
              <w:t>II</w:t>
            </w:r>
          </w:p>
        </w:tc>
        <w:tc>
          <w:tcPr>
            <w:tcW w:w="1125"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sz w:val="21"/>
                <w:szCs w:val="21"/>
              </w:rPr>
              <w:t>II</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9"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default" w:eastAsia="宋体"/>
                <w:sz w:val="21"/>
                <w:szCs w:val="21"/>
                <w:lang w:val="en-US" w:eastAsia="zh-CN"/>
              </w:rPr>
            </w:pPr>
            <w:r>
              <w:rPr>
                <w:rFonts w:hint="eastAsia"/>
                <w:sz w:val="21"/>
                <w:szCs w:val="21"/>
                <w:lang w:val="en-US" w:eastAsia="zh-CN"/>
              </w:rPr>
              <w:t>2024.3</w:t>
            </w:r>
          </w:p>
        </w:tc>
        <w:tc>
          <w:tcPr>
            <w:tcW w:w="87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rFonts w:hint="eastAsia" w:ascii="Times New Roman" w:hAnsi="Times New Roman" w:eastAsia="宋体" w:cs="Times New Roman"/>
                <w:sz w:val="21"/>
                <w:szCs w:val="21"/>
              </w:rPr>
              <w:t>II</w:t>
            </w:r>
          </w:p>
        </w:tc>
        <w:tc>
          <w:tcPr>
            <w:tcW w:w="122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rFonts w:hint="eastAsia" w:ascii="Times New Roman" w:hAnsi="Times New Roman" w:eastAsia="宋体" w:cs="Times New Roman"/>
                <w:sz w:val="21"/>
                <w:szCs w:val="21"/>
              </w:rPr>
              <w:t>II</w:t>
            </w:r>
          </w:p>
        </w:tc>
        <w:tc>
          <w:tcPr>
            <w:tcW w:w="8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rFonts w:hint="eastAsia" w:ascii="Times New Roman" w:hAnsi="Times New Roman" w:eastAsia="宋体" w:cs="Times New Roman"/>
                <w:sz w:val="21"/>
                <w:szCs w:val="21"/>
              </w:rPr>
              <w:t>II</w:t>
            </w:r>
          </w:p>
        </w:tc>
        <w:tc>
          <w:tcPr>
            <w:tcW w:w="112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rFonts w:hint="eastAsia" w:ascii="Times New Roman" w:hAnsi="Times New Roman" w:eastAsia="宋体" w:cs="Times New Roman"/>
                <w:sz w:val="21"/>
                <w:szCs w:val="21"/>
              </w:rPr>
              <w:t>II</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9"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2024.4</w:t>
            </w:r>
          </w:p>
        </w:tc>
        <w:tc>
          <w:tcPr>
            <w:tcW w:w="87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rFonts w:hint="eastAsia" w:ascii="Times New Roman" w:hAnsi="Times New Roman" w:eastAsia="宋体" w:cs="Times New Roman"/>
                <w:sz w:val="21"/>
                <w:szCs w:val="21"/>
              </w:rPr>
              <w:t>II</w:t>
            </w:r>
          </w:p>
        </w:tc>
        <w:tc>
          <w:tcPr>
            <w:tcW w:w="122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rFonts w:hint="eastAsia" w:ascii="Times New Roman" w:hAnsi="Times New Roman" w:eastAsia="宋体" w:cs="Times New Roman"/>
                <w:sz w:val="21"/>
                <w:szCs w:val="21"/>
              </w:rPr>
              <w:t>II</w:t>
            </w:r>
          </w:p>
        </w:tc>
        <w:tc>
          <w:tcPr>
            <w:tcW w:w="8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rFonts w:hint="eastAsia" w:ascii="Times New Roman" w:hAnsi="Times New Roman" w:eastAsia="宋体" w:cs="Times New Roman"/>
                <w:sz w:val="21"/>
                <w:szCs w:val="21"/>
              </w:rPr>
              <w:t>II</w:t>
            </w:r>
          </w:p>
        </w:tc>
        <w:tc>
          <w:tcPr>
            <w:tcW w:w="112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rFonts w:hint="eastAsia" w:ascii="Times New Roman" w:hAnsi="Times New Roman" w:eastAsia="宋体" w:cs="Times New Roman"/>
                <w:sz w:val="21"/>
                <w:szCs w:val="21"/>
              </w:rPr>
              <w:t>II</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9"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2024.5</w:t>
            </w:r>
          </w:p>
        </w:tc>
        <w:tc>
          <w:tcPr>
            <w:tcW w:w="870"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rFonts w:hint="eastAsia" w:ascii="Times New Roman" w:hAnsi="Times New Roman" w:eastAsia="宋体" w:cs="Times New Roman"/>
                <w:sz w:val="21"/>
                <w:szCs w:val="21"/>
              </w:rPr>
              <w:t>II</w:t>
            </w:r>
          </w:p>
        </w:tc>
        <w:tc>
          <w:tcPr>
            <w:tcW w:w="122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rFonts w:hint="eastAsia" w:ascii="Times New Roman" w:hAnsi="Times New Roman" w:eastAsia="宋体" w:cs="Times New Roman"/>
                <w:sz w:val="21"/>
                <w:szCs w:val="21"/>
              </w:rPr>
              <w:t>II</w:t>
            </w:r>
          </w:p>
        </w:tc>
        <w:tc>
          <w:tcPr>
            <w:tcW w:w="8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rFonts w:hint="eastAsia" w:ascii="Times New Roman" w:hAnsi="Times New Roman" w:eastAsia="宋体" w:cs="Times New Roman"/>
                <w:sz w:val="21"/>
                <w:szCs w:val="21"/>
              </w:rPr>
              <w:t>II</w:t>
            </w:r>
          </w:p>
        </w:tc>
        <w:tc>
          <w:tcPr>
            <w:tcW w:w="112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rFonts w:hint="eastAsia" w:ascii="Times New Roman" w:hAnsi="Times New Roman" w:eastAsia="宋体" w:cs="Times New Roman"/>
                <w:sz w:val="21"/>
                <w:szCs w:val="21"/>
              </w:rPr>
              <w:t>II</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9"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2024.6</w:t>
            </w:r>
          </w:p>
        </w:tc>
        <w:tc>
          <w:tcPr>
            <w:tcW w:w="870"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rFonts w:hint="eastAsia" w:ascii="Times New Roman" w:hAnsi="Times New Roman" w:eastAsia="宋体" w:cs="Times New Roman"/>
                <w:sz w:val="21"/>
                <w:szCs w:val="21"/>
              </w:rPr>
              <w:t>II</w:t>
            </w:r>
          </w:p>
        </w:tc>
        <w:tc>
          <w:tcPr>
            <w:tcW w:w="122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rFonts w:hint="eastAsia" w:ascii="Times New Roman" w:hAnsi="Times New Roman" w:eastAsia="宋体" w:cs="Times New Roman"/>
                <w:sz w:val="21"/>
                <w:szCs w:val="21"/>
              </w:rPr>
              <w:t>II</w:t>
            </w:r>
          </w:p>
        </w:tc>
        <w:tc>
          <w:tcPr>
            <w:tcW w:w="8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rFonts w:hint="eastAsia" w:ascii="Times New Roman" w:hAnsi="Times New Roman" w:eastAsia="宋体" w:cs="Times New Roman"/>
                <w:sz w:val="21"/>
                <w:szCs w:val="21"/>
              </w:rPr>
              <w:t>II</w:t>
            </w:r>
          </w:p>
        </w:tc>
        <w:tc>
          <w:tcPr>
            <w:tcW w:w="112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rFonts w:hint="eastAsia" w:ascii="Times New Roman" w:hAnsi="Times New Roman" w:eastAsia="宋体" w:cs="Times New Roman"/>
                <w:sz w:val="21"/>
                <w:szCs w:val="21"/>
              </w:rPr>
              <w:t>II</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9"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2024.7</w:t>
            </w:r>
          </w:p>
        </w:tc>
        <w:tc>
          <w:tcPr>
            <w:tcW w:w="870" w:type="pct"/>
            <w:tcBorders>
              <w:tl2br w:val="nil"/>
              <w:tr2bl w:val="nil"/>
            </w:tcBorders>
            <w:shd w:val="clear" w:color="auto" w:fill="auto"/>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宋体" w:cs="Times New Roman"/>
                <w:smallCaps/>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sz w:val="21"/>
                <w:szCs w:val="21"/>
                <w:lang w:val="en-US" w:eastAsia="zh-CN"/>
              </w:rPr>
              <w:t>I</w:t>
            </w:r>
          </w:p>
        </w:tc>
        <w:tc>
          <w:tcPr>
            <w:tcW w:w="1229"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sz w:val="21"/>
                <w:szCs w:val="21"/>
                <w:lang w:val="en-US" w:eastAsia="zh-CN"/>
              </w:rPr>
              <w:t>I</w:t>
            </w:r>
          </w:p>
        </w:tc>
        <w:tc>
          <w:tcPr>
            <w:tcW w:w="875"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sz w:val="21"/>
                <w:szCs w:val="21"/>
                <w:lang w:val="en-US" w:eastAsia="zh-CN"/>
              </w:rPr>
            </w:pPr>
            <w:r>
              <w:rPr>
                <w:rFonts w:hint="eastAsia" w:ascii="Times New Roman" w:hAnsi="Times New Roman" w:eastAsia="宋体" w:cs="Times New Roman"/>
                <w:sz w:val="21"/>
                <w:szCs w:val="21"/>
                <w:lang w:val="en-US" w:eastAsia="zh-CN"/>
              </w:rPr>
              <w:t>I</w:t>
            </w:r>
          </w:p>
        </w:tc>
        <w:tc>
          <w:tcPr>
            <w:tcW w:w="1125"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sz w:val="21"/>
                <w:szCs w:val="21"/>
                <w:lang w:val="en-US" w:eastAsia="zh-CN"/>
              </w:rPr>
            </w:pPr>
            <w:r>
              <w:rPr>
                <w:rFonts w:hint="eastAsia" w:ascii="Times New Roman" w:hAnsi="Times New Roman" w:eastAsia="宋体" w:cs="Times New Roman"/>
                <w:sz w:val="21"/>
                <w:szCs w:val="21"/>
                <w:lang w:val="en-US" w:eastAsia="zh-CN"/>
              </w:rPr>
              <w:t>I</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9"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2024.8</w:t>
            </w:r>
          </w:p>
        </w:tc>
        <w:tc>
          <w:tcPr>
            <w:tcW w:w="870"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eastAsia" w:eastAsia="宋体"/>
                <w:sz w:val="21"/>
                <w:szCs w:val="21"/>
                <w:lang w:val="en-US" w:eastAsia="zh-CN"/>
              </w:rPr>
            </w:pPr>
            <w:r>
              <w:rPr>
                <w:rFonts w:hint="eastAsia" w:ascii="Times New Roman" w:hAnsi="Times New Roman" w:eastAsia="宋体" w:cs="Times New Roman"/>
                <w:sz w:val="21"/>
                <w:szCs w:val="21"/>
              </w:rPr>
              <w:t>II</w:t>
            </w:r>
          </w:p>
        </w:tc>
        <w:tc>
          <w:tcPr>
            <w:tcW w:w="122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eastAsia="宋体"/>
                <w:sz w:val="21"/>
                <w:szCs w:val="21"/>
                <w:lang w:val="en-US" w:eastAsia="zh-CN"/>
              </w:rPr>
            </w:pPr>
            <w:r>
              <w:rPr>
                <w:rFonts w:hint="eastAsia" w:ascii="Times New Roman" w:hAnsi="Times New Roman" w:eastAsia="宋体" w:cs="Times New Roman"/>
                <w:sz w:val="21"/>
                <w:szCs w:val="21"/>
                <w:lang w:val="en-US" w:eastAsia="zh-CN"/>
              </w:rPr>
              <w:t>I</w:t>
            </w:r>
          </w:p>
        </w:tc>
        <w:tc>
          <w:tcPr>
            <w:tcW w:w="8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sz w:val="21"/>
                <w:szCs w:val="21"/>
                <w:lang w:val="en-US" w:eastAsia="zh-CN"/>
              </w:rPr>
            </w:pPr>
            <w:r>
              <w:rPr>
                <w:rFonts w:hint="eastAsia" w:ascii="Times New Roman" w:hAnsi="Times New Roman" w:eastAsia="宋体" w:cs="Times New Roman"/>
                <w:sz w:val="21"/>
                <w:szCs w:val="21"/>
                <w:lang w:val="en-US" w:eastAsia="zh-CN"/>
              </w:rPr>
              <w:t>I</w:t>
            </w:r>
          </w:p>
        </w:tc>
        <w:tc>
          <w:tcPr>
            <w:tcW w:w="112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sz w:val="21"/>
                <w:szCs w:val="21"/>
                <w:lang w:val="en-US" w:eastAsia="zh-CN"/>
              </w:rPr>
            </w:pPr>
            <w:r>
              <w:rPr>
                <w:rFonts w:hint="eastAsia" w:ascii="Times New Roman" w:hAnsi="Times New Roman" w:eastAsia="宋体" w:cs="Times New Roman"/>
                <w:sz w:val="21"/>
                <w:szCs w:val="21"/>
                <w:lang w:val="en-US" w:eastAsia="zh-CN"/>
              </w:rPr>
              <w:t>I</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9"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2024.9</w:t>
            </w:r>
          </w:p>
        </w:tc>
        <w:tc>
          <w:tcPr>
            <w:tcW w:w="870"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leftChars="0" w:firstLine="0" w:firstLineChars="0"/>
              <w:jc w:val="center"/>
              <w:textAlignment w:val="auto"/>
              <w:rPr>
                <w:sz w:val="21"/>
                <w:szCs w:val="21"/>
              </w:rPr>
            </w:pPr>
            <w:r>
              <w:rPr>
                <w:rFonts w:hint="eastAsia" w:ascii="Times New Roman" w:hAnsi="Times New Roman" w:eastAsia="宋体" w:cs="Times New Roman"/>
                <w:sz w:val="21"/>
                <w:szCs w:val="21"/>
                <w:lang w:val="en-US" w:eastAsia="zh-CN"/>
              </w:rPr>
              <w:t>I</w:t>
            </w:r>
          </w:p>
        </w:tc>
        <w:tc>
          <w:tcPr>
            <w:tcW w:w="122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rFonts w:hint="eastAsia" w:ascii="Times New Roman" w:hAnsi="Times New Roman" w:eastAsia="宋体" w:cs="Times New Roman"/>
                <w:sz w:val="21"/>
                <w:szCs w:val="21"/>
                <w:lang w:val="en-US" w:eastAsia="zh-CN"/>
              </w:rPr>
              <w:t>I</w:t>
            </w:r>
          </w:p>
        </w:tc>
        <w:tc>
          <w:tcPr>
            <w:tcW w:w="8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sz w:val="21"/>
                <w:szCs w:val="21"/>
                <w:lang w:val="en-US" w:eastAsia="zh-CN"/>
              </w:rPr>
            </w:pPr>
            <w:r>
              <w:rPr>
                <w:rFonts w:hint="eastAsia" w:ascii="Times New Roman" w:hAnsi="Times New Roman" w:eastAsia="宋体" w:cs="Times New Roman"/>
                <w:sz w:val="21"/>
                <w:szCs w:val="21"/>
                <w:lang w:val="en-US" w:eastAsia="zh-CN"/>
              </w:rPr>
              <w:t>I</w:t>
            </w:r>
          </w:p>
        </w:tc>
        <w:tc>
          <w:tcPr>
            <w:tcW w:w="112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sz w:val="21"/>
                <w:szCs w:val="21"/>
                <w:lang w:val="en-US" w:eastAsia="zh-CN"/>
              </w:rPr>
            </w:pPr>
            <w:r>
              <w:rPr>
                <w:rFonts w:hint="eastAsia" w:ascii="Times New Roman" w:hAnsi="Times New Roman" w:eastAsia="宋体" w:cs="Times New Roman"/>
                <w:sz w:val="21"/>
                <w:szCs w:val="21"/>
                <w:lang w:val="en-US" w:eastAsia="zh-CN"/>
              </w:rPr>
              <w:t>I</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9"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2024.10</w:t>
            </w:r>
          </w:p>
        </w:tc>
        <w:tc>
          <w:tcPr>
            <w:tcW w:w="87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II</w:t>
            </w:r>
          </w:p>
        </w:tc>
        <w:tc>
          <w:tcPr>
            <w:tcW w:w="122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II</w:t>
            </w:r>
          </w:p>
        </w:tc>
        <w:tc>
          <w:tcPr>
            <w:tcW w:w="8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II</w:t>
            </w:r>
          </w:p>
        </w:tc>
        <w:tc>
          <w:tcPr>
            <w:tcW w:w="112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II</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9"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2024.11</w:t>
            </w:r>
          </w:p>
        </w:tc>
        <w:tc>
          <w:tcPr>
            <w:tcW w:w="87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II</w:t>
            </w:r>
          </w:p>
        </w:tc>
        <w:tc>
          <w:tcPr>
            <w:tcW w:w="122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II</w:t>
            </w:r>
          </w:p>
        </w:tc>
        <w:tc>
          <w:tcPr>
            <w:tcW w:w="8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II</w:t>
            </w:r>
          </w:p>
        </w:tc>
        <w:tc>
          <w:tcPr>
            <w:tcW w:w="112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II</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9" w:type="pct"/>
            <w:tcBorders>
              <w:tl2br w:val="nil"/>
              <w:tr2bl w:val="nil"/>
            </w:tcBorders>
            <w:vAlign w:val="center"/>
          </w:tcPr>
          <w:p>
            <w:pPr>
              <w:pStyle w:val="74"/>
              <w:keepNext w:val="0"/>
              <w:keepLines w:val="0"/>
              <w:pageBreakBefore w:val="0"/>
              <w:widowControl w:val="0"/>
              <w:tabs>
                <w:tab w:val="left" w:pos="480"/>
              </w:tabs>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2024.12</w:t>
            </w:r>
          </w:p>
        </w:tc>
        <w:tc>
          <w:tcPr>
            <w:tcW w:w="87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II</w:t>
            </w:r>
          </w:p>
        </w:tc>
        <w:tc>
          <w:tcPr>
            <w:tcW w:w="122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I</w:t>
            </w:r>
          </w:p>
        </w:tc>
        <w:tc>
          <w:tcPr>
            <w:tcW w:w="8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II</w:t>
            </w:r>
          </w:p>
        </w:tc>
        <w:tc>
          <w:tcPr>
            <w:tcW w:w="112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I</w:t>
            </w:r>
          </w:p>
        </w:tc>
      </w:tr>
    </w:tbl>
    <w:p>
      <w:pPr>
        <w:spacing w:line="360" w:lineRule="auto"/>
        <w:ind w:firstLine="480"/>
        <w:rPr>
          <w:rFonts w:hint="eastAsia"/>
          <w:color w:val="auto"/>
          <w:sz w:val="24"/>
          <w:szCs w:val="24"/>
          <w:highlight w:val="none"/>
          <w:u w:val="none" w:color="auto"/>
        </w:rPr>
      </w:pPr>
      <w:r>
        <w:rPr>
          <w:rFonts w:hint="eastAsia"/>
        </w:rPr>
        <w:t>由上表可知，</w:t>
      </w:r>
      <w:r>
        <w:rPr>
          <w:rFonts w:hint="eastAsia"/>
          <w:lang w:val="en-US" w:eastAsia="zh-CN"/>
        </w:rPr>
        <w:t>项目周边舜</w:t>
      </w:r>
      <w:r>
        <w:rPr>
          <w:rFonts w:hint="eastAsia" w:ascii="Times New Roman" w:hAnsi="Times New Roman" w:eastAsia="宋体" w:cs="Times New Roman"/>
          <w:lang w:val="en-US" w:eastAsia="zh-CN"/>
        </w:rPr>
        <w:t>水河、新田湾河</w:t>
      </w:r>
      <w:r>
        <w:rPr>
          <w:rFonts w:hint="eastAsia" w:ascii="Times New Roman" w:hAnsi="Times New Roman" w:eastAsia="宋体" w:cs="Times New Roman"/>
        </w:rPr>
        <w:t>各监测断面水质良好，各</w:t>
      </w:r>
      <w:r>
        <w:rPr>
          <w:rFonts w:hint="eastAsia"/>
        </w:rPr>
        <w:t>监测断面可达《地表水环境质量标准》(GB3838-2002)</w:t>
      </w:r>
      <w:r>
        <w:rPr>
          <w:rFonts w:hint="eastAsia"/>
          <w:lang w:val="en-US" w:eastAsia="zh-CN"/>
        </w:rPr>
        <w:t xml:space="preserve"> I类或</w:t>
      </w:r>
      <w:r>
        <w:rPr>
          <w:rFonts w:hint="eastAsia"/>
        </w:rPr>
        <w:t>II类水质标准，优于Ⅲ类水质标准。</w:t>
      </w:r>
    </w:p>
    <w:p>
      <w:pPr>
        <w:spacing w:line="360" w:lineRule="auto"/>
        <w:ind w:firstLine="480"/>
        <w:rPr>
          <w:rFonts w:hint="default" w:ascii="Times New Roman" w:hAnsi="Times New Roman" w:eastAsia="宋体" w:cs="Times New Roman"/>
          <w:sz w:val="24"/>
          <w:szCs w:val="24"/>
          <w:highlight w:val="none"/>
          <w:u w:val="none" w:color="auto"/>
        </w:rPr>
      </w:pPr>
      <w:r>
        <w:rPr>
          <w:rFonts w:hint="eastAsia"/>
          <w:color w:val="auto"/>
          <w:sz w:val="24"/>
          <w:szCs w:val="24"/>
          <w:highlight w:val="none"/>
          <w:u w:val="none" w:color="auto"/>
        </w:rPr>
        <w:t>本次评价委托</w:t>
      </w:r>
      <w:r>
        <w:rPr>
          <w:rFonts w:hint="default" w:ascii="Times New Roman" w:hAnsi="Times New Roman" w:cs="Times New Roman"/>
          <w:color w:val="auto"/>
          <w:u w:val="none"/>
        </w:rPr>
        <w:t>湖南</w:t>
      </w:r>
      <w:r>
        <w:rPr>
          <w:rFonts w:hint="eastAsia" w:cs="Times New Roman"/>
          <w:color w:val="auto"/>
          <w:highlight w:val="none"/>
          <w:u w:val="none"/>
          <w:lang w:eastAsia="zh-CN"/>
        </w:rPr>
        <w:t>乾诚检测</w:t>
      </w:r>
      <w:r>
        <w:rPr>
          <w:rFonts w:hint="default" w:ascii="Times New Roman" w:hAnsi="Times New Roman" w:cs="Times New Roman"/>
          <w:color w:val="auto"/>
          <w:highlight w:val="none"/>
          <w:u w:val="none"/>
        </w:rPr>
        <w:t>有限公司</w:t>
      </w:r>
      <w:r>
        <w:rPr>
          <w:rFonts w:hint="eastAsia" w:ascii="宋体" w:hAnsi="宋体" w:eastAsia="宋体" w:cs="宋体"/>
          <w:sz w:val="24"/>
          <w:szCs w:val="24"/>
          <w:highlight w:val="none"/>
          <w:u w:val="none" w:color="auto"/>
          <w:lang w:eastAsia="zh-CN"/>
        </w:rPr>
        <w:t>对</w:t>
      </w:r>
      <w:r>
        <w:rPr>
          <w:rFonts w:hint="eastAsia" w:ascii="宋体" w:hAnsi="宋体" w:cs="宋体"/>
          <w:sz w:val="24"/>
          <w:szCs w:val="24"/>
          <w:highlight w:val="none"/>
          <w:u w:val="none" w:color="auto"/>
          <w:lang w:val="en-US" w:eastAsia="zh-CN"/>
        </w:rPr>
        <w:t>两江口</w:t>
      </w:r>
      <w:r>
        <w:rPr>
          <w:rFonts w:hint="eastAsia" w:ascii="宋体" w:hAnsi="宋体" w:eastAsia="宋体" w:cs="宋体"/>
          <w:sz w:val="24"/>
          <w:szCs w:val="24"/>
          <w:highlight w:val="none"/>
          <w:u w:val="none" w:color="auto"/>
          <w:lang w:eastAsia="zh-CN"/>
        </w:rPr>
        <w:t>水库</w:t>
      </w:r>
      <w:r>
        <w:rPr>
          <w:rFonts w:hint="eastAsia"/>
          <w:color w:val="auto"/>
          <w:sz w:val="24"/>
          <w:szCs w:val="24"/>
          <w:highlight w:val="none"/>
          <w:u w:val="none" w:color="auto"/>
        </w:rPr>
        <w:t>进行了水质采样</w:t>
      </w:r>
      <w:r>
        <w:rPr>
          <w:rFonts w:hint="default" w:ascii="Times New Roman" w:hAnsi="Times New Roman" w:cs="Times New Roman"/>
          <w:color w:val="auto"/>
          <w:sz w:val="24"/>
          <w:szCs w:val="24"/>
          <w:highlight w:val="none"/>
          <w:u w:val="none" w:color="auto"/>
        </w:rPr>
        <w:t>及现状监测。</w:t>
      </w:r>
      <w:r>
        <w:rPr>
          <w:rFonts w:hint="default" w:ascii="Times New Roman" w:hAnsi="Times New Roman" w:eastAsia="宋体" w:cs="Times New Roman"/>
          <w:sz w:val="24"/>
          <w:szCs w:val="24"/>
          <w:highlight w:val="none"/>
          <w:u w:val="none" w:color="auto"/>
        </w:rPr>
        <w:t>监测布点、监测因子及频次详见表</w:t>
      </w:r>
      <w:r>
        <w:rPr>
          <w:rFonts w:hint="eastAsia" w:ascii="Times New Roman" w:hAnsi="Times New Roman" w:cs="Times New Roman"/>
          <w:sz w:val="24"/>
          <w:szCs w:val="24"/>
          <w:highlight w:val="none"/>
          <w:u w:val="none" w:color="auto"/>
          <w:lang w:val="en-US" w:eastAsia="zh-CN"/>
        </w:rPr>
        <w:t>3-</w:t>
      </w:r>
      <w:r>
        <w:rPr>
          <w:rFonts w:hint="eastAsia" w:cs="Times New Roman"/>
          <w:sz w:val="24"/>
          <w:szCs w:val="24"/>
          <w:highlight w:val="none"/>
          <w:u w:val="none" w:color="auto"/>
          <w:lang w:val="en-US" w:eastAsia="zh-CN"/>
        </w:rPr>
        <w:t>2</w:t>
      </w:r>
      <w:r>
        <w:rPr>
          <w:rFonts w:hint="default" w:ascii="Times New Roman" w:hAnsi="Times New Roman" w:eastAsia="宋体" w:cs="Times New Roman"/>
          <w:sz w:val="24"/>
          <w:szCs w:val="24"/>
          <w:highlight w:val="none"/>
          <w:u w:val="none" w:color="auto"/>
        </w:rPr>
        <w:t>，监测结果统计详见表</w:t>
      </w:r>
      <w:r>
        <w:rPr>
          <w:rFonts w:hint="eastAsia" w:ascii="Times New Roman" w:hAnsi="Times New Roman" w:cs="Times New Roman"/>
          <w:sz w:val="24"/>
          <w:szCs w:val="24"/>
          <w:highlight w:val="none"/>
          <w:u w:val="none" w:color="auto"/>
          <w:lang w:val="en-US" w:eastAsia="zh-CN"/>
        </w:rPr>
        <w:t>3-</w:t>
      </w:r>
      <w:r>
        <w:rPr>
          <w:rFonts w:hint="eastAsia" w:cs="Times New Roman"/>
          <w:sz w:val="24"/>
          <w:szCs w:val="24"/>
          <w:highlight w:val="none"/>
          <w:u w:val="none" w:color="auto"/>
          <w:lang w:val="en-US" w:eastAsia="zh-CN"/>
        </w:rPr>
        <w:t>3</w:t>
      </w:r>
      <w:r>
        <w:rPr>
          <w:rFonts w:hint="default" w:ascii="Times New Roman" w:hAnsi="Times New Roman" w:eastAsia="宋体" w:cs="Times New Roman"/>
          <w:sz w:val="24"/>
          <w:szCs w:val="24"/>
          <w:highlight w:val="none"/>
          <w:u w:val="none" w:color="auto"/>
        </w:rPr>
        <w:t>。</w:t>
      </w:r>
    </w:p>
    <w:p>
      <w:pPr>
        <w:pStyle w:val="3587"/>
        <w:bidi w:val="0"/>
        <w:rPr>
          <w:rFonts w:hint="default"/>
          <w:u w:val="none" w:color="auto"/>
          <w:lang w:eastAsia="zh-CN"/>
        </w:rPr>
      </w:pPr>
      <w:r>
        <w:rPr>
          <w:rFonts w:hint="eastAsia"/>
          <w:u w:val="none" w:color="auto"/>
          <w:lang w:eastAsia="zh-CN"/>
        </w:rPr>
        <w:t>地表水</w:t>
      </w:r>
      <w:r>
        <w:rPr>
          <w:rFonts w:hint="default"/>
          <w:u w:val="none" w:color="auto"/>
          <w:lang w:eastAsia="zh-CN"/>
        </w:rPr>
        <w:t>现状</w:t>
      </w:r>
      <w:r>
        <w:rPr>
          <w:rFonts w:hint="eastAsia"/>
          <w:u w:val="none" w:color="auto"/>
          <w:lang w:eastAsia="zh-CN"/>
        </w:rPr>
        <w:t>监测</w:t>
      </w:r>
      <w:r>
        <w:rPr>
          <w:rFonts w:hint="default"/>
          <w:u w:val="none" w:color="auto"/>
          <w:lang w:eastAsia="zh-CN"/>
        </w:rPr>
        <w:t>概况一览表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51"/>
        <w:gridCol w:w="60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18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项目</w:t>
            </w:r>
          </w:p>
        </w:tc>
        <w:tc>
          <w:tcPr>
            <w:tcW w:w="60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内  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18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监测因子</w:t>
            </w:r>
          </w:p>
        </w:tc>
        <w:tc>
          <w:tcPr>
            <w:tcW w:w="60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u w:val="none" w:color="auto"/>
              </w:rPr>
            </w:pPr>
            <w:r>
              <w:rPr>
                <w:rFonts w:hint="default" w:ascii="Times New Roman" w:hAnsi="Times New Roman" w:cs="Times New Roman"/>
                <w:b w:val="0"/>
                <w:bCs w:val="0"/>
                <w:sz w:val="21"/>
                <w:szCs w:val="24"/>
                <w:lang w:val="en-US" w:eastAsia="zh-CN"/>
              </w:rPr>
              <w:t>pH、SS、COD、BOD</w:t>
            </w:r>
            <w:r>
              <w:rPr>
                <w:rFonts w:hint="eastAsia" w:ascii="Times New Roman" w:hAnsi="Times New Roman" w:cs="Times New Roman"/>
                <w:b w:val="0"/>
                <w:bCs w:val="0"/>
                <w:sz w:val="21"/>
                <w:szCs w:val="24"/>
                <w:vertAlign w:val="subscript"/>
                <w:lang w:val="en-US" w:eastAsia="zh-CN"/>
              </w:rPr>
              <w:t>5</w:t>
            </w:r>
            <w:r>
              <w:rPr>
                <w:rFonts w:hint="default" w:ascii="Times New Roman" w:hAnsi="Times New Roman" w:cs="Times New Roman"/>
                <w:b w:val="0"/>
                <w:bCs w:val="0"/>
                <w:sz w:val="21"/>
                <w:szCs w:val="24"/>
                <w:lang w:val="en-US" w:eastAsia="zh-CN"/>
              </w:rPr>
              <w:t>、氨氮、石油类、总磷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8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监测断面</w:t>
            </w:r>
          </w:p>
        </w:tc>
        <w:tc>
          <w:tcPr>
            <w:tcW w:w="60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eastAsia" w:ascii="宋体" w:hAnsi="宋体" w:cs="宋体"/>
                <w:sz w:val="21"/>
                <w:szCs w:val="21"/>
                <w:highlight w:val="none"/>
                <w:u w:val="none" w:color="auto"/>
                <w:lang w:val="en-US" w:eastAsia="zh-CN"/>
              </w:rPr>
              <w:t>两江口</w:t>
            </w:r>
            <w:r>
              <w:rPr>
                <w:rFonts w:hint="eastAsia" w:ascii="宋体" w:hAnsi="宋体" w:eastAsia="宋体" w:cs="宋体"/>
                <w:sz w:val="21"/>
                <w:szCs w:val="21"/>
                <w:highlight w:val="none"/>
                <w:u w:val="none" w:color="auto"/>
                <w:lang w:eastAsia="zh-CN"/>
              </w:rPr>
              <w:t>水库取水口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18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监测时间与采样频次</w:t>
            </w:r>
          </w:p>
        </w:tc>
        <w:tc>
          <w:tcPr>
            <w:tcW w:w="60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20</w:t>
            </w:r>
            <w:r>
              <w:rPr>
                <w:rFonts w:hint="eastAsia" w:ascii="Times New Roman" w:hAnsi="Times New Roman" w:cs="Times New Roman"/>
                <w:sz w:val="21"/>
                <w:szCs w:val="21"/>
                <w:highlight w:val="none"/>
                <w:u w:val="none" w:color="auto"/>
                <w:lang w:val="en-US" w:eastAsia="zh-CN"/>
              </w:rPr>
              <w:t>2</w:t>
            </w:r>
            <w:r>
              <w:rPr>
                <w:rFonts w:hint="eastAsia" w:cs="Times New Roman"/>
                <w:sz w:val="21"/>
                <w:szCs w:val="21"/>
                <w:highlight w:val="none"/>
                <w:u w:val="none" w:color="auto"/>
                <w:lang w:val="en-US" w:eastAsia="zh-CN"/>
              </w:rPr>
              <w:t>5</w:t>
            </w:r>
            <w:r>
              <w:rPr>
                <w:rFonts w:hint="default" w:ascii="Times New Roman" w:hAnsi="Times New Roman" w:cs="Times New Roman"/>
                <w:sz w:val="21"/>
                <w:szCs w:val="21"/>
                <w:highlight w:val="none"/>
                <w:u w:val="none" w:color="auto"/>
              </w:rPr>
              <w:t>年</w:t>
            </w:r>
            <w:r>
              <w:rPr>
                <w:rFonts w:hint="eastAsia" w:cs="Times New Roman"/>
                <w:sz w:val="21"/>
                <w:szCs w:val="21"/>
                <w:highlight w:val="none"/>
                <w:u w:val="none" w:color="auto"/>
                <w:lang w:val="en-US" w:eastAsia="zh-CN"/>
              </w:rPr>
              <w:t>3</w:t>
            </w:r>
            <w:r>
              <w:rPr>
                <w:rFonts w:hint="default" w:ascii="Times New Roman" w:hAnsi="Times New Roman" w:cs="Times New Roman"/>
                <w:sz w:val="21"/>
                <w:szCs w:val="21"/>
                <w:highlight w:val="none"/>
                <w:u w:val="none" w:color="auto"/>
              </w:rPr>
              <w:t>月</w:t>
            </w:r>
            <w:r>
              <w:rPr>
                <w:rFonts w:hint="eastAsia" w:ascii="Times New Roman" w:hAnsi="Times New Roman" w:cs="Times New Roman"/>
                <w:sz w:val="21"/>
                <w:szCs w:val="21"/>
                <w:highlight w:val="none"/>
                <w:u w:val="none" w:color="auto"/>
                <w:lang w:val="en-US" w:eastAsia="zh-CN"/>
              </w:rPr>
              <w:t>1</w:t>
            </w:r>
            <w:r>
              <w:rPr>
                <w:rFonts w:hint="eastAsia" w:cs="Times New Roman"/>
                <w:sz w:val="21"/>
                <w:szCs w:val="21"/>
                <w:highlight w:val="none"/>
                <w:u w:val="none" w:color="auto"/>
                <w:lang w:val="en-US" w:eastAsia="zh-CN"/>
              </w:rPr>
              <w:t>8</w:t>
            </w:r>
            <w:r>
              <w:rPr>
                <w:rFonts w:hint="default" w:ascii="Times New Roman" w:hAnsi="Times New Roman" w:cs="Times New Roman"/>
                <w:sz w:val="21"/>
                <w:szCs w:val="21"/>
                <w:highlight w:val="none"/>
                <w:u w:val="none" w:color="auto"/>
              </w:rPr>
              <w:t>～</w:t>
            </w:r>
            <w:r>
              <w:rPr>
                <w:rFonts w:hint="eastAsia" w:ascii="Times New Roman" w:hAnsi="Times New Roman" w:cs="Times New Roman"/>
                <w:sz w:val="21"/>
                <w:szCs w:val="21"/>
                <w:highlight w:val="none"/>
                <w:u w:val="none" w:color="auto"/>
                <w:lang w:val="en-US" w:eastAsia="zh-CN"/>
              </w:rPr>
              <w:t>2</w:t>
            </w:r>
            <w:r>
              <w:rPr>
                <w:rFonts w:hint="eastAsia" w:cs="Times New Roman"/>
                <w:sz w:val="21"/>
                <w:szCs w:val="21"/>
                <w:highlight w:val="none"/>
                <w:u w:val="none" w:color="auto"/>
                <w:lang w:val="en-US" w:eastAsia="zh-CN"/>
              </w:rPr>
              <w:t>0</w:t>
            </w:r>
            <w:r>
              <w:rPr>
                <w:rFonts w:hint="default" w:ascii="Times New Roman" w:hAnsi="Times New Roman" w:cs="Times New Roman"/>
                <w:sz w:val="21"/>
                <w:szCs w:val="21"/>
                <w:highlight w:val="none"/>
                <w:u w:val="none" w:color="auto"/>
              </w:rPr>
              <w:t>日，连续三3天每天1次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8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评价方法</w:t>
            </w:r>
          </w:p>
        </w:tc>
        <w:tc>
          <w:tcPr>
            <w:tcW w:w="60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标准指数法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18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评价标准</w:t>
            </w:r>
          </w:p>
        </w:tc>
        <w:tc>
          <w:tcPr>
            <w:tcW w:w="60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《地表水环境质量标准》（GB3838-2002）II类标准</w:t>
            </w:r>
          </w:p>
        </w:tc>
      </w:tr>
    </w:tbl>
    <w:p>
      <w:pPr>
        <w:pStyle w:val="3587"/>
        <w:bidi w:val="0"/>
        <w:rPr>
          <w:rFonts w:hint="default" w:ascii="Times New Roman" w:hAnsi="Times New Roman" w:eastAsia="宋体" w:cs="Times New Roman"/>
          <w:highlight w:val="none"/>
          <w:u w:val="none" w:color="auto"/>
          <w:lang w:eastAsia="zh-CN"/>
        </w:rPr>
      </w:pPr>
      <w:r>
        <w:rPr>
          <w:rFonts w:hint="default" w:ascii="Times New Roman" w:hAnsi="Times New Roman" w:eastAsia="宋体" w:cs="Times New Roman"/>
          <w:highlight w:val="none"/>
          <w:u w:val="none" w:color="auto"/>
          <w:lang w:eastAsia="zh-CN"/>
        </w:rPr>
        <w:t xml:space="preserve">水质监测结果统计表（单位：mg/L） </w:t>
      </w:r>
    </w:p>
    <w:tbl>
      <w:tblPr>
        <w:tblStyle w:val="88"/>
        <w:tblW w:w="889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1407"/>
        <w:gridCol w:w="1424"/>
        <w:gridCol w:w="1363"/>
        <w:gridCol w:w="1331"/>
        <w:gridCol w:w="1275"/>
        <w:gridCol w:w="1107"/>
        <w:gridCol w:w="98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64" w:hRule="atLeast"/>
          <w:jc w:val="center"/>
        </w:trPr>
        <w:tc>
          <w:tcPr>
            <w:tcW w:w="140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监测点</w:t>
            </w:r>
          </w:p>
        </w:tc>
        <w:tc>
          <w:tcPr>
            <w:tcW w:w="1424"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项目</w:t>
            </w:r>
          </w:p>
        </w:tc>
        <w:tc>
          <w:tcPr>
            <w:tcW w:w="3969"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监测结果</w:t>
            </w:r>
          </w:p>
        </w:tc>
        <w:tc>
          <w:tcPr>
            <w:tcW w:w="110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标准值</w:t>
            </w:r>
          </w:p>
        </w:tc>
        <w:tc>
          <w:tcPr>
            <w:tcW w:w="98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u w:val="none" w:color="auto"/>
                <w:lang w:val="en-US" w:eastAsia="zh-CN"/>
              </w:rPr>
            </w:pPr>
            <w:r>
              <w:rPr>
                <w:rFonts w:hint="eastAsia" w:cs="Times New Roman"/>
                <w:sz w:val="21"/>
                <w:szCs w:val="21"/>
                <w:highlight w:val="none"/>
                <w:u w:val="none" w:color="auto"/>
                <w:lang w:val="en-US" w:eastAsia="zh-CN"/>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4" w:hRule="atLeast"/>
          <w:jc w:val="center"/>
        </w:trPr>
        <w:tc>
          <w:tcPr>
            <w:tcW w:w="140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p>
        </w:tc>
        <w:tc>
          <w:tcPr>
            <w:tcW w:w="142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p>
        </w:tc>
        <w:tc>
          <w:tcPr>
            <w:tcW w:w="136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eastAsia" w:cs="Times New Roman"/>
                <w:sz w:val="21"/>
                <w:szCs w:val="21"/>
                <w:highlight w:val="none"/>
                <w:u w:val="none" w:color="auto"/>
                <w:lang w:val="en-US" w:eastAsia="zh-CN"/>
              </w:rPr>
              <w:t>3</w:t>
            </w:r>
            <w:r>
              <w:rPr>
                <w:rFonts w:hint="default" w:ascii="Times New Roman" w:hAnsi="Times New Roman" w:cs="Times New Roman"/>
                <w:sz w:val="21"/>
                <w:szCs w:val="21"/>
                <w:highlight w:val="none"/>
                <w:u w:val="none" w:color="auto"/>
              </w:rPr>
              <w:t>月</w:t>
            </w:r>
            <w:r>
              <w:rPr>
                <w:rFonts w:hint="eastAsia" w:ascii="Times New Roman" w:hAnsi="Times New Roman" w:cs="Times New Roman"/>
                <w:sz w:val="21"/>
                <w:szCs w:val="21"/>
                <w:highlight w:val="none"/>
                <w:u w:val="none" w:color="auto"/>
                <w:lang w:val="en-US" w:eastAsia="zh-CN"/>
              </w:rPr>
              <w:t>1</w:t>
            </w:r>
            <w:r>
              <w:rPr>
                <w:rFonts w:hint="eastAsia" w:cs="Times New Roman"/>
                <w:sz w:val="21"/>
                <w:szCs w:val="21"/>
                <w:highlight w:val="none"/>
                <w:u w:val="none" w:color="auto"/>
                <w:lang w:val="en-US" w:eastAsia="zh-CN"/>
              </w:rPr>
              <w:t>8</w:t>
            </w:r>
            <w:r>
              <w:rPr>
                <w:rFonts w:hint="default" w:ascii="Times New Roman" w:hAnsi="Times New Roman" w:cs="Times New Roman"/>
                <w:sz w:val="21"/>
                <w:szCs w:val="21"/>
                <w:highlight w:val="none"/>
                <w:u w:val="none" w:color="auto"/>
              </w:rPr>
              <w:t>日</w:t>
            </w:r>
          </w:p>
        </w:tc>
        <w:tc>
          <w:tcPr>
            <w:tcW w:w="13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eastAsia" w:cs="Times New Roman"/>
                <w:sz w:val="21"/>
                <w:szCs w:val="21"/>
                <w:highlight w:val="none"/>
                <w:u w:val="none" w:color="auto"/>
                <w:lang w:val="en-US" w:eastAsia="zh-CN"/>
              </w:rPr>
              <w:t>3</w:t>
            </w:r>
            <w:r>
              <w:rPr>
                <w:rFonts w:hint="default" w:ascii="Times New Roman" w:hAnsi="Times New Roman" w:cs="Times New Roman"/>
                <w:sz w:val="21"/>
                <w:szCs w:val="21"/>
                <w:highlight w:val="none"/>
                <w:u w:val="none" w:color="auto"/>
              </w:rPr>
              <w:t>月</w:t>
            </w:r>
            <w:r>
              <w:rPr>
                <w:rFonts w:hint="eastAsia" w:cs="Times New Roman"/>
                <w:sz w:val="21"/>
                <w:szCs w:val="21"/>
                <w:highlight w:val="none"/>
                <w:u w:val="none" w:color="auto"/>
                <w:lang w:val="en-US" w:eastAsia="zh-CN"/>
              </w:rPr>
              <w:t>19</w:t>
            </w:r>
            <w:r>
              <w:rPr>
                <w:rFonts w:hint="default" w:ascii="Times New Roman" w:hAnsi="Times New Roman" w:cs="Times New Roman"/>
                <w:sz w:val="21"/>
                <w:szCs w:val="21"/>
                <w:highlight w:val="none"/>
                <w:u w:val="none" w:color="auto"/>
              </w:rPr>
              <w:t>日</w:t>
            </w:r>
          </w:p>
        </w:tc>
        <w:tc>
          <w:tcPr>
            <w:tcW w:w="12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eastAsia" w:cs="Times New Roman"/>
                <w:sz w:val="21"/>
                <w:szCs w:val="21"/>
                <w:highlight w:val="none"/>
                <w:u w:val="none" w:color="auto"/>
                <w:lang w:val="en-US" w:eastAsia="zh-CN"/>
              </w:rPr>
              <w:t>3</w:t>
            </w:r>
            <w:r>
              <w:rPr>
                <w:rFonts w:hint="default" w:ascii="Times New Roman" w:hAnsi="Times New Roman" w:cs="Times New Roman"/>
                <w:sz w:val="21"/>
                <w:szCs w:val="21"/>
                <w:highlight w:val="none"/>
                <w:u w:val="none" w:color="auto"/>
              </w:rPr>
              <w:t>月</w:t>
            </w:r>
            <w:r>
              <w:rPr>
                <w:rFonts w:hint="eastAsia" w:ascii="Times New Roman" w:hAnsi="Times New Roman" w:cs="Times New Roman"/>
                <w:sz w:val="21"/>
                <w:szCs w:val="21"/>
                <w:highlight w:val="none"/>
                <w:u w:val="none" w:color="auto"/>
                <w:lang w:val="en-US" w:eastAsia="zh-CN"/>
              </w:rPr>
              <w:t>2</w:t>
            </w:r>
            <w:r>
              <w:rPr>
                <w:rFonts w:hint="eastAsia" w:cs="Times New Roman"/>
                <w:sz w:val="21"/>
                <w:szCs w:val="21"/>
                <w:highlight w:val="none"/>
                <w:u w:val="none" w:color="auto"/>
                <w:lang w:val="en-US" w:eastAsia="zh-CN"/>
              </w:rPr>
              <w:t>0</w:t>
            </w:r>
            <w:r>
              <w:rPr>
                <w:rFonts w:hint="default" w:ascii="Times New Roman" w:hAnsi="Times New Roman" w:cs="Times New Roman"/>
                <w:sz w:val="21"/>
                <w:szCs w:val="21"/>
                <w:highlight w:val="none"/>
                <w:u w:val="none" w:color="auto"/>
              </w:rPr>
              <w:t>日</w:t>
            </w:r>
          </w:p>
        </w:tc>
        <w:tc>
          <w:tcPr>
            <w:tcW w:w="110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p>
        </w:tc>
        <w:tc>
          <w:tcPr>
            <w:tcW w:w="98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4" w:hRule="atLeast"/>
          <w:jc w:val="center"/>
        </w:trPr>
        <w:tc>
          <w:tcPr>
            <w:tcW w:w="140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W1：</w:t>
            </w:r>
            <w:r>
              <w:rPr>
                <w:rFonts w:hint="eastAsia" w:ascii="宋体" w:hAnsi="宋体" w:cs="宋体"/>
                <w:sz w:val="21"/>
                <w:szCs w:val="21"/>
                <w:highlight w:val="none"/>
                <w:u w:val="none" w:color="auto"/>
                <w:lang w:val="en-US" w:eastAsia="zh-CN"/>
              </w:rPr>
              <w:t>两江口</w:t>
            </w:r>
            <w:r>
              <w:rPr>
                <w:rFonts w:hint="eastAsia" w:ascii="宋体" w:hAnsi="宋体" w:eastAsia="宋体" w:cs="宋体"/>
                <w:sz w:val="21"/>
                <w:szCs w:val="21"/>
                <w:highlight w:val="none"/>
                <w:u w:val="none" w:color="auto"/>
                <w:lang w:eastAsia="zh-CN"/>
              </w:rPr>
              <w:t>水库取水口</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p>
        </w:tc>
        <w:tc>
          <w:tcPr>
            <w:tcW w:w="1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pH</w:t>
            </w:r>
          </w:p>
        </w:tc>
        <w:tc>
          <w:tcPr>
            <w:tcW w:w="136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7.4</w:t>
            </w:r>
          </w:p>
        </w:tc>
        <w:tc>
          <w:tcPr>
            <w:tcW w:w="13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7.5</w:t>
            </w:r>
          </w:p>
        </w:tc>
        <w:tc>
          <w:tcPr>
            <w:tcW w:w="12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7.3</w:t>
            </w:r>
          </w:p>
        </w:tc>
        <w:tc>
          <w:tcPr>
            <w:tcW w:w="11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6~9</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4" w:hRule="atLeast"/>
          <w:jc w:val="center"/>
        </w:trPr>
        <w:tc>
          <w:tcPr>
            <w:tcW w:w="140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p>
        </w:tc>
        <w:tc>
          <w:tcPr>
            <w:tcW w:w="1424"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sz w:val="21"/>
                <w:szCs w:val="21"/>
                <w:u w:val="none" w:color="auto"/>
              </w:rPr>
              <w:t>BOD</w:t>
            </w:r>
            <w:r>
              <w:rPr>
                <w:rFonts w:hint="default" w:ascii="Times New Roman" w:hAnsi="Times New Roman" w:cs="Times New Roman"/>
                <w:sz w:val="21"/>
                <w:szCs w:val="21"/>
                <w:u w:val="none" w:color="auto"/>
                <w:vertAlign w:val="subscript"/>
              </w:rPr>
              <w:t>5</w:t>
            </w:r>
          </w:p>
        </w:tc>
        <w:tc>
          <w:tcPr>
            <w:tcW w:w="1363"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2.1</w:t>
            </w:r>
          </w:p>
        </w:tc>
        <w:tc>
          <w:tcPr>
            <w:tcW w:w="1331"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2.6</w:t>
            </w:r>
          </w:p>
        </w:tc>
        <w:tc>
          <w:tcPr>
            <w:tcW w:w="1275"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2.6</w:t>
            </w:r>
          </w:p>
        </w:tc>
        <w:tc>
          <w:tcPr>
            <w:tcW w:w="1107"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sz w:val="21"/>
                <w:szCs w:val="21"/>
                <w:u w:val="none" w:color="auto"/>
              </w:rPr>
              <w:t>≤</w:t>
            </w:r>
            <w:r>
              <w:rPr>
                <w:rFonts w:hint="eastAsia" w:cs="Times New Roman"/>
                <w:sz w:val="21"/>
                <w:szCs w:val="21"/>
                <w:u w:val="none" w:color="auto"/>
                <w:lang w:val="en-US" w:eastAsia="zh-CN"/>
              </w:rPr>
              <w:t>3</w:t>
            </w:r>
          </w:p>
        </w:tc>
        <w:tc>
          <w:tcPr>
            <w:tcW w:w="987"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43" w:hRule="atLeast"/>
          <w:jc w:val="center"/>
        </w:trPr>
        <w:tc>
          <w:tcPr>
            <w:tcW w:w="140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p>
        </w:tc>
        <w:tc>
          <w:tcPr>
            <w:tcW w:w="1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COD</w:t>
            </w:r>
            <w:r>
              <w:rPr>
                <w:rFonts w:hint="default" w:ascii="Times New Roman" w:hAnsi="Times New Roman" w:cs="Times New Roman"/>
                <w:sz w:val="21"/>
                <w:szCs w:val="21"/>
                <w:u w:val="none" w:color="auto"/>
                <w:vertAlign w:val="subscript"/>
              </w:rPr>
              <w:t>Cr</w:t>
            </w:r>
          </w:p>
        </w:tc>
        <w:tc>
          <w:tcPr>
            <w:tcW w:w="136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7</w:t>
            </w:r>
          </w:p>
        </w:tc>
        <w:tc>
          <w:tcPr>
            <w:tcW w:w="13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9</w:t>
            </w:r>
          </w:p>
        </w:tc>
        <w:tc>
          <w:tcPr>
            <w:tcW w:w="12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9</w:t>
            </w:r>
          </w:p>
        </w:tc>
        <w:tc>
          <w:tcPr>
            <w:tcW w:w="11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default" w:ascii="Times New Roman" w:hAnsi="Times New Roman" w:cs="Times New Roman"/>
                <w:sz w:val="21"/>
                <w:szCs w:val="21"/>
                <w:u w:val="none" w:color="auto"/>
              </w:rPr>
              <w:t>≤</w:t>
            </w:r>
            <w:r>
              <w:rPr>
                <w:rFonts w:hint="eastAsia" w:cs="Times New Roman"/>
                <w:sz w:val="21"/>
                <w:szCs w:val="21"/>
                <w:u w:val="none" w:color="auto"/>
                <w:lang w:val="en-US" w:eastAsia="zh-CN"/>
              </w:rPr>
              <w:t>15</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lang w:val="en-US" w:eastAsia="zh-CN"/>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4" w:hRule="atLeast"/>
          <w:jc w:val="center"/>
        </w:trPr>
        <w:tc>
          <w:tcPr>
            <w:tcW w:w="140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p>
        </w:tc>
        <w:tc>
          <w:tcPr>
            <w:tcW w:w="1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氨氮</w:t>
            </w:r>
          </w:p>
        </w:tc>
        <w:tc>
          <w:tcPr>
            <w:tcW w:w="136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0.15</w:t>
            </w:r>
          </w:p>
        </w:tc>
        <w:tc>
          <w:tcPr>
            <w:tcW w:w="13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0.14</w:t>
            </w:r>
          </w:p>
        </w:tc>
        <w:tc>
          <w:tcPr>
            <w:tcW w:w="12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0.12</w:t>
            </w:r>
          </w:p>
        </w:tc>
        <w:tc>
          <w:tcPr>
            <w:tcW w:w="11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default" w:ascii="Times New Roman" w:hAnsi="Times New Roman" w:cs="Times New Roman"/>
                <w:sz w:val="21"/>
                <w:szCs w:val="21"/>
                <w:u w:val="none" w:color="auto"/>
              </w:rPr>
              <w:t>≤</w:t>
            </w:r>
            <w:r>
              <w:rPr>
                <w:rFonts w:hint="eastAsia" w:cs="Times New Roman"/>
                <w:sz w:val="21"/>
                <w:szCs w:val="21"/>
                <w:u w:val="none" w:color="auto"/>
                <w:lang w:val="en-US" w:eastAsia="zh-CN"/>
              </w:rPr>
              <w:t>0.5</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4" w:hRule="atLeast"/>
          <w:jc w:val="center"/>
        </w:trPr>
        <w:tc>
          <w:tcPr>
            <w:tcW w:w="140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p>
        </w:tc>
        <w:tc>
          <w:tcPr>
            <w:tcW w:w="1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总磷</w:t>
            </w:r>
          </w:p>
        </w:tc>
        <w:tc>
          <w:tcPr>
            <w:tcW w:w="136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0.01</w:t>
            </w:r>
          </w:p>
        </w:tc>
        <w:tc>
          <w:tcPr>
            <w:tcW w:w="13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0.02</w:t>
            </w:r>
          </w:p>
        </w:tc>
        <w:tc>
          <w:tcPr>
            <w:tcW w:w="12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0.02</w:t>
            </w:r>
          </w:p>
        </w:tc>
        <w:tc>
          <w:tcPr>
            <w:tcW w:w="11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default" w:ascii="Times New Roman" w:hAnsi="Times New Roman" w:cs="Times New Roman"/>
                <w:sz w:val="21"/>
                <w:szCs w:val="21"/>
                <w:u w:val="none" w:color="auto"/>
              </w:rPr>
              <w:t>≤0.</w:t>
            </w:r>
            <w:r>
              <w:rPr>
                <w:rFonts w:hint="eastAsia" w:cs="Times New Roman"/>
                <w:sz w:val="21"/>
                <w:szCs w:val="21"/>
                <w:u w:val="none" w:color="auto"/>
                <w:lang w:val="en-US" w:eastAsia="zh-CN"/>
              </w:rPr>
              <w:t>025</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lang w:val="en-US" w:eastAsia="zh-CN"/>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4" w:hRule="atLeast"/>
          <w:jc w:val="center"/>
        </w:trPr>
        <w:tc>
          <w:tcPr>
            <w:tcW w:w="140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p>
        </w:tc>
        <w:tc>
          <w:tcPr>
            <w:tcW w:w="1424"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sz w:val="21"/>
                <w:szCs w:val="21"/>
                <w:u w:val="none" w:color="auto"/>
                <w:lang w:val="en-US" w:eastAsia="zh-CN"/>
              </w:rPr>
              <w:t>SS</w:t>
            </w:r>
          </w:p>
        </w:tc>
        <w:tc>
          <w:tcPr>
            <w:tcW w:w="1363"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8</w:t>
            </w:r>
          </w:p>
        </w:tc>
        <w:tc>
          <w:tcPr>
            <w:tcW w:w="1331"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9</w:t>
            </w:r>
          </w:p>
        </w:tc>
        <w:tc>
          <w:tcPr>
            <w:tcW w:w="1275"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7</w:t>
            </w:r>
          </w:p>
        </w:tc>
        <w:tc>
          <w:tcPr>
            <w:tcW w:w="1107"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sz w:val="21"/>
                <w:szCs w:val="21"/>
                <w:u w:val="none" w:color="auto"/>
                <w:lang w:val="en-US" w:eastAsia="zh-CN"/>
              </w:rPr>
              <w:t>/</w:t>
            </w:r>
          </w:p>
        </w:tc>
        <w:tc>
          <w:tcPr>
            <w:tcW w:w="987"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sz w:val="21"/>
                <w:szCs w:val="21"/>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4" w:hRule="atLeast"/>
          <w:jc w:val="center"/>
        </w:trPr>
        <w:tc>
          <w:tcPr>
            <w:tcW w:w="140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p>
        </w:tc>
        <w:tc>
          <w:tcPr>
            <w:tcW w:w="1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石油类</w:t>
            </w:r>
          </w:p>
        </w:tc>
        <w:tc>
          <w:tcPr>
            <w:tcW w:w="136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0.01L</w:t>
            </w:r>
          </w:p>
        </w:tc>
        <w:tc>
          <w:tcPr>
            <w:tcW w:w="13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0.01L</w:t>
            </w:r>
          </w:p>
        </w:tc>
        <w:tc>
          <w:tcPr>
            <w:tcW w:w="12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highlight w:val="none"/>
                <w:u w:val="none" w:color="auto"/>
                <w:lang w:val="en-US" w:eastAsia="zh-CN"/>
              </w:rPr>
            </w:pPr>
            <w:r>
              <w:rPr>
                <w:rFonts w:hint="eastAsia" w:cs="Times New Roman"/>
                <w:sz w:val="21"/>
                <w:szCs w:val="21"/>
                <w:highlight w:val="none"/>
                <w:u w:val="none" w:color="auto"/>
                <w:lang w:val="en-US" w:eastAsia="zh-CN"/>
              </w:rPr>
              <w:t>0.01L</w:t>
            </w:r>
          </w:p>
        </w:tc>
        <w:tc>
          <w:tcPr>
            <w:tcW w:w="11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≤0.05</w:t>
            </w:r>
          </w:p>
        </w:tc>
        <w:tc>
          <w:tcPr>
            <w:tcW w:w="9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4" w:hRule="atLeast"/>
          <w:jc w:val="center"/>
        </w:trPr>
        <w:tc>
          <w:tcPr>
            <w:tcW w:w="8894" w:type="dxa"/>
            <w:gridSpan w:val="7"/>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sz w:val="21"/>
                <w:szCs w:val="21"/>
                <w:u w:val="none" w:color="auto"/>
              </w:rPr>
            </w:pPr>
            <w:bookmarkStart w:id="75" w:name="_Toc313794290"/>
            <w:r>
              <w:rPr>
                <w:rFonts w:hint="eastAsia"/>
                <w:spacing w:val="7"/>
                <w:sz w:val="21"/>
                <w:szCs w:val="21"/>
                <w:lang w:val="en-US" w:eastAsia="zh-CN"/>
              </w:rPr>
              <w:t>注：</w:t>
            </w:r>
            <w:r>
              <w:rPr>
                <w:spacing w:val="7"/>
                <w:sz w:val="21"/>
                <w:szCs w:val="21"/>
              </w:rPr>
              <w:t>“检出限</w:t>
            </w:r>
            <w:r>
              <w:rPr>
                <w:rFonts w:ascii="Times New Roman" w:hAnsi="Times New Roman" w:eastAsia="Times New Roman" w:cs="Times New Roman"/>
                <w:spacing w:val="7"/>
                <w:sz w:val="21"/>
                <w:szCs w:val="21"/>
              </w:rPr>
              <w:t>+L</w:t>
            </w:r>
            <w:r>
              <w:rPr>
                <w:rFonts w:ascii="Times New Roman" w:hAnsi="Times New Roman" w:eastAsia="Times New Roman" w:cs="Times New Roman"/>
                <w:spacing w:val="-23"/>
                <w:sz w:val="21"/>
                <w:szCs w:val="21"/>
              </w:rPr>
              <w:t xml:space="preserve"> </w:t>
            </w:r>
            <w:r>
              <w:rPr>
                <w:spacing w:val="7"/>
                <w:sz w:val="21"/>
                <w:szCs w:val="21"/>
              </w:rPr>
              <w:t>”表示检测结果低于本方法检出限，未检出；</w:t>
            </w:r>
          </w:p>
        </w:tc>
      </w:tr>
    </w:tbl>
    <w:p>
      <w:pPr>
        <w:ind w:firstLine="480"/>
        <w:rPr>
          <w:color w:val="000000" w:themeColor="text1"/>
          <w:sz w:val="24"/>
          <w:szCs w:val="24"/>
          <w:u w:val="none" w:color="auto"/>
          <w14:textFill>
            <w14:solidFill>
              <w14:schemeClr w14:val="tx1"/>
            </w14:solidFill>
          </w14:textFill>
        </w:rPr>
      </w:pPr>
      <w:bookmarkStart w:id="76" w:name="_Toc17363"/>
      <w:bookmarkEnd w:id="76"/>
      <w:bookmarkStart w:id="77" w:name="_Toc467051291"/>
      <w:bookmarkEnd w:id="77"/>
      <w:bookmarkStart w:id="78" w:name="_Toc467059043"/>
      <w:bookmarkEnd w:id="78"/>
      <w:r>
        <w:rPr>
          <w:rFonts w:ascii="宋体" w:hAnsi="宋体" w:cs="Times New Roman"/>
          <w:u w:val="none" w:color="auto"/>
        </w:rPr>
        <w:t>根据上表监测结果可知，</w:t>
      </w:r>
      <w:r>
        <w:rPr>
          <w:rFonts w:hint="eastAsia" w:ascii="宋体" w:hAnsi="宋体" w:cs="Times New Roman"/>
          <w:u w:val="none" w:color="auto"/>
          <w:lang w:val="en-US" w:eastAsia="zh-CN"/>
        </w:rPr>
        <w:t>两江口</w:t>
      </w:r>
      <w:r>
        <w:rPr>
          <w:rFonts w:hint="default" w:ascii="Times New Roman" w:hAnsi="Times New Roman" w:cs="Times New Roman"/>
          <w:color w:val="000000"/>
          <w:sz w:val="24"/>
          <w:u w:val="none" w:color="auto"/>
        </w:rPr>
        <w:t>水库</w:t>
      </w:r>
      <w:r>
        <w:rPr>
          <w:rFonts w:ascii="宋体" w:hAnsi="宋体" w:cs="Times New Roman"/>
          <w:u w:val="none" w:color="auto"/>
        </w:rPr>
        <w:t>各监测因子均符合《地表水环境质量标准》</w:t>
      </w:r>
      <w:bookmarkEnd w:id="75"/>
      <w:r>
        <w:rPr>
          <w:rFonts w:cs="Times New Roman"/>
          <w:u w:val="none" w:color="auto"/>
        </w:rPr>
        <w:t>(GB3838-2002)</w:t>
      </w:r>
      <w:r>
        <w:rPr>
          <w:rFonts w:hint="eastAsia" w:hAnsi="宋体" w:cs="Times New Roman"/>
          <w:u w:val="none" w:color="auto"/>
          <w:lang w:val="en-US" w:eastAsia="zh-CN"/>
        </w:rPr>
        <w:t>II</w:t>
      </w:r>
      <w:r>
        <w:rPr>
          <w:rFonts w:hAnsi="宋体" w:cs="Times New Roman"/>
          <w:u w:val="none" w:color="auto"/>
        </w:rPr>
        <w:t>类标准要求</w:t>
      </w:r>
      <w:r>
        <w:rPr>
          <w:color w:val="000000" w:themeColor="text1"/>
          <w:sz w:val="24"/>
          <w:szCs w:val="24"/>
          <w:u w:val="none" w:color="auto"/>
          <w14:textFill>
            <w14:solidFill>
              <w14:schemeClr w14:val="tx1"/>
            </w14:solidFill>
          </w14:textFill>
        </w:rPr>
        <w:t>。</w:t>
      </w:r>
    </w:p>
    <w:p>
      <w:pPr>
        <w:pStyle w:val="458"/>
        <w:ind w:firstLine="602"/>
        <w:rPr>
          <w:rFonts w:ascii="Times New Roman" w:hAnsi="Times New Roman" w:eastAsia="宋体" w:cs="Times New Roman"/>
          <w:color w:val="000000" w:themeColor="text1"/>
          <w:u w:val="none" w:color="auto"/>
          <w14:textFill>
            <w14:solidFill>
              <w14:schemeClr w14:val="tx1"/>
            </w14:solidFill>
          </w14:textFill>
        </w:rPr>
      </w:pPr>
      <w:r>
        <w:rPr>
          <w:rFonts w:ascii="Times New Roman" w:hAnsi="Times New Roman" w:eastAsia="宋体" w:cs="Times New Roman"/>
          <w:color w:val="000000" w:themeColor="text1"/>
          <w:u w:val="none" w:color="auto"/>
          <w14:textFill>
            <w14:solidFill>
              <w14:schemeClr w14:val="tx1"/>
            </w14:solidFill>
          </w14:textFill>
        </w:rPr>
        <w:t>环境空气现状</w:t>
      </w:r>
      <w:bookmarkEnd w:id="67"/>
      <w:bookmarkEnd w:id="68"/>
      <w:bookmarkEnd w:id="69"/>
      <w:r>
        <w:rPr>
          <w:rFonts w:ascii="Times New Roman" w:hAnsi="Times New Roman" w:eastAsia="宋体" w:cs="Times New Roman"/>
          <w:color w:val="000000" w:themeColor="text1"/>
          <w:u w:val="none" w:color="auto"/>
          <w14:textFill>
            <w14:solidFill>
              <w14:schemeClr w14:val="tx1"/>
            </w14:solidFill>
          </w14:textFill>
        </w:rPr>
        <w:t>调查与评价</w:t>
      </w:r>
    </w:p>
    <w:p>
      <w:pPr>
        <w:widowControl/>
        <w:spacing w:line="360" w:lineRule="auto"/>
        <w:ind w:firstLine="480" w:firstLineChars="200"/>
        <w:rPr>
          <w:rFonts w:hint="default"/>
          <w:b w:val="0"/>
          <w:bCs w:val="0"/>
          <w:kern w:val="2"/>
          <w:sz w:val="24"/>
          <w:szCs w:val="24"/>
          <w:u w:val="none" w:color="auto"/>
          <w:lang w:val="en-US" w:eastAsia="zh-CN" w:bidi="ar-SA"/>
        </w:rPr>
      </w:pPr>
      <w:r>
        <w:t>根据《环境影响评价导则 大气环境》（HJ2.2-2018），判定项目所在区域达标情况，优先采用国家或地方生态环境主管部门发布的近3年中相对完整的1个日历年环境质量公告或环境质量报告中的数据或结论。</w:t>
      </w:r>
      <w:r>
        <w:rPr>
          <w:rFonts w:hint="eastAsia"/>
          <w:lang w:val="en-US" w:eastAsia="zh-CN"/>
        </w:rPr>
        <w:t>本项目收集了</w:t>
      </w:r>
      <w:r>
        <w:rPr>
          <w:rFonts w:hint="eastAsia"/>
          <w:b w:val="0"/>
          <w:bCs w:val="0"/>
          <w:kern w:val="2"/>
          <w:sz w:val="24"/>
          <w:szCs w:val="24"/>
          <w:u w:val="none" w:color="auto"/>
          <w:lang w:val="en-US" w:eastAsia="zh-CN" w:bidi="ar-SA"/>
        </w:rPr>
        <w:t>永州市生态环境局蓝山分局公布的蓝山县</w:t>
      </w:r>
      <w:r>
        <w:rPr>
          <w:rFonts w:hint="default"/>
          <w:b w:val="0"/>
          <w:bCs w:val="0"/>
          <w:kern w:val="2"/>
          <w:sz w:val="24"/>
          <w:szCs w:val="24"/>
          <w:u w:val="none" w:color="auto"/>
          <w:lang w:val="en-US" w:eastAsia="zh-CN" w:bidi="ar-SA"/>
        </w:rPr>
        <w:t>环境质量</w:t>
      </w:r>
      <w:r>
        <w:rPr>
          <w:rFonts w:hint="eastAsia"/>
          <w:b w:val="0"/>
          <w:bCs w:val="0"/>
          <w:kern w:val="2"/>
          <w:sz w:val="24"/>
          <w:szCs w:val="24"/>
          <w:u w:val="none" w:color="auto"/>
          <w:lang w:val="en-US" w:eastAsia="zh-CN" w:bidi="ar-SA"/>
        </w:rPr>
        <w:t>简报</w:t>
      </w:r>
      <w:r>
        <w:rPr>
          <w:rFonts w:hint="default"/>
          <w:b w:val="0"/>
          <w:bCs w:val="0"/>
          <w:kern w:val="2"/>
          <w:sz w:val="24"/>
          <w:szCs w:val="24"/>
          <w:u w:val="none" w:color="auto"/>
          <w:lang w:val="en-US" w:eastAsia="zh-CN" w:bidi="ar-SA"/>
        </w:rPr>
        <w:t>。</w:t>
      </w:r>
    </w:p>
    <w:p>
      <w:pPr>
        <w:pStyle w:val="3587"/>
        <w:bidi w:val="0"/>
        <w:rPr>
          <w:rFonts w:hint="default" w:ascii="Times New Roman" w:hAnsi="Times New Roman" w:eastAsia="宋体" w:cs="Times New Roman"/>
          <w:u w:val="none" w:color="auto"/>
          <w:lang w:eastAsia="zh-CN"/>
        </w:rPr>
      </w:pPr>
      <w:bookmarkStart w:id="79" w:name="_Hlk66164126"/>
      <w:r>
        <w:rPr>
          <w:rFonts w:hint="default" w:ascii="Times New Roman" w:hAnsi="Times New Roman" w:eastAsia="宋体" w:cs="Times New Roman"/>
          <w:u w:val="none" w:color="auto"/>
          <w:lang w:eastAsia="zh-CN"/>
        </w:rPr>
        <w:t>202</w:t>
      </w:r>
      <w:r>
        <w:rPr>
          <w:rFonts w:hint="eastAsia" w:cs="Times New Roman"/>
          <w:u w:val="none" w:color="auto"/>
          <w:lang w:val="en-US" w:eastAsia="zh-CN"/>
        </w:rPr>
        <w:t>3</w:t>
      </w:r>
      <w:r>
        <w:rPr>
          <w:rFonts w:hint="default" w:ascii="Times New Roman" w:hAnsi="Times New Roman" w:eastAsia="宋体" w:cs="Times New Roman"/>
          <w:u w:val="none" w:color="auto"/>
          <w:lang w:eastAsia="zh-CN"/>
        </w:rPr>
        <w:t>年</w:t>
      </w:r>
      <w:r>
        <w:rPr>
          <w:rFonts w:hint="eastAsia" w:cs="Times New Roman"/>
          <w:u w:val="none" w:color="auto"/>
          <w:lang w:eastAsia="zh-CN"/>
        </w:rPr>
        <w:t>蓝山</w:t>
      </w:r>
      <w:r>
        <w:rPr>
          <w:rFonts w:hint="default" w:ascii="Times New Roman" w:hAnsi="Times New Roman" w:eastAsia="宋体" w:cs="Times New Roman"/>
          <w:u w:val="none" w:color="auto"/>
          <w:lang w:eastAsia="zh-CN"/>
        </w:rPr>
        <w:t>县城区空气质量</w:t>
      </w:r>
      <w:bookmarkEnd w:id="79"/>
      <w:r>
        <w:rPr>
          <w:rFonts w:hint="default" w:ascii="Times New Roman" w:hAnsi="Times New Roman" w:eastAsia="宋体" w:cs="Times New Roman"/>
          <w:u w:val="none" w:color="auto"/>
          <w:lang w:eastAsia="zh-CN"/>
        </w:rPr>
        <w:t>现状评价表</w:t>
      </w:r>
    </w:p>
    <w:tbl>
      <w:tblPr>
        <w:tblStyle w:val="88"/>
        <w:tblW w:w="929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53"/>
        <w:gridCol w:w="3082"/>
        <w:gridCol w:w="1382"/>
        <w:gridCol w:w="1382"/>
        <w:gridCol w:w="1338"/>
        <w:gridCol w:w="10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3"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 w:val="21"/>
                <w:szCs w:val="21"/>
                <w:u w:val="none" w:color="auto"/>
              </w:rPr>
              <w:t>污染物</w:t>
            </w:r>
          </w:p>
        </w:tc>
        <w:tc>
          <w:tcPr>
            <w:tcW w:w="30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olor w:val="000000"/>
                <w:sz w:val="21"/>
                <w:szCs w:val="21"/>
                <w:u w:val="none" w:color="auto"/>
                <w:lang w:eastAsia="zh-CN"/>
              </w:rPr>
            </w:pPr>
            <w:r>
              <w:rPr>
                <w:rFonts w:hint="eastAsia" w:ascii="Times New Roman" w:hAnsi="Times New Roman"/>
                <w:color w:val="000000"/>
                <w:sz w:val="21"/>
                <w:szCs w:val="21"/>
                <w:u w:val="none" w:color="auto"/>
                <w:lang w:val="en-US" w:eastAsia="zh-CN"/>
              </w:rPr>
              <w:t>时段</w:t>
            </w:r>
          </w:p>
        </w:tc>
        <w:tc>
          <w:tcPr>
            <w:tcW w:w="13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 w:val="21"/>
                <w:szCs w:val="21"/>
                <w:u w:val="none" w:color="auto"/>
              </w:rPr>
              <w:t>现状浓度 (μg/m</w:t>
            </w:r>
            <w:r>
              <w:rPr>
                <w:rFonts w:ascii="Times New Roman" w:hAnsi="Times New Roman"/>
                <w:color w:val="000000"/>
                <w:sz w:val="21"/>
                <w:szCs w:val="21"/>
                <w:u w:val="none" w:color="auto"/>
                <w:vertAlign w:val="superscript"/>
              </w:rPr>
              <w:t>3</w:t>
            </w:r>
            <w:r>
              <w:rPr>
                <w:rFonts w:ascii="Times New Roman" w:hAnsi="Times New Roman"/>
                <w:color w:val="000000"/>
                <w:sz w:val="21"/>
                <w:szCs w:val="21"/>
                <w:u w:val="none" w:color="auto"/>
              </w:rPr>
              <w:t>)</w:t>
            </w:r>
          </w:p>
        </w:tc>
        <w:tc>
          <w:tcPr>
            <w:tcW w:w="13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 w:val="21"/>
                <w:szCs w:val="21"/>
                <w:u w:val="none" w:color="auto"/>
              </w:rPr>
              <w:t>标准值 (μg/m</w:t>
            </w:r>
            <w:r>
              <w:rPr>
                <w:rFonts w:ascii="Times New Roman" w:hAnsi="Times New Roman"/>
                <w:color w:val="000000"/>
                <w:sz w:val="21"/>
                <w:szCs w:val="21"/>
                <w:u w:val="none" w:color="auto"/>
                <w:vertAlign w:val="superscript"/>
              </w:rPr>
              <w:t>3</w:t>
            </w:r>
            <w:r>
              <w:rPr>
                <w:rFonts w:ascii="Times New Roman" w:hAnsi="Times New Roman"/>
                <w:color w:val="000000"/>
                <w:sz w:val="21"/>
                <w:szCs w:val="21"/>
                <w:u w:val="none" w:color="auto"/>
              </w:rPr>
              <w:t>)</w:t>
            </w:r>
          </w:p>
        </w:tc>
        <w:tc>
          <w:tcPr>
            <w:tcW w:w="1338"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 w:val="21"/>
                <w:szCs w:val="21"/>
                <w:u w:val="none" w:color="auto"/>
              </w:rPr>
              <w:t>占标率</w:t>
            </w:r>
          </w:p>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 w:val="21"/>
                <w:szCs w:val="21"/>
                <w:u w:val="none" w:color="auto"/>
              </w:rPr>
              <w:t>%</w:t>
            </w:r>
          </w:p>
        </w:tc>
        <w:tc>
          <w:tcPr>
            <w:tcW w:w="1054"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 w:val="21"/>
                <w:szCs w:val="21"/>
                <w:u w:val="none" w:color="auto"/>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3"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 w:val="21"/>
                <w:szCs w:val="21"/>
                <w:u w:val="none" w:color="auto"/>
              </w:rPr>
              <w:t>SO</w:t>
            </w:r>
            <w:r>
              <w:rPr>
                <w:rFonts w:ascii="Times New Roman" w:hAnsi="Times New Roman"/>
                <w:color w:val="000000"/>
                <w:sz w:val="21"/>
                <w:szCs w:val="21"/>
                <w:u w:val="none" w:color="auto"/>
                <w:vertAlign w:val="subscript"/>
              </w:rPr>
              <w:t>2</w:t>
            </w:r>
          </w:p>
        </w:tc>
        <w:tc>
          <w:tcPr>
            <w:tcW w:w="30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 w:val="21"/>
                <w:szCs w:val="21"/>
                <w:u w:val="none" w:color="auto"/>
              </w:rPr>
              <w:t>年平均质量浓度</w:t>
            </w:r>
          </w:p>
        </w:tc>
        <w:tc>
          <w:tcPr>
            <w:tcW w:w="13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s="Times New Roman"/>
                <w:color w:val="000000"/>
                <w:szCs w:val="21"/>
                <w:u w:val="none" w:color="auto"/>
              </w:rPr>
            </w:pPr>
            <w:r>
              <w:rPr>
                <w:rFonts w:ascii="Times New Roman" w:hAnsi="Times New Roman" w:cs="Times New Roman"/>
                <w:color w:val="000000"/>
                <w:szCs w:val="21"/>
                <w:u w:val="none" w:color="auto"/>
              </w:rPr>
              <w:t>5</w:t>
            </w:r>
          </w:p>
        </w:tc>
        <w:tc>
          <w:tcPr>
            <w:tcW w:w="13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s="Times New Roman"/>
                <w:color w:val="000000"/>
                <w:szCs w:val="21"/>
                <w:u w:val="none" w:color="auto"/>
              </w:rPr>
            </w:pPr>
            <w:r>
              <w:rPr>
                <w:rFonts w:ascii="Times New Roman" w:hAnsi="Times New Roman" w:cs="Times New Roman"/>
                <w:color w:val="000000"/>
                <w:szCs w:val="21"/>
                <w:u w:val="none" w:color="auto"/>
              </w:rPr>
              <w:t>60</w:t>
            </w:r>
          </w:p>
        </w:tc>
        <w:tc>
          <w:tcPr>
            <w:tcW w:w="1338"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s="Times New Roman"/>
                <w:color w:val="000000"/>
                <w:szCs w:val="21"/>
                <w:u w:val="none" w:color="auto"/>
              </w:rPr>
            </w:pPr>
            <w:r>
              <w:rPr>
                <w:rFonts w:hint="eastAsia" w:ascii="Times New Roman" w:hAnsi="Times New Roman" w:cs="Times New Roman"/>
                <w:color w:val="000000"/>
                <w:szCs w:val="21"/>
                <w:u w:val="none" w:color="auto"/>
              </w:rPr>
              <w:t>8.3</w:t>
            </w:r>
          </w:p>
        </w:tc>
        <w:tc>
          <w:tcPr>
            <w:tcW w:w="1054"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3"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 w:val="21"/>
                <w:szCs w:val="21"/>
                <w:u w:val="none" w:color="auto"/>
              </w:rPr>
              <w:t>NO</w:t>
            </w:r>
            <w:r>
              <w:rPr>
                <w:rFonts w:ascii="Times New Roman" w:hAnsi="Times New Roman"/>
                <w:color w:val="000000"/>
                <w:sz w:val="21"/>
                <w:szCs w:val="21"/>
                <w:u w:val="none" w:color="auto"/>
                <w:vertAlign w:val="subscript"/>
              </w:rPr>
              <w:t>2</w:t>
            </w:r>
          </w:p>
        </w:tc>
        <w:tc>
          <w:tcPr>
            <w:tcW w:w="30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 w:val="21"/>
                <w:szCs w:val="21"/>
                <w:u w:val="none" w:color="auto"/>
              </w:rPr>
              <w:t>年平均质量浓度</w:t>
            </w:r>
          </w:p>
        </w:tc>
        <w:tc>
          <w:tcPr>
            <w:tcW w:w="13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szCs w:val="21"/>
                <w:u w:val="none" w:color="auto"/>
                <w:lang w:eastAsia="zh-CN"/>
              </w:rPr>
            </w:pPr>
            <w:r>
              <w:rPr>
                <w:rFonts w:ascii="Times New Roman" w:hAnsi="Times New Roman" w:cs="Times New Roman"/>
                <w:color w:val="000000"/>
                <w:szCs w:val="21"/>
                <w:u w:val="none" w:color="auto"/>
              </w:rPr>
              <w:t>1</w:t>
            </w:r>
            <w:r>
              <w:rPr>
                <w:rFonts w:hint="eastAsia" w:ascii="Times New Roman" w:hAnsi="Times New Roman" w:cs="Times New Roman"/>
                <w:color w:val="000000"/>
                <w:szCs w:val="21"/>
                <w:u w:val="none" w:color="auto"/>
                <w:lang w:val="en-US" w:eastAsia="zh-CN"/>
              </w:rPr>
              <w:t>0</w:t>
            </w:r>
          </w:p>
        </w:tc>
        <w:tc>
          <w:tcPr>
            <w:tcW w:w="13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s="Times New Roman"/>
                <w:color w:val="000000"/>
                <w:szCs w:val="21"/>
                <w:u w:val="none" w:color="auto"/>
              </w:rPr>
            </w:pPr>
            <w:r>
              <w:rPr>
                <w:rFonts w:ascii="Times New Roman" w:hAnsi="Times New Roman" w:cs="Times New Roman"/>
                <w:color w:val="000000"/>
                <w:szCs w:val="21"/>
                <w:u w:val="none" w:color="auto"/>
              </w:rPr>
              <w:t>40</w:t>
            </w:r>
          </w:p>
        </w:tc>
        <w:tc>
          <w:tcPr>
            <w:tcW w:w="1338"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szCs w:val="21"/>
                <w:u w:val="none" w:color="auto"/>
                <w:lang w:val="en-US" w:eastAsia="zh-CN"/>
              </w:rPr>
            </w:pPr>
            <w:r>
              <w:rPr>
                <w:rFonts w:hint="eastAsia" w:ascii="Times New Roman" w:hAnsi="Times New Roman" w:cs="Times New Roman"/>
                <w:color w:val="000000"/>
                <w:szCs w:val="21"/>
                <w:u w:val="none" w:color="auto"/>
                <w:lang w:val="en-US" w:eastAsia="zh-CN"/>
              </w:rPr>
              <w:t>25.0</w:t>
            </w:r>
          </w:p>
        </w:tc>
        <w:tc>
          <w:tcPr>
            <w:tcW w:w="1054"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3"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 w:val="21"/>
                <w:szCs w:val="21"/>
                <w:u w:val="none" w:color="auto"/>
              </w:rPr>
              <w:t>PM</w:t>
            </w:r>
            <w:r>
              <w:rPr>
                <w:rFonts w:ascii="Times New Roman" w:hAnsi="Times New Roman"/>
                <w:color w:val="000000"/>
                <w:sz w:val="21"/>
                <w:szCs w:val="21"/>
                <w:u w:val="none" w:color="auto"/>
                <w:vertAlign w:val="subscript"/>
              </w:rPr>
              <w:t>10</w:t>
            </w:r>
          </w:p>
        </w:tc>
        <w:tc>
          <w:tcPr>
            <w:tcW w:w="30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 w:val="21"/>
                <w:szCs w:val="21"/>
                <w:u w:val="none" w:color="auto"/>
              </w:rPr>
              <w:t>年平均质量浓度</w:t>
            </w:r>
          </w:p>
        </w:tc>
        <w:tc>
          <w:tcPr>
            <w:tcW w:w="13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s="Times New Roman"/>
                <w:color w:val="000000"/>
                <w:szCs w:val="21"/>
                <w:u w:val="none" w:color="auto"/>
              </w:rPr>
            </w:pPr>
            <w:r>
              <w:rPr>
                <w:rFonts w:ascii="Times New Roman" w:hAnsi="Times New Roman" w:cs="Times New Roman"/>
                <w:color w:val="000000"/>
                <w:szCs w:val="21"/>
                <w:u w:val="none" w:color="auto"/>
              </w:rPr>
              <w:t>26</w:t>
            </w:r>
          </w:p>
        </w:tc>
        <w:tc>
          <w:tcPr>
            <w:tcW w:w="13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s="Times New Roman"/>
                <w:color w:val="000000"/>
                <w:szCs w:val="21"/>
                <w:u w:val="none" w:color="auto"/>
              </w:rPr>
            </w:pPr>
            <w:r>
              <w:rPr>
                <w:rFonts w:ascii="Times New Roman" w:hAnsi="Times New Roman" w:cs="Times New Roman"/>
                <w:color w:val="000000"/>
                <w:szCs w:val="21"/>
                <w:u w:val="none" w:color="auto"/>
              </w:rPr>
              <w:t>35</w:t>
            </w:r>
          </w:p>
        </w:tc>
        <w:tc>
          <w:tcPr>
            <w:tcW w:w="1338"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s="Times New Roman"/>
                <w:color w:val="000000"/>
                <w:szCs w:val="21"/>
                <w:u w:val="none" w:color="auto"/>
              </w:rPr>
            </w:pPr>
            <w:r>
              <w:rPr>
                <w:rFonts w:ascii="Times New Roman" w:hAnsi="Times New Roman" w:cs="Times New Roman"/>
                <w:color w:val="000000"/>
                <w:szCs w:val="21"/>
                <w:u w:val="none" w:color="auto"/>
              </w:rPr>
              <w:t>74.29</w:t>
            </w:r>
          </w:p>
        </w:tc>
        <w:tc>
          <w:tcPr>
            <w:tcW w:w="1054"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3"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 w:val="21"/>
                <w:szCs w:val="21"/>
                <w:u w:val="none" w:color="auto"/>
              </w:rPr>
              <w:t>PM</w:t>
            </w:r>
            <w:r>
              <w:rPr>
                <w:rFonts w:ascii="Times New Roman" w:hAnsi="Times New Roman"/>
                <w:color w:val="000000"/>
                <w:sz w:val="21"/>
                <w:szCs w:val="21"/>
                <w:u w:val="none" w:color="auto"/>
                <w:vertAlign w:val="subscript"/>
              </w:rPr>
              <w:t>2.5</w:t>
            </w:r>
          </w:p>
        </w:tc>
        <w:tc>
          <w:tcPr>
            <w:tcW w:w="30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 w:val="21"/>
                <w:szCs w:val="21"/>
                <w:u w:val="none" w:color="auto"/>
              </w:rPr>
              <w:t>年平均质量浓度</w:t>
            </w:r>
          </w:p>
        </w:tc>
        <w:tc>
          <w:tcPr>
            <w:tcW w:w="13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s="Times New Roman"/>
                <w:color w:val="000000"/>
                <w:szCs w:val="21"/>
                <w:u w:val="none" w:color="auto"/>
              </w:rPr>
            </w:pPr>
            <w:r>
              <w:rPr>
                <w:rFonts w:ascii="Times New Roman" w:hAnsi="Times New Roman" w:cs="Times New Roman"/>
                <w:color w:val="000000"/>
                <w:szCs w:val="21"/>
                <w:u w:val="none" w:color="auto"/>
              </w:rPr>
              <w:t>39</w:t>
            </w:r>
          </w:p>
        </w:tc>
        <w:tc>
          <w:tcPr>
            <w:tcW w:w="13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s="Times New Roman"/>
                <w:color w:val="000000"/>
                <w:szCs w:val="21"/>
                <w:u w:val="none" w:color="auto"/>
              </w:rPr>
            </w:pPr>
            <w:r>
              <w:rPr>
                <w:rFonts w:ascii="Times New Roman" w:hAnsi="Times New Roman" w:cs="Times New Roman"/>
                <w:color w:val="000000"/>
                <w:szCs w:val="21"/>
                <w:u w:val="none" w:color="auto"/>
              </w:rPr>
              <w:t>70</w:t>
            </w:r>
          </w:p>
        </w:tc>
        <w:tc>
          <w:tcPr>
            <w:tcW w:w="1338"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s="Times New Roman"/>
                <w:color w:val="000000"/>
                <w:szCs w:val="21"/>
                <w:u w:val="none" w:color="auto"/>
              </w:rPr>
            </w:pPr>
            <w:r>
              <w:rPr>
                <w:rFonts w:ascii="Times New Roman" w:hAnsi="Times New Roman" w:cs="Times New Roman"/>
                <w:color w:val="000000"/>
                <w:szCs w:val="21"/>
                <w:u w:val="none" w:color="auto"/>
              </w:rPr>
              <w:t>55.71</w:t>
            </w:r>
          </w:p>
        </w:tc>
        <w:tc>
          <w:tcPr>
            <w:tcW w:w="1054"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3"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 w:val="21"/>
                <w:szCs w:val="21"/>
                <w:u w:val="none" w:color="auto"/>
              </w:rPr>
              <w:t>CO</w:t>
            </w:r>
          </w:p>
        </w:tc>
        <w:tc>
          <w:tcPr>
            <w:tcW w:w="30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 w:val="21"/>
                <w:szCs w:val="21"/>
                <w:u w:val="none" w:color="auto"/>
              </w:rPr>
              <w:t>日均值第95百分位浓度均值</w:t>
            </w:r>
          </w:p>
        </w:tc>
        <w:tc>
          <w:tcPr>
            <w:tcW w:w="13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s="Times New Roman"/>
                <w:color w:val="000000"/>
                <w:szCs w:val="21"/>
                <w:u w:val="none" w:color="auto"/>
              </w:rPr>
            </w:pPr>
            <w:r>
              <w:rPr>
                <w:rFonts w:ascii="Times New Roman" w:hAnsi="Times New Roman" w:cs="Times New Roman"/>
                <w:color w:val="000000"/>
                <w:szCs w:val="21"/>
                <w:u w:val="none" w:color="auto"/>
              </w:rPr>
              <w:t>1200</w:t>
            </w:r>
          </w:p>
        </w:tc>
        <w:tc>
          <w:tcPr>
            <w:tcW w:w="13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s="Times New Roman"/>
                <w:color w:val="000000"/>
                <w:szCs w:val="21"/>
                <w:u w:val="none" w:color="auto"/>
              </w:rPr>
            </w:pPr>
            <w:r>
              <w:rPr>
                <w:rFonts w:ascii="Times New Roman" w:hAnsi="Times New Roman" w:cs="Times New Roman"/>
                <w:color w:val="000000"/>
                <w:szCs w:val="21"/>
                <w:u w:val="none" w:color="auto"/>
              </w:rPr>
              <w:t>4000</w:t>
            </w:r>
          </w:p>
        </w:tc>
        <w:tc>
          <w:tcPr>
            <w:tcW w:w="1338"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s="Times New Roman"/>
                <w:color w:val="000000"/>
                <w:szCs w:val="21"/>
                <w:u w:val="none" w:color="auto"/>
              </w:rPr>
            </w:pPr>
            <w:r>
              <w:rPr>
                <w:rFonts w:ascii="Times New Roman" w:hAnsi="Times New Roman" w:cs="Times New Roman"/>
                <w:color w:val="000000"/>
                <w:szCs w:val="21"/>
                <w:u w:val="none" w:color="auto"/>
              </w:rPr>
              <w:t>30.0</w:t>
            </w:r>
          </w:p>
        </w:tc>
        <w:tc>
          <w:tcPr>
            <w:tcW w:w="1054"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3"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 w:val="21"/>
                <w:szCs w:val="21"/>
                <w:u w:val="none" w:color="auto"/>
              </w:rPr>
              <w:t>O</w:t>
            </w:r>
            <w:r>
              <w:rPr>
                <w:rFonts w:ascii="Times New Roman" w:hAnsi="Times New Roman"/>
                <w:color w:val="000000"/>
                <w:sz w:val="21"/>
                <w:szCs w:val="21"/>
                <w:u w:val="none" w:color="auto"/>
                <w:vertAlign w:val="subscript"/>
              </w:rPr>
              <w:t>3</w:t>
            </w:r>
          </w:p>
        </w:tc>
        <w:tc>
          <w:tcPr>
            <w:tcW w:w="30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 w:val="21"/>
                <w:szCs w:val="21"/>
                <w:u w:val="none" w:color="auto"/>
              </w:rPr>
              <w:t>日最大8小时平均</w:t>
            </w:r>
          </w:p>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 w:val="21"/>
                <w:szCs w:val="21"/>
                <w:u w:val="none" w:color="auto"/>
              </w:rPr>
              <w:t>第90百分位浓度均值</w:t>
            </w:r>
          </w:p>
        </w:tc>
        <w:tc>
          <w:tcPr>
            <w:tcW w:w="13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s="Times New Roman"/>
                <w:color w:val="000000"/>
                <w:szCs w:val="21"/>
                <w:u w:val="none" w:color="auto"/>
              </w:rPr>
            </w:pPr>
            <w:r>
              <w:rPr>
                <w:rFonts w:ascii="Times New Roman" w:hAnsi="Times New Roman" w:cs="Times New Roman"/>
                <w:color w:val="000000"/>
                <w:szCs w:val="21"/>
                <w:u w:val="none" w:color="auto"/>
              </w:rPr>
              <w:t>123</w:t>
            </w:r>
          </w:p>
        </w:tc>
        <w:tc>
          <w:tcPr>
            <w:tcW w:w="1382"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s="Times New Roman"/>
                <w:color w:val="000000"/>
                <w:szCs w:val="21"/>
                <w:u w:val="none" w:color="auto"/>
              </w:rPr>
            </w:pPr>
            <w:r>
              <w:rPr>
                <w:rFonts w:ascii="Times New Roman" w:hAnsi="Times New Roman" w:cs="Times New Roman"/>
                <w:color w:val="000000"/>
                <w:szCs w:val="21"/>
                <w:u w:val="none" w:color="auto"/>
              </w:rPr>
              <w:t>160</w:t>
            </w:r>
          </w:p>
        </w:tc>
        <w:tc>
          <w:tcPr>
            <w:tcW w:w="1338"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s="Times New Roman"/>
                <w:color w:val="000000"/>
                <w:szCs w:val="21"/>
                <w:u w:val="none" w:color="auto"/>
              </w:rPr>
            </w:pPr>
            <w:r>
              <w:rPr>
                <w:rFonts w:ascii="Times New Roman" w:hAnsi="Times New Roman" w:cs="Times New Roman"/>
                <w:color w:val="000000"/>
                <w:szCs w:val="21"/>
                <w:u w:val="none" w:color="auto"/>
              </w:rPr>
              <w:t>76.85</w:t>
            </w:r>
          </w:p>
        </w:tc>
        <w:tc>
          <w:tcPr>
            <w:tcW w:w="1054" w:type="dxa"/>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Times New Roman" w:hAnsi="Times New Roman"/>
                <w:color w:val="000000"/>
                <w:sz w:val="21"/>
                <w:szCs w:val="21"/>
                <w:u w:val="none" w:color="auto"/>
              </w:rPr>
            </w:pPr>
            <w:r>
              <w:rPr>
                <w:rFonts w:ascii="Times New Roman" w:hAnsi="Times New Roman"/>
                <w:color w:val="000000"/>
                <w:szCs w:val="21"/>
                <w:u w:val="none" w:color="auto"/>
              </w:rPr>
              <w:t>达标</w:t>
            </w:r>
          </w:p>
        </w:tc>
      </w:tr>
    </w:tbl>
    <w:p>
      <w:pPr>
        <w:widowControl/>
        <w:spacing w:line="360" w:lineRule="auto"/>
        <w:ind w:firstLine="480" w:firstLineChars="200"/>
        <w:rPr>
          <w:u w:val="none" w:color="auto"/>
          <w:lang w:val="en-US"/>
        </w:rPr>
      </w:pPr>
      <w:r>
        <w:rPr>
          <w:rFonts w:hint="default" w:ascii="Times New Roman" w:hAnsi="Times New Roman" w:eastAsia="宋体" w:cs="Times New Roman"/>
          <w:color w:val="000000"/>
          <w:sz w:val="24"/>
          <w:szCs w:val="24"/>
          <w:u w:val="none" w:color="auto"/>
        </w:rPr>
        <w:t>由上表可知，</w:t>
      </w:r>
      <w:r>
        <w:rPr>
          <w:rFonts w:hint="eastAsia" w:cs="Times New Roman"/>
          <w:color w:val="000000"/>
          <w:sz w:val="24"/>
          <w:szCs w:val="24"/>
          <w:u w:val="none" w:color="auto"/>
          <w:lang w:eastAsia="zh-CN"/>
        </w:rPr>
        <w:t>蓝山</w:t>
      </w:r>
      <w:r>
        <w:rPr>
          <w:rFonts w:hint="default" w:ascii="Times New Roman" w:hAnsi="Times New Roman" w:eastAsia="宋体" w:cs="Times New Roman"/>
          <w:color w:val="000000"/>
          <w:sz w:val="24"/>
          <w:szCs w:val="24"/>
          <w:u w:val="none" w:color="auto"/>
        </w:rPr>
        <w:t>县SO</w:t>
      </w:r>
      <w:r>
        <w:rPr>
          <w:rFonts w:hint="default" w:ascii="Times New Roman" w:hAnsi="Times New Roman" w:eastAsia="宋体" w:cs="Times New Roman"/>
          <w:color w:val="000000"/>
          <w:sz w:val="24"/>
          <w:szCs w:val="24"/>
          <w:u w:val="none" w:color="auto"/>
          <w:vertAlign w:val="subscript"/>
        </w:rPr>
        <w:t>2</w:t>
      </w:r>
      <w:r>
        <w:rPr>
          <w:rFonts w:hint="default" w:ascii="Times New Roman" w:hAnsi="Times New Roman" w:eastAsia="宋体" w:cs="Times New Roman"/>
          <w:color w:val="000000"/>
          <w:sz w:val="24"/>
          <w:szCs w:val="24"/>
          <w:u w:val="none" w:color="auto"/>
        </w:rPr>
        <w:t>、NO</w:t>
      </w:r>
      <w:r>
        <w:rPr>
          <w:rFonts w:hint="default" w:ascii="Times New Roman" w:hAnsi="Times New Roman" w:eastAsia="宋体" w:cs="Times New Roman"/>
          <w:color w:val="000000"/>
          <w:sz w:val="24"/>
          <w:szCs w:val="24"/>
          <w:u w:val="none" w:color="auto"/>
          <w:vertAlign w:val="subscript"/>
        </w:rPr>
        <w:t>2</w:t>
      </w:r>
      <w:r>
        <w:rPr>
          <w:rFonts w:hint="default" w:ascii="Times New Roman" w:hAnsi="Times New Roman" w:eastAsia="宋体" w:cs="Times New Roman"/>
          <w:color w:val="000000"/>
          <w:sz w:val="24"/>
          <w:szCs w:val="24"/>
          <w:u w:val="none" w:color="auto"/>
        </w:rPr>
        <w:t>、PM</w:t>
      </w:r>
      <w:r>
        <w:rPr>
          <w:rFonts w:hint="default" w:ascii="Times New Roman" w:hAnsi="Times New Roman" w:eastAsia="宋体" w:cs="Times New Roman"/>
          <w:color w:val="000000"/>
          <w:sz w:val="24"/>
          <w:szCs w:val="24"/>
          <w:u w:val="none" w:color="auto"/>
          <w:vertAlign w:val="subscript"/>
        </w:rPr>
        <w:t>10</w:t>
      </w:r>
      <w:r>
        <w:rPr>
          <w:rFonts w:hint="default" w:ascii="Times New Roman" w:hAnsi="Times New Roman" w:eastAsia="宋体" w:cs="Times New Roman"/>
          <w:color w:val="000000"/>
          <w:sz w:val="24"/>
          <w:szCs w:val="24"/>
          <w:u w:val="none" w:color="auto"/>
        </w:rPr>
        <w:t>、PM</w:t>
      </w:r>
      <w:r>
        <w:rPr>
          <w:rFonts w:hint="default" w:ascii="Times New Roman" w:hAnsi="Times New Roman" w:eastAsia="宋体" w:cs="Times New Roman"/>
          <w:color w:val="000000"/>
          <w:sz w:val="24"/>
          <w:szCs w:val="24"/>
          <w:u w:val="none" w:color="auto"/>
          <w:vertAlign w:val="subscript"/>
        </w:rPr>
        <w:t>2.5</w:t>
      </w:r>
      <w:r>
        <w:rPr>
          <w:rFonts w:hint="default" w:ascii="Times New Roman" w:hAnsi="Times New Roman" w:eastAsia="宋体" w:cs="Times New Roman"/>
          <w:color w:val="000000"/>
          <w:sz w:val="24"/>
          <w:szCs w:val="24"/>
          <w:u w:val="none" w:color="auto"/>
        </w:rPr>
        <w:t>、CO和O</w:t>
      </w:r>
      <w:r>
        <w:rPr>
          <w:rFonts w:hint="default" w:ascii="Times New Roman" w:hAnsi="Times New Roman" w:eastAsia="宋体" w:cs="Times New Roman"/>
          <w:color w:val="000000"/>
          <w:sz w:val="24"/>
          <w:szCs w:val="24"/>
          <w:u w:val="none" w:color="auto"/>
          <w:vertAlign w:val="subscript"/>
        </w:rPr>
        <w:t>3</w:t>
      </w:r>
      <w:r>
        <w:rPr>
          <w:rFonts w:hint="default" w:ascii="Times New Roman" w:hAnsi="Times New Roman" w:eastAsia="宋体" w:cs="Times New Roman"/>
          <w:color w:val="000000"/>
          <w:sz w:val="24"/>
          <w:szCs w:val="24"/>
          <w:u w:val="none" w:color="auto"/>
        </w:rPr>
        <w:t>六项污染物均满足</w:t>
      </w:r>
      <w:r>
        <w:t>《环境空气质量标准》(GB3095-2012) 中二级标准及其修改单要求</w:t>
      </w:r>
      <w:r>
        <w:rPr>
          <w:rFonts w:hint="default" w:ascii="Times New Roman" w:hAnsi="Times New Roman" w:eastAsia="宋体" w:cs="Times New Roman"/>
          <w:color w:val="000000"/>
          <w:sz w:val="24"/>
          <w:szCs w:val="24"/>
          <w:u w:val="none" w:color="auto"/>
        </w:rPr>
        <w:t>，</w:t>
      </w:r>
      <w:r>
        <w:rPr>
          <w:rFonts w:hint="eastAsia" w:cs="Times New Roman"/>
          <w:color w:val="000000"/>
          <w:sz w:val="24"/>
          <w:szCs w:val="24"/>
          <w:u w:val="none" w:color="auto"/>
          <w:lang w:eastAsia="zh-CN"/>
        </w:rPr>
        <w:t>蓝山</w:t>
      </w:r>
      <w:r>
        <w:rPr>
          <w:rFonts w:hint="default" w:ascii="Times New Roman" w:hAnsi="Times New Roman" w:eastAsia="宋体" w:cs="Times New Roman"/>
          <w:color w:val="000000"/>
          <w:sz w:val="24"/>
          <w:szCs w:val="24"/>
          <w:u w:val="none" w:color="auto"/>
        </w:rPr>
        <w:t>县为达标区，项目所在区域环境空气质量现状良好</w:t>
      </w:r>
      <w:r>
        <w:rPr>
          <w:u w:val="none" w:color="auto"/>
          <w:lang w:val="en-US"/>
        </w:rPr>
        <w:t>。</w:t>
      </w:r>
    </w:p>
    <w:p>
      <w:pPr>
        <w:widowControl/>
        <w:spacing w:line="360" w:lineRule="auto"/>
        <w:ind w:firstLine="480" w:firstLineChars="200"/>
        <w:rPr>
          <w:rFonts w:hint="eastAsia" w:ascii="Times New Roman" w:hAnsi="Times New Roman" w:eastAsia="宋体" w:cs="Times New Roman"/>
          <w:color w:val="000000"/>
          <w:sz w:val="24"/>
          <w:szCs w:val="24"/>
          <w:u w:val="none" w:color="auto"/>
        </w:rPr>
      </w:pPr>
      <w:r>
        <w:rPr>
          <w:rFonts w:hint="eastAsia" w:ascii="Times New Roman" w:hAnsi="Times New Roman" w:eastAsia="宋体" w:cs="Times New Roman"/>
          <w:color w:val="000000"/>
          <w:sz w:val="24"/>
          <w:szCs w:val="24"/>
          <w:u w:val="none" w:color="auto"/>
        </w:rPr>
        <w:t>为进一步了解本项目周边大气环境现状，本项目委托</w:t>
      </w:r>
      <w:r>
        <w:rPr>
          <w:rFonts w:hint="default" w:ascii="Times New Roman" w:hAnsi="Times New Roman" w:cs="Times New Roman"/>
          <w:color w:val="auto"/>
          <w:u w:val="none"/>
        </w:rPr>
        <w:t>湖南</w:t>
      </w:r>
      <w:r>
        <w:rPr>
          <w:rFonts w:hint="eastAsia" w:cs="Times New Roman"/>
          <w:color w:val="auto"/>
          <w:highlight w:val="none"/>
          <w:u w:val="none"/>
          <w:lang w:eastAsia="zh-CN"/>
        </w:rPr>
        <w:t>乾诚检测</w:t>
      </w:r>
      <w:r>
        <w:rPr>
          <w:rFonts w:hint="default" w:ascii="Times New Roman" w:hAnsi="Times New Roman" w:cs="Times New Roman"/>
          <w:color w:val="auto"/>
          <w:highlight w:val="none"/>
          <w:u w:val="none"/>
        </w:rPr>
        <w:t>有限公司</w:t>
      </w:r>
      <w:r>
        <w:rPr>
          <w:rFonts w:hint="eastAsia" w:ascii="Times New Roman" w:hAnsi="Times New Roman" w:eastAsia="宋体" w:cs="Times New Roman"/>
          <w:color w:val="000000"/>
          <w:sz w:val="24"/>
          <w:szCs w:val="24"/>
          <w:u w:val="none" w:color="auto"/>
        </w:rPr>
        <w:t>日对项目</w:t>
      </w:r>
      <w:r>
        <w:rPr>
          <w:rFonts w:hint="eastAsia" w:ascii="Times New Roman" w:hAnsi="Times New Roman" w:cs="Times New Roman"/>
          <w:color w:val="000000"/>
          <w:sz w:val="24"/>
          <w:szCs w:val="24"/>
          <w:u w:val="none" w:color="auto"/>
          <w:lang w:val="en-US" w:eastAsia="zh-CN"/>
        </w:rPr>
        <w:t>进场道路周边敏感点</w:t>
      </w:r>
      <w:r>
        <w:rPr>
          <w:rFonts w:hint="eastAsia" w:ascii="Times New Roman" w:hAnsi="Times New Roman" w:eastAsia="宋体" w:cs="Times New Roman"/>
          <w:color w:val="000000"/>
          <w:sz w:val="24"/>
          <w:szCs w:val="24"/>
          <w:u w:val="none" w:color="auto"/>
        </w:rPr>
        <w:t>进行了环境现状监测。</w:t>
      </w:r>
    </w:p>
    <w:p>
      <w:pPr>
        <w:widowControl/>
        <w:spacing w:line="360" w:lineRule="auto"/>
        <w:ind w:firstLine="480" w:firstLineChars="200"/>
        <w:rPr>
          <w:rFonts w:hint="eastAsia" w:ascii="Times New Roman" w:hAnsi="Times New Roman" w:eastAsia="宋体" w:cs="Times New Roman"/>
          <w:color w:val="000000"/>
          <w:sz w:val="24"/>
          <w:szCs w:val="24"/>
          <w:u w:val="none" w:color="auto"/>
          <w:lang w:eastAsia="zh-CN"/>
        </w:rPr>
      </w:pPr>
      <w:r>
        <w:rPr>
          <w:rFonts w:hint="eastAsia" w:ascii="Times New Roman" w:hAnsi="Times New Roman" w:cs="Times New Roman"/>
          <w:color w:val="000000"/>
          <w:sz w:val="24"/>
          <w:szCs w:val="24"/>
          <w:u w:val="none" w:color="auto"/>
          <w:lang w:eastAsia="zh-CN"/>
        </w:rPr>
        <w:t>（</w:t>
      </w:r>
      <w:r>
        <w:rPr>
          <w:rFonts w:hint="eastAsia" w:ascii="Times New Roman" w:hAnsi="Times New Roman" w:cs="Times New Roman"/>
          <w:color w:val="000000"/>
          <w:sz w:val="24"/>
          <w:szCs w:val="24"/>
          <w:u w:val="none" w:color="auto"/>
          <w:lang w:val="en-US" w:eastAsia="zh-CN"/>
        </w:rPr>
        <w:t>1</w:t>
      </w:r>
      <w:r>
        <w:rPr>
          <w:rFonts w:hint="eastAsia" w:ascii="Times New Roman" w:hAnsi="Times New Roman" w:cs="Times New Roman"/>
          <w:color w:val="000000"/>
          <w:sz w:val="24"/>
          <w:szCs w:val="24"/>
          <w:u w:val="none" w:color="auto"/>
          <w:lang w:eastAsia="zh-CN"/>
        </w:rPr>
        <w:t>）</w:t>
      </w:r>
      <w:r>
        <w:rPr>
          <w:rFonts w:hint="default" w:ascii="Times New Roman" w:hAnsi="Times New Roman" w:cs="Times New Roman"/>
          <w:color w:val="000000" w:themeColor="text1"/>
          <w:sz w:val="24"/>
          <w14:textFill>
            <w14:solidFill>
              <w14:schemeClr w14:val="tx1"/>
            </w14:solidFill>
          </w14:textFill>
        </w:rPr>
        <w:t>监测布点及监测项目：详见</w:t>
      </w:r>
      <w:r>
        <w:rPr>
          <w:rFonts w:hint="eastAsia" w:ascii="Times New Roman" w:hAnsi="Times New Roman" w:cs="Times New Roman"/>
          <w:color w:val="000000" w:themeColor="text1"/>
          <w:sz w:val="24"/>
          <w:lang w:val="en-US" w:eastAsia="zh-CN"/>
          <w14:textFill>
            <w14:solidFill>
              <w14:schemeClr w14:val="tx1"/>
            </w14:solidFill>
          </w14:textFill>
        </w:rPr>
        <w:t>下</w:t>
      </w:r>
      <w:r>
        <w:rPr>
          <w:rFonts w:hint="default" w:ascii="Times New Roman" w:hAnsi="Times New Roman" w:cs="Times New Roman"/>
          <w:color w:val="000000" w:themeColor="text1"/>
          <w:sz w:val="24"/>
          <w14:textFill>
            <w14:solidFill>
              <w14:schemeClr w14:val="tx1"/>
            </w14:solidFill>
          </w14:textFill>
        </w:rPr>
        <w:t>表。</w:t>
      </w:r>
    </w:p>
    <w:p>
      <w:pPr>
        <w:pStyle w:val="3587"/>
        <w:bidi w:val="0"/>
        <w:rPr>
          <w:rFonts w:hint="default" w:ascii="Times New Roman" w:hAnsi="Times New Roman" w:eastAsia="宋体" w:cs="Times New Roman"/>
          <w:b/>
          <w:bCs/>
          <w:color w:val="000000"/>
          <w:sz w:val="21"/>
          <w:szCs w:val="21"/>
          <w:lang w:val="en-US" w:eastAsia="zh-CN"/>
        </w:rPr>
      </w:pPr>
      <w:r>
        <w:rPr>
          <w:rFonts w:hint="eastAsia" w:ascii="Times New Roman" w:hAnsi="Times New Roman" w:eastAsia="宋体" w:cs="Times New Roman"/>
          <w:b/>
          <w:bCs/>
          <w:color w:val="000000"/>
          <w:sz w:val="21"/>
          <w:szCs w:val="21"/>
          <w:lang w:val="en-US" w:eastAsia="zh-CN"/>
        </w:rPr>
        <w:t>环境空气</w:t>
      </w:r>
      <w:r>
        <w:rPr>
          <w:rFonts w:hint="eastAsia" w:ascii="Times New Roman" w:hAnsi="Times New Roman" w:eastAsia="宋体" w:cs="Times New Roman"/>
          <w:u w:val="none" w:color="auto"/>
          <w:lang w:val="en-US" w:eastAsia="zh-CN"/>
        </w:rPr>
        <w:t>监测点</w:t>
      </w:r>
      <w:r>
        <w:rPr>
          <w:rFonts w:hint="eastAsia" w:ascii="Times New Roman" w:hAnsi="Times New Roman" w:eastAsia="宋体" w:cs="Times New Roman"/>
          <w:b/>
          <w:bCs/>
          <w:color w:val="000000"/>
          <w:sz w:val="21"/>
          <w:szCs w:val="21"/>
          <w:lang w:val="en-US" w:eastAsia="zh-CN"/>
        </w:rPr>
        <w:t>布设一览表</w:t>
      </w:r>
    </w:p>
    <w:tbl>
      <w:tblPr>
        <w:tblStyle w:val="88"/>
        <w:tblW w:w="850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27"/>
        <w:gridCol w:w="2436"/>
        <w:gridCol w:w="3339"/>
        <w:gridCol w:w="19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7" w:type="dxa"/>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u w:val="none" w:color="auto"/>
                <w:lang w:val="en-US" w:eastAsia="zh-CN"/>
              </w:rPr>
            </w:pPr>
            <w:r>
              <w:rPr>
                <w:rFonts w:hint="default" w:ascii="Times New Roman" w:hAnsi="Times New Roman" w:cs="Times New Roman"/>
                <w:color w:val="000000"/>
                <w:sz w:val="21"/>
                <w:szCs w:val="21"/>
                <w:u w:val="none" w:color="auto"/>
                <w:lang w:val="en-US" w:eastAsia="zh-CN"/>
              </w:rPr>
              <w:t>序号</w:t>
            </w:r>
          </w:p>
        </w:tc>
        <w:tc>
          <w:tcPr>
            <w:tcW w:w="2436" w:type="dxa"/>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u w:val="none" w:color="auto"/>
                <w:lang w:val="en-US" w:eastAsia="zh-CN"/>
              </w:rPr>
            </w:pPr>
            <w:r>
              <w:rPr>
                <w:rFonts w:hint="default" w:ascii="Times New Roman" w:hAnsi="Times New Roman" w:cs="Times New Roman"/>
                <w:color w:val="000000"/>
                <w:sz w:val="21"/>
                <w:szCs w:val="21"/>
                <w:u w:val="none" w:color="auto"/>
                <w:lang w:val="en-US" w:eastAsia="zh-CN"/>
              </w:rPr>
              <w:t>监测点位</w:t>
            </w:r>
          </w:p>
        </w:tc>
        <w:tc>
          <w:tcPr>
            <w:tcW w:w="3339" w:type="dxa"/>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u w:val="none" w:color="auto"/>
                <w:lang w:val="en-US" w:eastAsia="zh-CN"/>
              </w:rPr>
            </w:pPr>
            <w:r>
              <w:rPr>
                <w:rFonts w:hint="default" w:ascii="Times New Roman" w:hAnsi="Times New Roman" w:cs="Times New Roman"/>
                <w:color w:val="000000"/>
                <w:sz w:val="21"/>
                <w:szCs w:val="21"/>
                <w:u w:val="none" w:color="auto"/>
                <w:lang w:val="en-US" w:eastAsia="zh-CN"/>
              </w:rPr>
              <w:t>方位</w:t>
            </w:r>
          </w:p>
        </w:tc>
        <w:tc>
          <w:tcPr>
            <w:tcW w:w="1901" w:type="dxa"/>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u w:val="none" w:color="auto"/>
                <w:lang w:val="en-US" w:eastAsia="zh-CN"/>
              </w:rPr>
            </w:pPr>
            <w:r>
              <w:rPr>
                <w:rFonts w:hint="default" w:ascii="Times New Roman" w:hAnsi="Times New Roman" w:cs="Times New Roman"/>
                <w:color w:val="000000"/>
                <w:sz w:val="21"/>
                <w:szCs w:val="21"/>
                <w:u w:val="none" w:color="auto"/>
                <w:lang w:val="en-US" w:eastAsia="zh-CN"/>
              </w:rPr>
              <w:t>监测因子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827" w:type="dxa"/>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G1</w:t>
            </w:r>
          </w:p>
        </w:tc>
        <w:tc>
          <w:tcPr>
            <w:tcW w:w="2436" w:type="dxa"/>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钟家居民点</w:t>
            </w:r>
          </w:p>
        </w:tc>
        <w:tc>
          <w:tcPr>
            <w:tcW w:w="3339" w:type="dxa"/>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进场道路附近</w:t>
            </w:r>
          </w:p>
        </w:tc>
        <w:tc>
          <w:tcPr>
            <w:tcW w:w="1901" w:type="dxa"/>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TSP</w:t>
            </w:r>
          </w:p>
        </w:tc>
      </w:tr>
    </w:tbl>
    <w:p>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（2）执行</w:t>
      </w:r>
      <w:r>
        <w:rPr>
          <w:rFonts w:hint="default" w:ascii="Times New Roman" w:hAnsi="Times New Roman" w:cs="Times New Roman"/>
          <w:sz w:val="24"/>
          <w:szCs w:val="24"/>
        </w:rPr>
        <w:t>标准</w:t>
      </w:r>
      <w:r>
        <w:rPr>
          <w:rFonts w:hint="default" w:ascii="Times New Roman" w:hAnsi="Times New Roman" w:cs="Times New Roman"/>
          <w:color w:val="000000" w:themeColor="text1"/>
          <w:sz w:val="24"/>
          <w14:textFill>
            <w14:solidFill>
              <w14:schemeClr w14:val="tx1"/>
            </w14:solidFill>
          </w14:textFill>
        </w:rPr>
        <w:t>：《环境空气质量标准》（GB3095-2012）二级标准。</w:t>
      </w:r>
    </w:p>
    <w:p>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（3）监测频次：连续7天采样监测，监测日均值。</w:t>
      </w:r>
    </w:p>
    <w:p>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（4）监测</w:t>
      </w:r>
      <w:r>
        <w:rPr>
          <w:rFonts w:hint="default" w:ascii="Times New Roman" w:hAnsi="Times New Roman" w:cs="Times New Roman"/>
          <w:sz w:val="24"/>
          <w:szCs w:val="24"/>
        </w:rPr>
        <w:t>结果</w:t>
      </w:r>
    </w:p>
    <w:p>
      <w:pPr>
        <w:pStyle w:val="3587"/>
        <w:bidi w:val="0"/>
        <w:rPr>
          <w:rFonts w:ascii="Times New Roman" w:hAnsi="Times New Roman" w:cs="Times New Roman"/>
          <w:b/>
          <w:bCs/>
          <w:color w:val="auto"/>
          <w:kern w:val="2"/>
          <w:sz w:val="21"/>
          <w:szCs w:val="21"/>
        </w:rPr>
      </w:pPr>
      <w:r>
        <w:rPr>
          <w:rFonts w:ascii="Times New Roman" w:hAnsi="Times New Roman" w:cs="Times New Roman"/>
          <w:b/>
          <w:bCs/>
          <w:color w:val="auto"/>
          <w:kern w:val="2"/>
          <w:sz w:val="21"/>
          <w:szCs w:val="21"/>
        </w:rPr>
        <w:t>监测结果一览表</w:t>
      </w:r>
    </w:p>
    <w:tbl>
      <w:tblPr>
        <w:tblStyle w:val="88"/>
        <w:tblW w:w="477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81"/>
        <w:gridCol w:w="788"/>
        <w:gridCol w:w="1140"/>
        <w:gridCol w:w="1603"/>
        <w:gridCol w:w="1334"/>
        <w:gridCol w:w="1413"/>
        <w:gridCol w:w="949"/>
        <w:gridCol w:w="85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440" w:type="pct"/>
            <w:vMerge w:val="restar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监测点位</w:t>
            </w:r>
          </w:p>
        </w:tc>
        <w:tc>
          <w:tcPr>
            <w:tcW w:w="444" w:type="pct"/>
            <w:vMerge w:val="restar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污染物</w:t>
            </w:r>
          </w:p>
        </w:tc>
        <w:tc>
          <w:tcPr>
            <w:tcW w:w="643" w:type="pct"/>
            <w:vMerge w:val="restar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平均时间</w:t>
            </w:r>
          </w:p>
        </w:tc>
        <w:tc>
          <w:tcPr>
            <w:tcW w:w="904" w:type="pct"/>
            <w:vMerge w:val="restar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监测时间</w:t>
            </w:r>
          </w:p>
        </w:tc>
        <w:tc>
          <w:tcPr>
            <w:tcW w:w="752" w:type="pct"/>
            <w:vMerge w:val="restar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评价标准（mg/m</w:t>
            </w:r>
            <w:r>
              <w:rPr>
                <w:rFonts w:hint="eastAsia" w:ascii="Times New Roman" w:hAnsi="Times New Roman" w:cs="Times New Roman"/>
                <w:color w:val="000000"/>
                <w:sz w:val="21"/>
                <w:szCs w:val="21"/>
                <w:u w:val="none" w:color="auto"/>
                <w:vertAlign w:val="superscript"/>
                <w:lang w:val="en-US" w:eastAsia="zh-CN"/>
              </w:rPr>
              <w:t>3</w:t>
            </w:r>
            <w:r>
              <w:rPr>
                <w:rFonts w:hint="eastAsia" w:ascii="Times New Roman" w:hAnsi="Times New Roman" w:cs="Times New Roman"/>
                <w:color w:val="000000"/>
                <w:sz w:val="21"/>
                <w:szCs w:val="21"/>
                <w:u w:val="none" w:color="auto"/>
                <w:lang w:val="en-US" w:eastAsia="zh-CN"/>
              </w:rPr>
              <w:t>）</w:t>
            </w:r>
          </w:p>
        </w:tc>
        <w:tc>
          <w:tcPr>
            <w:tcW w:w="797" w:type="pct"/>
            <w:vMerge w:val="restar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监测值（mg/m</w:t>
            </w:r>
            <w:r>
              <w:rPr>
                <w:rFonts w:hint="eastAsia" w:ascii="Times New Roman" w:hAnsi="Times New Roman" w:cs="Times New Roman"/>
                <w:color w:val="000000"/>
                <w:sz w:val="21"/>
                <w:szCs w:val="21"/>
                <w:u w:val="none" w:color="auto"/>
                <w:vertAlign w:val="superscript"/>
                <w:lang w:val="en-US" w:eastAsia="zh-CN"/>
              </w:rPr>
              <w:t>3</w:t>
            </w:r>
            <w:r>
              <w:rPr>
                <w:rFonts w:hint="eastAsia" w:ascii="Times New Roman" w:hAnsi="Times New Roman" w:cs="Times New Roman"/>
                <w:color w:val="000000"/>
                <w:sz w:val="21"/>
                <w:szCs w:val="21"/>
                <w:u w:val="none" w:color="auto"/>
                <w:lang w:val="en-US" w:eastAsia="zh-CN"/>
              </w:rPr>
              <w:t>）</w:t>
            </w:r>
          </w:p>
        </w:tc>
        <w:tc>
          <w:tcPr>
            <w:tcW w:w="535" w:type="pct"/>
            <w:vMerge w:val="restar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超标率（％）</w:t>
            </w:r>
          </w:p>
        </w:tc>
        <w:tc>
          <w:tcPr>
            <w:tcW w:w="482" w:type="pct"/>
            <w:vMerge w:val="restar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440" w:type="pct"/>
            <w:vMerge w:val="continue"/>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p>
        </w:tc>
        <w:tc>
          <w:tcPr>
            <w:tcW w:w="444" w:type="pct"/>
            <w:vMerge w:val="continue"/>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p>
        </w:tc>
        <w:tc>
          <w:tcPr>
            <w:tcW w:w="643" w:type="pct"/>
            <w:vMerge w:val="continue"/>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p>
        </w:tc>
        <w:tc>
          <w:tcPr>
            <w:tcW w:w="904" w:type="pct"/>
            <w:vMerge w:val="continue"/>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p>
        </w:tc>
        <w:tc>
          <w:tcPr>
            <w:tcW w:w="752" w:type="pct"/>
            <w:vMerge w:val="continue"/>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p>
        </w:tc>
        <w:tc>
          <w:tcPr>
            <w:tcW w:w="797" w:type="pct"/>
            <w:vMerge w:val="continue"/>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p>
        </w:tc>
        <w:tc>
          <w:tcPr>
            <w:tcW w:w="535" w:type="pct"/>
            <w:vMerge w:val="continue"/>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p>
        </w:tc>
        <w:tc>
          <w:tcPr>
            <w:tcW w:w="482" w:type="pct"/>
            <w:vMerge w:val="continue"/>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440"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钟家居民点</w:t>
            </w:r>
          </w:p>
        </w:tc>
        <w:tc>
          <w:tcPr>
            <w:tcW w:w="444"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TSP</w:t>
            </w:r>
          </w:p>
        </w:tc>
        <w:tc>
          <w:tcPr>
            <w:tcW w:w="643"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24小时均值</w:t>
            </w:r>
          </w:p>
        </w:tc>
        <w:tc>
          <w:tcPr>
            <w:tcW w:w="904"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highlight w:val="none"/>
                <w:u w:val="none" w:color="auto"/>
                <w:lang w:val="en-US" w:eastAsia="zh-CN"/>
              </w:rPr>
            </w:pPr>
            <w:r>
              <w:rPr>
                <w:rFonts w:hint="eastAsia" w:ascii="Times New Roman" w:hAnsi="Times New Roman" w:cs="Times New Roman"/>
                <w:color w:val="000000"/>
                <w:sz w:val="21"/>
                <w:szCs w:val="21"/>
                <w:highlight w:val="none"/>
                <w:u w:val="none" w:color="auto"/>
                <w:lang w:val="en-US" w:eastAsia="zh-CN"/>
              </w:rPr>
              <w:t>2025.3.18~2025.3.24</w:t>
            </w:r>
          </w:p>
        </w:tc>
        <w:tc>
          <w:tcPr>
            <w:tcW w:w="752"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0.3</w:t>
            </w:r>
          </w:p>
        </w:tc>
        <w:tc>
          <w:tcPr>
            <w:tcW w:w="797"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0.100~0.106</w:t>
            </w:r>
          </w:p>
        </w:tc>
        <w:tc>
          <w:tcPr>
            <w:tcW w:w="535"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0</w:t>
            </w:r>
          </w:p>
        </w:tc>
        <w:tc>
          <w:tcPr>
            <w:tcW w:w="482" w:type="pct"/>
            <w:tcBorders>
              <w:tl2br w:val="nil"/>
              <w:tr2bl w:val="nil"/>
            </w:tcBorders>
            <w:noWrap w:val="0"/>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达标</w:t>
            </w:r>
          </w:p>
        </w:tc>
      </w:tr>
    </w:tbl>
    <w:p>
      <w:pPr>
        <w:widowControl/>
        <w:spacing w:line="360" w:lineRule="auto"/>
        <w:ind w:firstLine="480" w:firstLineChars="200"/>
        <w:rPr>
          <w:rFonts w:hint="eastAsia"/>
          <w:u w:val="none" w:color="auto"/>
          <w:lang w:val="en-US"/>
        </w:rPr>
      </w:pPr>
      <w:r>
        <w:rPr>
          <w:color w:val="auto"/>
          <w:szCs w:val="21"/>
        </w:rPr>
        <w:t>由上表可知，监测期间TSP的监测值满足《环境空气质量标准》(GB3095-2012)中的二级标准要求。</w:t>
      </w:r>
    </w:p>
    <w:bookmarkEnd w:id="70"/>
    <w:bookmarkEnd w:id="71"/>
    <w:bookmarkEnd w:id="72"/>
    <w:bookmarkEnd w:id="73"/>
    <w:p>
      <w:pPr>
        <w:pStyle w:val="458"/>
        <w:ind w:firstLine="602"/>
        <w:rPr>
          <w:rFonts w:ascii="Times New Roman" w:hAnsi="Times New Roman" w:eastAsia="宋体" w:cs="Times New Roman"/>
          <w:color w:val="000000" w:themeColor="text1"/>
          <w:u w:val="none" w:color="auto"/>
          <w14:textFill>
            <w14:solidFill>
              <w14:schemeClr w14:val="tx1"/>
            </w14:solidFill>
          </w14:textFill>
        </w:rPr>
      </w:pPr>
      <w:bookmarkStart w:id="80" w:name="_Toc152059102"/>
      <w:bookmarkStart w:id="81" w:name="_Toc150492094"/>
      <w:bookmarkStart w:id="82" w:name="_Toc401255960"/>
      <w:r>
        <w:rPr>
          <w:rFonts w:ascii="Times New Roman" w:hAnsi="Times New Roman" w:eastAsia="宋体" w:cs="Times New Roman"/>
          <w:color w:val="000000" w:themeColor="text1"/>
          <w:u w:val="none" w:color="auto"/>
          <w14:textFill>
            <w14:solidFill>
              <w14:schemeClr w14:val="tx1"/>
            </w14:solidFill>
          </w14:textFill>
        </w:rPr>
        <w:t>声环境现状</w:t>
      </w:r>
      <w:bookmarkEnd w:id="80"/>
      <w:bookmarkEnd w:id="81"/>
      <w:bookmarkEnd w:id="82"/>
      <w:r>
        <w:rPr>
          <w:rFonts w:ascii="Times New Roman" w:hAnsi="Times New Roman" w:eastAsia="宋体" w:cs="Times New Roman"/>
          <w:color w:val="000000" w:themeColor="text1"/>
          <w:u w:val="none" w:color="auto"/>
          <w14:textFill>
            <w14:solidFill>
              <w14:schemeClr w14:val="tx1"/>
            </w14:solidFill>
          </w14:textFill>
        </w:rPr>
        <w:t>调查与评价</w:t>
      </w:r>
    </w:p>
    <w:p>
      <w:pPr>
        <w:pStyle w:val="3632"/>
        <w:keepNext w:val="0"/>
        <w:keepLines w:val="0"/>
        <w:pageBreakBefore w:val="0"/>
        <w:widowControl w:val="0"/>
        <w:kinsoku/>
        <w:wordWrap/>
        <w:overflowPunct/>
        <w:topLinePunct w:val="0"/>
        <w:autoSpaceDE/>
        <w:autoSpaceDN/>
        <w:bidi w:val="0"/>
        <w:adjustRightInd/>
        <w:snapToGrid/>
        <w:ind w:firstLine="480"/>
        <w:textAlignment w:val="auto"/>
        <w:rPr>
          <w:rFonts w:hint="eastAsia" w:ascii="Times New Roman" w:hAnsi="Times New Roman" w:eastAsia="宋体" w:cs="宋体"/>
          <w:bCs/>
          <w:u w:val="none" w:color="auto"/>
        </w:rPr>
      </w:pPr>
      <w:r>
        <w:rPr>
          <w:rFonts w:hint="eastAsia"/>
          <w:u w:val="none" w:color="auto"/>
        </w:rPr>
        <w:t>为了解风电场</w:t>
      </w:r>
      <w:r>
        <w:rPr>
          <w:rFonts w:hint="eastAsia"/>
          <w:bCs/>
          <w:u w:val="none" w:color="auto"/>
        </w:rPr>
        <w:t>风机区域的</w:t>
      </w:r>
      <w:r>
        <w:rPr>
          <w:rFonts w:hint="eastAsia"/>
          <w:bCs/>
          <w:u w:val="none" w:color="auto"/>
          <w:lang w:val="en-US" w:eastAsia="zh-CN"/>
        </w:rPr>
        <w:t>声环境质量现状</w:t>
      </w:r>
      <w:r>
        <w:rPr>
          <w:rFonts w:hint="eastAsia"/>
          <w:bCs/>
          <w:u w:val="none" w:color="auto"/>
        </w:rPr>
        <w:t>，本次评</w:t>
      </w:r>
      <w:r>
        <w:rPr>
          <w:rFonts w:hint="eastAsia"/>
          <w:bCs/>
          <w:highlight w:val="none"/>
          <w:u w:val="none" w:color="auto"/>
        </w:rPr>
        <w:t>价</w:t>
      </w:r>
      <w:r>
        <w:rPr>
          <w:rFonts w:hint="eastAsia" w:ascii="Times New Roman" w:hAnsi="Times New Roman" w:eastAsia="宋体" w:cs="宋体"/>
          <w:bCs/>
          <w:u w:val="none" w:color="auto"/>
        </w:rPr>
        <w:t>委托湖南瑾杰环保科技有限公司</w:t>
      </w:r>
      <w:r>
        <w:rPr>
          <w:rFonts w:hint="eastAsia" w:ascii="Times New Roman" w:hAnsi="Times New Roman" w:eastAsia="宋体" w:cs="宋体"/>
          <w:bCs/>
          <w:u w:val="none" w:color="auto"/>
          <w:lang w:eastAsia="zh-CN"/>
        </w:rPr>
        <w:t>进行现状</w:t>
      </w:r>
      <w:r>
        <w:rPr>
          <w:rFonts w:hint="eastAsia" w:ascii="Times New Roman" w:hAnsi="Times New Roman" w:eastAsia="宋体" w:cs="宋体"/>
          <w:bCs/>
          <w:u w:val="none" w:color="auto"/>
        </w:rPr>
        <w:t>噪声监测。</w:t>
      </w:r>
    </w:p>
    <w:p>
      <w:pPr>
        <w:pStyle w:val="3632"/>
        <w:keepNext w:val="0"/>
        <w:keepLines w:val="0"/>
        <w:pageBreakBefore w:val="0"/>
        <w:widowControl w:val="0"/>
        <w:kinsoku/>
        <w:wordWrap/>
        <w:overflowPunct/>
        <w:topLinePunct w:val="0"/>
        <w:autoSpaceDE/>
        <w:autoSpaceDN/>
        <w:bidi w:val="0"/>
        <w:adjustRightInd/>
        <w:snapToGrid/>
        <w:ind w:firstLine="480"/>
        <w:textAlignment w:val="auto"/>
        <w:rPr>
          <w:rFonts w:hint="default"/>
          <w:bCs/>
          <w:highlight w:val="none"/>
          <w:u w:val="none" w:color="auto"/>
          <w:lang w:val="en-US" w:eastAsia="zh-CN"/>
        </w:rPr>
      </w:pPr>
      <w:r>
        <w:rPr>
          <w:rFonts w:hint="eastAsia"/>
          <w:bCs/>
          <w:highlight w:val="none"/>
          <w:u w:val="none" w:color="auto"/>
          <w:lang w:eastAsia="zh-CN"/>
        </w:rPr>
        <w:t>（</w:t>
      </w:r>
      <w:r>
        <w:rPr>
          <w:rFonts w:hint="eastAsia"/>
          <w:bCs/>
          <w:highlight w:val="none"/>
          <w:u w:val="none" w:color="auto"/>
          <w:lang w:val="en-US" w:eastAsia="zh-CN"/>
        </w:rPr>
        <w:t>1</w:t>
      </w:r>
      <w:r>
        <w:rPr>
          <w:rFonts w:hint="eastAsia"/>
          <w:bCs/>
          <w:highlight w:val="none"/>
          <w:u w:val="none" w:color="auto"/>
          <w:lang w:eastAsia="zh-CN"/>
        </w:rPr>
        <w:t>）</w:t>
      </w:r>
      <w:r>
        <w:rPr>
          <w:rFonts w:hint="eastAsia"/>
          <w:bCs/>
          <w:highlight w:val="none"/>
          <w:u w:val="none" w:color="auto"/>
          <w:lang w:val="en-US" w:eastAsia="zh-CN"/>
        </w:rPr>
        <w:t>监测工况</w:t>
      </w:r>
    </w:p>
    <w:p>
      <w:pPr>
        <w:pStyle w:val="3632"/>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eastAsia="宋体" w:cs="宋体"/>
          <w:bCs/>
          <w:u w:val="none" w:color="auto"/>
          <w:lang w:val="en-US" w:eastAsia="zh-CN"/>
        </w:rPr>
      </w:pPr>
      <w:r>
        <w:rPr>
          <w:rFonts w:hint="eastAsia" w:ascii="Times New Roman" w:hAnsi="Times New Roman" w:eastAsia="宋体" w:cs="宋体"/>
          <w:bCs/>
          <w:u w:val="none" w:color="auto"/>
          <w:lang w:val="en-US" w:eastAsia="zh-CN"/>
        </w:rPr>
        <w:t>项目正在试运行，汇集站有一台</w:t>
      </w:r>
      <w:r>
        <w:rPr>
          <w:rFonts w:hint="eastAsia" w:cs="宋体"/>
          <w:bCs/>
          <w:u w:val="none" w:color="auto"/>
          <w:lang w:val="en-US" w:eastAsia="zh-CN"/>
        </w:rPr>
        <w:t>220kV、</w:t>
      </w:r>
      <w:r>
        <w:rPr>
          <w:rFonts w:hint="eastAsia"/>
        </w:rPr>
        <w:t>240MVA</w:t>
      </w:r>
      <w:r>
        <w:rPr>
          <w:rFonts w:hint="eastAsia" w:ascii="Times New Roman" w:hAnsi="Times New Roman" w:eastAsia="宋体" w:cs="宋体"/>
          <w:bCs/>
          <w:u w:val="none" w:color="auto"/>
          <w:lang w:val="en-US" w:eastAsia="zh-CN"/>
        </w:rPr>
        <w:t>主变压器和配电装置正在运行。</w:t>
      </w:r>
    </w:p>
    <w:p>
      <w:pPr>
        <w:pStyle w:val="3632"/>
        <w:keepNext w:val="0"/>
        <w:keepLines w:val="0"/>
        <w:pageBreakBefore w:val="0"/>
        <w:widowControl w:val="0"/>
        <w:kinsoku/>
        <w:wordWrap/>
        <w:overflowPunct/>
        <w:topLinePunct w:val="0"/>
        <w:autoSpaceDE/>
        <w:autoSpaceDN/>
        <w:bidi w:val="0"/>
        <w:adjustRightInd/>
        <w:snapToGrid/>
        <w:ind w:firstLine="480"/>
        <w:textAlignment w:val="auto"/>
        <w:rPr>
          <w:rFonts w:hint="eastAsia"/>
          <w:bCs/>
          <w:highlight w:val="none"/>
          <w:u w:val="none" w:color="auto"/>
          <w:lang w:eastAsia="zh-CN"/>
        </w:rPr>
      </w:pPr>
      <w:r>
        <w:rPr>
          <w:rFonts w:hint="eastAsia"/>
          <w:bCs/>
          <w:highlight w:val="none"/>
          <w:u w:val="none" w:color="auto"/>
          <w:lang w:eastAsia="zh-CN"/>
        </w:rPr>
        <w:t>（</w:t>
      </w:r>
      <w:r>
        <w:rPr>
          <w:rFonts w:hint="eastAsia"/>
          <w:bCs/>
          <w:highlight w:val="none"/>
          <w:u w:val="none" w:color="auto"/>
          <w:lang w:val="en-US" w:eastAsia="zh-CN"/>
        </w:rPr>
        <w:t>2</w:t>
      </w:r>
      <w:r>
        <w:rPr>
          <w:rFonts w:hint="eastAsia"/>
          <w:bCs/>
          <w:highlight w:val="none"/>
          <w:u w:val="none" w:color="auto"/>
          <w:lang w:eastAsia="zh-CN"/>
        </w:rPr>
        <w:t>）监测布点</w:t>
      </w:r>
    </w:p>
    <w:p>
      <w:pPr>
        <w:pStyle w:val="3632"/>
        <w:keepNext w:val="0"/>
        <w:keepLines w:val="0"/>
        <w:pageBreakBefore w:val="0"/>
        <w:widowControl w:val="0"/>
        <w:kinsoku/>
        <w:wordWrap/>
        <w:overflowPunct/>
        <w:topLinePunct w:val="0"/>
        <w:autoSpaceDE/>
        <w:autoSpaceDN/>
        <w:bidi w:val="0"/>
        <w:adjustRightInd/>
        <w:snapToGrid/>
        <w:ind w:firstLine="480"/>
        <w:textAlignment w:val="auto"/>
        <w:rPr>
          <w:rFonts w:hint="default"/>
          <w:bCs/>
          <w:highlight w:val="none"/>
          <w:u w:val="none" w:color="auto"/>
          <w:lang w:val="en-US" w:eastAsia="zh-CN"/>
        </w:rPr>
      </w:pPr>
      <w:r>
        <w:rPr>
          <w:rFonts w:hint="eastAsia"/>
          <w:bCs/>
          <w:highlight w:val="none"/>
          <w:u w:val="none" w:color="auto"/>
          <w:lang w:eastAsia="zh-CN"/>
        </w:rPr>
        <w:t>监测布点见</w:t>
      </w:r>
      <w:r>
        <w:rPr>
          <w:rFonts w:hint="eastAsia"/>
          <w:bCs/>
          <w:highlight w:val="none"/>
          <w:u w:val="none" w:color="auto"/>
          <w:lang w:val="en-US" w:eastAsia="zh-CN"/>
        </w:rPr>
        <w:t>下</w:t>
      </w:r>
      <w:r>
        <w:rPr>
          <w:rFonts w:hint="eastAsia"/>
          <w:bCs/>
          <w:highlight w:val="none"/>
          <w:u w:val="none" w:color="auto"/>
          <w:lang w:eastAsia="zh-CN"/>
        </w:rPr>
        <w:t>表。</w:t>
      </w:r>
    </w:p>
    <w:p>
      <w:pPr>
        <w:pStyle w:val="3587"/>
        <w:bidi w:val="0"/>
        <w:rPr>
          <w:rFonts w:hint="default" w:ascii="Times New Roman" w:hAnsi="Times New Roman" w:eastAsia="宋体" w:cs="Times New Roman"/>
          <w:u w:val="none" w:color="auto"/>
          <w:lang w:eastAsia="zh-CN"/>
        </w:rPr>
      </w:pPr>
      <w:bookmarkStart w:id="83" w:name="_Ref309205217"/>
      <w:r>
        <w:rPr>
          <w:rFonts w:hint="default" w:ascii="Times New Roman" w:hAnsi="Times New Roman" w:eastAsia="宋体" w:cs="Times New Roman"/>
          <w:u w:val="none" w:color="auto"/>
          <w:lang w:eastAsia="zh-CN"/>
        </w:rPr>
        <w:t>声环境现状监测布点表</w:t>
      </w:r>
    </w:p>
    <w:tbl>
      <w:tblPr>
        <w:tblStyle w:val="88"/>
        <w:tblW w:w="733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496"/>
        <w:gridCol w:w="3394"/>
        <w:gridCol w:w="244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3" w:hRule="atLeast"/>
          <w:tblHeader/>
          <w:jc w:val="center"/>
        </w:trPr>
        <w:tc>
          <w:tcPr>
            <w:tcW w:w="14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编号</w:t>
            </w:r>
          </w:p>
        </w:tc>
        <w:tc>
          <w:tcPr>
            <w:tcW w:w="339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监测点</w:t>
            </w:r>
          </w:p>
        </w:tc>
        <w:tc>
          <w:tcPr>
            <w:tcW w:w="24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监测项目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1496"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eastAsiaTheme="minorEastAsia"/>
                <w:b w:val="0"/>
                <w:bCs w:val="0"/>
                <w:kern w:val="2"/>
                <w:sz w:val="21"/>
                <w:szCs w:val="21"/>
                <w:lang w:val="en-US" w:eastAsia="zh-CN" w:bidi="ar-SA"/>
              </w:rPr>
              <w:t>N1</w:t>
            </w:r>
          </w:p>
        </w:tc>
        <w:tc>
          <w:tcPr>
            <w:tcW w:w="3394"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eastAsiaTheme="minorEastAsia"/>
                <w:b w:val="0"/>
                <w:bCs w:val="0"/>
                <w:kern w:val="2"/>
                <w:sz w:val="21"/>
                <w:szCs w:val="21"/>
                <w:lang w:val="en-US" w:eastAsia="zh-CN" w:bidi="ar-SA"/>
              </w:rPr>
              <w:t>汇集站东侧</w:t>
            </w:r>
          </w:p>
        </w:tc>
        <w:tc>
          <w:tcPr>
            <w:tcW w:w="2448"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kern w:val="2"/>
                <w:sz w:val="21"/>
                <w:szCs w:val="21"/>
                <w:lang w:val="en-US" w:eastAsia="zh-CN" w:bidi="ar-SA"/>
              </w:rPr>
            </w:pPr>
            <w:r>
              <w:rPr>
                <w:rFonts w:hint="default" w:ascii="Times New Roman" w:hAnsi="Times New Roman" w:cs="Times New Roman" w:eastAsiaTheme="minorEastAsia"/>
                <w:b w:val="0"/>
                <w:bCs w:val="0"/>
                <w:kern w:val="2"/>
                <w:sz w:val="21"/>
                <w:szCs w:val="21"/>
                <w:lang w:val="en-US" w:eastAsia="zh-CN" w:bidi="ar-SA"/>
              </w:rPr>
              <w:t>环境噪声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1496"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eastAsiaTheme="minorEastAsia"/>
                <w:b w:val="0"/>
                <w:bCs w:val="0"/>
                <w:kern w:val="2"/>
                <w:sz w:val="21"/>
                <w:szCs w:val="21"/>
                <w:lang w:val="en-US" w:eastAsia="zh-CN" w:bidi="ar-SA"/>
              </w:rPr>
              <w:t>N2</w:t>
            </w:r>
          </w:p>
        </w:tc>
        <w:tc>
          <w:tcPr>
            <w:tcW w:w="3394"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eastAsiaTheme="minorEastAsia"/>
                <w:b w:val="0"/>
                <w:bCs w:val="0"/>
                <w:kern w:val="2"/>
                <w:sz w:val="21"/>
                <w:szCs w:val="21"/>
                <w:lang w:val="en-US" w:eastAsia="zh-CN" w:bidi="ar-SA"/>
              </w:rPr>
              <w:t>汇集站北侧</w:t>
            </w:r>
          </w:p>
        </w:tc>
        <w:tc>
          <w:tcPr>
            <w:tcW w:w="244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kern w:val="2"/>
                <w:sz w:val="21"/>
                <w:szCs w:val="21"/>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1496"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eastAsiaTheme="minorEastAsia"/>
                <w:b w:val="0"/>
                <w:bCs w:val="0"/>
                <w:kern w:val="2"/>
                <w:sz w:val="21"/>
                <w:szCs w:val="21"/>
                <w:lang w:val="en-US" w:eastAsia="zh-CN" w:bidi="ar-SA"/>
              </w:rPr>
              <w:t>N</w:t>
            </w:r>
            <w:r>
              <w:rPr>
                <w:rFonts w:hint="eastAsia" w:ascii="Times New Roman" w:hAnsi="Times New Roman" w:cs="Times New Roman" w:eastAsiaTheme="minorEastAsia"/>
                <w:b w:val="0"/>
                <w:bCs w:val="0"/>
                <w:kern w:val="2"/>
                <w:sz w:val="21"/>
                <w:szCs w:val="21"/>
                <w:lang w:val="en-US" w:eastAsia="zh-CN" w:bidi="ar-SA"/>
              </w:rPr>
              <w:t>3</w:t>
            </w:r>
          </w:p>
        </w:tc>
        <w:tc>
          <w:tcPr>
            <w:tcW w:w="3394"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eastAsiaTheme="minorEastAsia"/>
                <w:b w:val="0"/>
                <w:bCs w:val="0"/>
                <w:kern w:val="2"/>
                <w:sz w:val="21"/>
                <w:szCs w:val="21"/>
                <w:lang w:val="en-US" w:eastAsia="zh-CN" w:bidi="ar-SA"/>
              </w:rPr>
              <w:t>汇集站西侧</w:t>
            </w:r>
          </w:p>
        </w:tc>
        <w:tc>
          <w:tcPr>
            <w:tcW w:w="244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kern w:val="2"/>
                <w:sz w:val="21"/>
                <w:szCs w:val="21"/>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1496"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eastAsiaTheme="minorEastAsia"/>
                <w:b w:val="0"/>
                <w:bCs w:val="0"/>
                <w:kern w:val="2"/>
                <w:sz w:val="21"/>
                <w:szCs w:val="21"/>
                <w:lang w:val="en-US" w:eastAsia="zh-CN" w:bidi="ar-SA"/>
              </w:rPr>
              <w:t>N</w:t>
            </w:r>
            <w:r>
              <w:rPr>
                <w:rFonts w:hint="eastAsia" w:ascii="Times New Roman" w:hAnsi="Times New Roman" w:cs="Times New Roman" w:eastAsiaTheme="minorEastAsia"/>
                <w:b w:val="0"/>
                <w:bCs w:val="0"/>
                <w:kern w:val="2"/>
                <w:sz w:val="21"/>
                <w:szCs w:val="21"/>
                <w:lang w:val="en-US" w:eastAsia="zh-CN" w:bidi="ar-SA"/>
              </w:rPr>
              <w:t>4</w:t>
            </w:r>
          </w:p>
        </w:tc>
        <w:tc>
          <w:tcPr>
            <w:tcW w:w="3394"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eastAsiaTheme="minorEastAsia"/>
                <w:b w:val="0"/>
                <w:bCs w:val="0"/>
                <w:kern w:val="2"/>
                <w:sz w:val="21"/>
                <w:szCs w:val="21"/>
                <w:lang w:val="en-US" w:eastAsia="zh-CN" w:bidi="ar-SA"/>
              </w:rPr>
              <w:t>汇集站南侧</w:t>
            </w:r>
          </w:p>
        </w:tc>
        <w:tc>
          <w:tcPr>
            <w:tcW w:w="244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kern w:val="2"/>
                <w:sz w:val="21"/>
                <w:szCs w:val="21"/>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1496"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eastAsiaTheme="minorEastAsia"/>
                <w:b w:val="0"/>
                <w:bCs w:val="0"/>
                <w:kern w:val="2"/>
                <w:sz w:val="21"/>
                <w:szCs w:val="21"/>
                <w:lang w:val="en-US" w:eastAsia="zh-CN" w:bidi="ar-SA"/>
              </w:rPr>
              <w:t>N5</w:t>
            </w:r>
          </w:p>
        </w:tc>
        <w:tc>
          <w:tcPr>
            <w:tcW w:w="3394"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eastAsiaTheme="minorEastAsia"/>
                <w:b w:val="0"/>
                <w:bCs w:val="0"/>
                <w:kern w:val="2"/>
                <w:sz w:val="21"/>
                <w:szCs w:val="21"/>
                <w:lang w:val="en-US" w:eastAsia="zh-CN" w:bidi="ar-SA"/>
              </w:rPr>
              <w:t>麻池塘居民点</w:t>
            </w:r>
          </w:p>
        </w:tc>
        <w:tc>
          <w:tcPr>
            <w:tcW w:w="244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kern w:val="2"/>
                <w:sz w:val="21"/>
                <w:szCs w:val="21"/>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1496"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eastAsiaTheme="minorEastAsia"/>
                <w:b w:val="0"/>
                <w:bCs w:val="0"/>
                <w:kern w:val="2"/>
                <w:sz w:val="21"/>
                <w:szCs w:val="21"/>
                <w:lang w:val="en-US" w:eastAsia="zh-CN" w:bidi="ar-SA"/>
              </w:rPr>
              <w:t>N6</w:t>
            </w:r>
          </w:p>
        </w:tc>
        <w:tc>
          <w:tcPr>
            <w:tcW w:w="3394"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eastAsiaTheme="minorEastAsia"/>
                <w:b w:val="0"/>
                <w:bCs w:val="0"/>
                <w:kern w:val="2"/>
                <w:sz w:val="21"/>
                <w:szCs w:val="21"/>
                <w:lang w:val="en-US" w:eastAsia="zh-CN" w:bidi="ar-SA"/>
              </w:rPr>
              <w:t>雷家居民点</w:t>
            </w:r>
          </w:p>
        </w:tc>
        <w:tc>
          <w:tcPr>
            <w:tcW w:w="244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kern w:val="2"/>
                <w:sz w:val="21"/>
                <w:szCs w:val="21"/>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28" w:hRule="atLeast"/>
          <w:tblHeader/>
          <w:jc w:val="center"/>
        </w:trPr>
        <w:tc>
          <w:tcPr>
            <w:tcW w:w="1496"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eastAsiaTheme="minorEastAsia"/>
                <w:b w:val="0"/>
                <w:bCs w:val="0"/>
                <w:kern w:val="2"/>
                <w:sz w:val="21"/>
                <w:szCs w:val="21"/>
                <w:lang w:val="en-US" w:eastAsia="zh-CN" w:bidi="ar-SA"/>
              </w:rPr>
              <w:t>N7</w:t>
            </w:r>
          </w:p>
        </w:tc>
        <w:tc>
          <w:tcPr>
            <w:tcW w:w="3394"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eastAsiaTheme="minorEastAsia"/>
                <w:b w:val="0"/>
                <w:bCs w:val="0"/>
                <w:kern w:val="2"/>
                <w:sz w:val="21"/>
                <w:szCs w:val="21"/>
                <w:lang w:val="en-US" w:eastAsia="zh-CN" w:bidi="ar-SA"/>
              </w:rPr>
              <w:t>钟家居民点</w:t>
            </w:r>
          </w:p>
        </w:tc>
        <w:tc>
          <w:tcPr>
            <w:tcW w:w="244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kern w:val="2"/>
                <w:sz w:val="21"/>
                <w:szCs w:val="21"/>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58" w:hRule="atLeast"/>
          <w:tblHeader/>
          <w:jc w:val="center"/>
        </w:trPr>
        <w:tc>
          <w:tcPr>
            <w:tcW w:w="1496"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eastAsiaTheme="minorEastAsia"/>
                <w:b w:val="0"/>
                <w:bCs w:val="0"/>
                <w:kern w:val="2"/>
                <w:sz w:val="21"/>
                <w:szCs w:val="21"/>
                <w:lang w:val="en-US" w:eastAsia="zh-CN" w:bidi="ar-SA"/>
              </w:rPr>
              <w:t>N8</w:t>
            </w:r>
          </w:p>
        </w:tc>
        <w:tc>
          <w:tcPr>
            <w:tcW w:w="3394"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eastAsiaTheme="minorEastAsia"/>
                <w:b w:val="0"/>
                <w:bCs w:val="0"/>
                <w:kern w:val="2"/>
                <w:sz w:val="21"/>
                <w:szCs w:val="21"/>
                <w:lang w:val="en-US" w:eastAsia="zh-CN" w:bidi="ar-SA"/>
              </w:rPr>
              <w:t>五爪龙居民点</w:t>
            </w:r>
          </w:p>
        </w:tc>
        <w:tc>
          <w:tcPr>
            <w:tcW w:w="244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kern w:val="2"/>
                <w:sz w:val="21"/>
                <w:szCs w:val="21"/>
                <w:lang w:val="en-US" w:eastAsia="zh-CN" w:bidi="ar-SA"/>
              </w:rPr>
            </w:pPr>
          </w:p>
        </w:tc>
      </w:tr>
    </w:tbl>
    <w:p>
      <w:pPr>
        <w:pStyle w:val="3666"/>
        <w:spacing w:before="120" w:beforeLines="50" w:line="360" w:lineRule="auto"/>
        <w:rPr>
          <w:rFonts w:hint="default" w:ascii="Times New Roman" w:hAnsi="Times New Roman" w:eastAsia="宋体" w:cs="Times New Roman"/>
          <w:szCs w:val="24"/>
          <w:u w:val="none" w:color="auto"/>
        </w:rPr>
      </w:pPr>
      <w:r>
        <w:rPr>
          <w:rFonts w:hint="default" w:ascii="Times New Roman" w:hAnsi="Times New Roman" w:eastAsia="宋体" w:cs="Times New Roman"/>
          <w:szCs w:val="24"/>
          <w:u w:val="none" w:color="auto"/>
        </w:rPr>
        <w:t>（</w:t>
      </w:r>
      <w:r>
        <w:rPr>
          <w:rFonts w:hint="eastAsia" w:ascii="Times New Roman" w:hAnsi="Times New Roman" w:cs="Times New Roman"/>
          <w:szCs w:val="24"/>
          <w:u w:val="none" w:color="auto"/>
          <w:lang w:val="en-US" w:eastAsia="zh-CN"/>
        </w:rPr>
        <w:t>3</w:t>
      </w:r>
      <w:r>
        <w:rPr>
          <w:rFonts w:hint="default" w:ascii="Times New Roman" w:hAnsi="Times New Roman" w:eastAsia="宋体" w:cs="Times New Roman"/>
          <w:szCs w:val="24"/>
          <w:u w:val="none" w:color="auto"/>
        </w:rPr>
        <w:t>）监测因子：Leq（A）。</w:t>
      </w:r>
    </w:p>
    <w:p>
      <w:pPr>
        <w:pStyle w:val="3666"/>
        <w:spacing w:line="360" w:lineRule="auto"/>
        <w:rPr>
          <w:rFonts w:hint="default" w:ascii="Times New Roman" w:hAnsi="Times New Roman" w:eastAsia="宋体" w:cs="Times New Roman"/>
          <w:szCs w:val="24"/>
          <w:u w:val="none" w:color="auto"/>
        </w:rPr>
      </w:pPr>
      <w:r>
        <w:rPr>
          <w:rFonts w:hint="default" w:ascii="Times New Roman" w:hAnsi="Times New Roman" w:eastAsia="宋体" w:cs="Times New Roman"/>
          <w:szCs w:val="24"/>
          <w:u w:val="none" w:color="auto"/>
        </w:rPr>
        <w:t>（</w:t>
      </w:r>
      <w:r>
        <w:rPr>
          <w:rFonts w:hint="eastAsia" w:ascii="Times New Roman" w:hAnsi="Times New Roman" w:cs="Times New Roman"/>
          <w:szCs w:val="24"/>
          <w:u w:val="none" w:color="auto"/>
          <w:lang w:val="en-US" w:eastAsia="zh-CN"/>
        </w:rPr>
        <w:t>4</w:t>
      </w:r>
      <w:r>
        <w:rPr>
          <w:rFonts w:hint="default" w:ascii="Times New Roman" w:hAnsi="Times New Roman" w:eastAsia="宋体" w:cs="Times New Roman"/>
          <w:szCs w:val="24"/>
          <w:u w:val="none" w:color="auto"/>
        </w:rPr>
        <w:t>）监测时间与频次</w:t>
      </w:r>
    </w:p>
    <w:p>
      <w:pPr>
        <w:pStyle w:val="3666"/>
        <w:spacing w:line="360" w:lineRule="auto"/>
        <w:rPr>
          <w:rFonts w:hint="default" w:ascii="Times New Roman" w:hAnsi="Times New Roman" w:eastAsia="宋体" w:cs="Times New Roman"/>
          <w:szCs w:val="24"/>
          <w:u w:val="none" w:color="auto"/>
        </w:rPr>
      </w:pPr>
      <w:r>
        <w:rPr>
          <w:rFonts w:hint="default" w:ascii="Times New Roman" w:hAnsi="Times New Roman" w:eastAsia="宋体" w:cs="Times New Roman"/>
          <w:szCs w:val="24"/>
          <w:u w:val="none" w:color="auto"/>
        </w:rPr>
        <w:t>各监测点按昼间和夜间分段监测。</w:t>
      </w:r>
    </w:p>
    <w:p>
      <w:pPr>
        <w:pStyle w:val="3666"/>
        <w:spacing w:line="360" w:lineRule="auto"/>
        <w:rPr>
          <w:rFonts w:hint="default" w:ascii="Times New Roman" w:hAnsi="Times New Roman" w:eastAsia="宋体" w:cs="Times New Roman"/>
          <w:szCs w:val="24"/>
          <w:u w:val="none" w:color="auto"/>
        </w:rPr>
      </w:pPr>
      <w:r>
        <w:rPr>
          <w:rFonts w:hint="default" w:ascii="Times New Roman" w:hAnsi="Times New Roman" w:eastAsia="宋体" w:cs="Times New Roman"/>
          <w:szCs w:val="24"/>
          <w:u w:val="none" w:color="auto"/>
        </w:rPr>
        <w:t>昼间：6∶00～22∶00</w:t>
      </w:r>
    </w:p>
    <w:p>
      <w:pPr>
        <w:pStyle w:val="3666"/>
        <w:spacing w:line="360" w:lineRule="auto"/>
        <w:rPr>
          <w:rFonts w:hint="default" w:ascii="Times New Roman" w:hAnsi="Times New Roman" w:eastAsia="宋体" w:cs="Times New Roman"/>
          <w:szCs w:val="24"/>
          <w:u w:val="none" w:color="auto"/>
        </w:rPr>
      </w:pPr>
      <w:r>
        <w:rPr>
          <w:rFonts w:hint="default" w:ascii="Times New Roman" w:hAnsi="Times New Roman" w:eastAsia="宋体" w:cs="Times New Roman"/>
          <w:szCs w:val="24"/>
          <w:u w:val="none" w:color="auto"/>
        </w:rPr>
        <w:t>夜间：22∶00～次日6∶00</w:t>
      </w:r>
    </w:p>
    <w:p>
      <w:pPr>
        <w:pStyle w:val="3666"/>
        <w:spacing w:line="360" w:lineRule="auto"/>
        <w:rPr>
          <w:rFonts w:hint="default" w:ascii="Times New Roman" w:hAnsi="Times New Roman" w:eastAsia="宋体" w:cs="Times New Roman"/>
          <w:szCs w:val="24"/>
          <w:highlight w:val="none"/>
          <w:u w:val="none" w:color="auto"/>
        </w:rPr>
      </w:pPr>
      <w:r>
        <w:rPr>
          <w:rFonts w:hint="default" w:ascii="Times New Roman" w:hAnsi="Times New Roman" w:eastAsia="宋体" w:cs="Times New Roman"/>
          <w:szCs w:val="24"/>
          <w:highlight w:val="none"/>
          <w:u w:val="none" w:color="auto"/>
        </w:rPr>
        <w:t>监测时间：20</w:t>
      </w:r>
      <w:r>
        <w:rPr>
          <w:rFonts w:hint="default" w:ascii="Times New Roman" w:hAnsi="Times New Roman" w:eastAsia="宋体" w:cs="Times New Roman"/>
          <w:szCs w:val="24"/>
          <w:highlight w:val="none"/>
          <w:u w:val="none" w:color="auto"/>
          <w:lang w:val="en-US" w:eastAsia="zh-CN"/>
        </w:rPr>
        <w:t>2</w:t>
      </w:r>
      <w:r>
        <w:rPr>
          <w:rFonts w:hint="eastAsia" w:ascii="Times New Roman" w:hAnsi="Times New Roman" w:cs="Times New Roman"/>
          <w:szCs w:val="24"/>
          <w:highlight w:val="none"/>
          <w:u w:val="none" w:color="auto"/>
          <w:lang w:val="en-US" w:eastAsia="zh-CN"/>
        </w:rPr>
        <w:t>5</w:t>
      </w:r>
      <w:r>
        <w:rPr>
          <w:rFonts w:hint="default" w:ascii="Times New Roman" w:hAnsi="Times New Roman" w:eastAsia="宋体" w:cs="Times New Roman"/>
          <w:szCs w:val="24"/>
          <w:highlight w:val="none"/>
          <w:u w:val="none" w:color="auto"/>
        </w:rPr>
        <w:t>年</w:t>
      </w:r>
      <w:r>
        <w:rPr>
          <w:rFonts w:hint="eastAsia" w:ascii="Times New Roman" w:hAnsi="Times New Roman" w:cs="Times New Roman"/>
          <w:szCs w:val="24"/>
          <w:highlight w:val="none"/>
          <w:u w:val="none" w:color="auto"/>
          <w:lang w:val="en-US" w:eastAsia="zh-CN"/>
        </w:rPr>
        <w:t>3</w:t>
      </w:r>
      <w:r>
        <w:rPr>
          <w:rFonts w:hint="default" w:ascii="Times New Roman" w:hAnsi="Times New Roman" w:eastAsia="宋体" w:cs="Times New Roman"/>
          <w:szCs w:val="24"/>
          <w:highlight w:val="none"/>
          <w:u w:val="none" w:color="auto"/>
        </w:rPr>
        <w:t>月</w:t>
      </w:r>
      <w:r>
        <w:rPr>
          <w:rFonts w:hint="eastAsia" w:ascii="Times New Roman" w:hAnsi="Times New Roman" w:cs="Times New Roman"/>
          <w:szCs w:val="24"/>
          <w:highlight w:val="none"/>
          <w:u w:val="none" w:color="auto"/>
          <w:lang w:val="en-US" w:eastAsia="zh-CN"/>
        </w:rPr>
        <w:t>25</w:t>
      </w:r>
      <w:r>
        <w:rPr>
          <w:rFonts w:hint="default" w:ascii="Times New Roman" w:hAnsi="Times New Roman" w:eastAsia="宋体" w:cs="Times New Roman"/>
          <w:szCs w:val="24"/>
          <w:highlight w:val="none"/>
          <w:u w:val="none" w:color="auto"/>
        </w:rPr>
        <w:t>日~</w:t>
      </w:r>
      <w:r>
        <w:rPr>
          <w:rFonts w:hint="eastAsia" w:ascii="Times New Roman" w:hAnsi="Times New Roman" w:cs="Times New Roman"/>
          <w:szCs w:val="24"/>
          <w:highlight w:val="none"/>
          <w:u w:val="none" w:color="auto"/>
          <w:lang w:val="en-US" w:eastAsia="zh-CN"/>
        </w:rPr>
        <w:t>3</w:t>
      </w:r>
      <w:r>
        <w:rPr>
          <w:rFonts w:hint="default" w:ascii="Times New Roman" w:hAnsi="Times New Roman" w:eastAsia="宋体" w:cs="Times New Roman"/>
          <w:szCs w:val="24"/>
          <w:highlight w:val="none"/>
          <w:u w:val="none" w:color="auto"/>
        </w:rPr>
        <w:t>月</w:t>
      </w:r>
      <w:r>
        <w:rPr>
          <w:rFonts w:hint="eastAsia" w:ascii="Times New Roman" w:hAnsi="Times New Roman" w:eastAsia="宋体" w:cs="Times New Roman"/>
          <w:szCs w:val="24"/>
          <w:highlight w:val="none"/>
          <w:u w:val="none" w:color="auto"/>
          <w:lang w:val="en-US" w:eastAsia="zh-CN"/>
        </w:rPr>
        <w:t>2</w:t>
      </w:r>
      <w:r>
        <w:rPr>
          <w:rFonts w:hint="eastAsia" w:ascii="Times New Roman" w:hAnsi="Times New Roman" w:cs="Times New Roman"/>
          <w:szCs w:val="24"/>
          <w:highlight w:val="none"/>
          <w:u w:val="none" w:color="auto"/>
          <w:lang w:val="en-US" w:eastAsia="zh-CN"/>
        </w:rPr>
        <w:t>6</w:t>
      </w:r>
      <w:r>
        <w:rPr>
          <w:rFonts w:hint="default" w:ascii="Times New Roman" w:hAnsi="Times New Roman" w:eastAsia="宋体" w:cs="Times New Roman"/>
          <w:szCs w:val="24"/>
          <w:highlight w:val="none"/>
          <w:u w:val="none" w:color="auto"/>
        </w:rPr>
        <w:t>日</w:t>
      </w:r>
    </w:p>
    <w:p>
      <w:pPr>
        <w:pStyle w:val="3666"/>
        <w:spacing w:line="360" w:lineRule="auto"/>
        <w:rPr>
          <w:rFonts w:hint="default" w:ascii="Times New Roman" w:hAnsi="Times New Roman" w:eastAsia="宋体" w:cs="Times New Roman"/>
          <w:szCs w:val="24"/>
          <w:u w:val="none" w:color="auto"/>
        </w:rPr>
      </w:pPr>
      <w:r>
        <w:rPr>
          <w:rFonts w:hint="default" w:ascii="Times New Roman" w:hAnsi="Times New Roman" w:eastAsia="宋体" w:cs="Times New Roman"/>
          <w:szCs w:val="24"/>
          <w:u w:val="none" w:color="auto"/>
        </w:rPr>
        <w:t>（</w:t>
      </w:r>
      <w:r>
        <w:rPr>
          <w:rFonts w:hint="eastAsia" w:ascii="Times New Roman" w:hAnsi="Times New Roman" w:cs="Times New Roman"/>
          <w:szCs w:val="24"/>
          <w:u w:val="none" w:color="auto"/>
          <w:lang w:val="en-US" w:eastAsia="zh-CN"/>
        </w:rPr>
        <w:t>5</w:t>
      </w:r>
      <w:r>
        <w:rPr>
          <w:rFonts w:hint="default" w:ascii="Times New Roman" w:hAnsi="Times New Roman" w:eastAsia="宋体" w:cs="Times New Roman"/>
          <w:szCs w:val="24"/>
          <w:u w:val="none" w:color="auto"/>
        </w:rPr>
        <w:t>）评价标准</w:t>
      </w:r>
    </w:p>
    <w:p>
      <w:pPr>
        <w:pStyle w:val="3666"/>
        <w:spacing w:line="360" w:lineRule="auto"/>
        <w:rPr>
          <w:rFonts w:hint="default" w:ascii="Times New Roman" w:hAnsi="Times New Roman" w:eastAsia="宋体" w:cs="Times New Roman"/>
          <w:szCs w:val="24"/>
          <w:u w:val="none" w:color="auto"/>
        </w:rPr>
      </w:pPr>
      <w:r>
        <w:rPr>
          <w:rFonts w:hint="default" w:ascii="Times New Roman" w:hAnsi="Times New Roman" w:eastAsia="宋体" w:cs="Times New Roman"/>
          <w:szCs w:val="24"/>
          <w:u w:val="none" w:color="auto"/>
        </w:rPr>
        <w:t>执行《声环境质量标准》（GB3096-2008）中2类标准。</w:t>
      </w:r>
    </w:p>
    <w:p>
      <w:pPr>
        <w:pStyle w:val="3666"/>
        <w:spacing w:line="360" w:lineRule="auto"/>
        <w:rPr>
          <w:rFonts w:hint="default" w:ascii="Times New Roman" w:hAnsi="Times New Roman" w:eastAsia="宋体" w:cs="Times New Roman"/>
          <w:szCs w:val="24"/>
          <w:u w:val="none" w:color="auto"/>
        </w:rPr>
      </w:pPr>
      <w:r>
        <w:rPr>
          <w:rFonts w:hint="default" w:ascii="Times New Roman" w:hAnsi="Times New Roman" w:eastAsia="宋体" w:cs="Times New Roman"/>
          <w:szCs w:val="24"/>
          <w:u w:val="none" w:color="auto"/>
        </w:rPr>
        <w:t>（</w:t>
      </w:r>
      <w:r>
        <w:rPr>
          <w:rFonts w:hint="eastAsia" w:ascii="Times New Roman" w:hAnsi="Times New Roman" w:cs="Times New Roman"/>
          <w:szCs w:val="24"/>
          <w:u w:val="none" w:color="auto"/>
          <w:lang w:val="en-US" w:eastAsia="zh-CN"/>
        </w:rPr>
        <w:t>6</w:t>
      </w:r>
      <w:r>
        <w:rPr>
          <w:rFonts w:hint="default" w:ascii="Times New Roman" w:hAnsi="Times New Roman" w:eastAsia="宋体" w:cs="Times New Roman"/>
          <w:szCs w:val="24"/>
          <w:u w:val="none" w:color="auto"/>
        </w:rPr>
        <w:t>）监测结果及评价</w:t>
      </w:r>
    </w:p>
    <w:p>
      <w:pPr>
        <w:pStyle w:val="3666"/>
        <w:spacing w:line="360" w:lineRule="auto"/>
        <w:rPr>
          <w:rFonts w:hint="default" w:ascii="Times New Roman" w:hAnsi="Times New Roman" w:eastAsia="宋体" w:cs="Times New Roman"/>
          <w:szCs w:val="24"/>
          <w:u w:val="none" w:color="auto"/>
        </w:rPr>
      </w:pPr>
      <w:r>
        <w:rPr>
          <w:rFonts w:hint="default" w:ascii="Times New Roman" w:hAnsi="Times New Roman" w:eastAsia="宋体" w:cs="Times New Roman"/>
          <w:szCs w:val="24"/>
          <w:u w:val="none" w:color="auto"/>
        </w:rPr>
        <w:t>监测及评价结果见</w:t>
      </w:r>
      <w:r>
        <w:rPr>
          <w:rFonts w:hint="eastAsia" w:ascii="Times New Roman" w:hAnsi="Times New Roman" w:cs="Times New Roman"/>
          <w:szCs w:val="24"/>
          <w:u w:val="none" w:color="auto"/>
          <w:lang w:val="en-US" w:eastAsia="zh-CN"/>
        </w:rPr>
        <w:t>下</w:t>
      </w:r>
      <w:r>
        <w:rPr>
          <w:rFonts w:hint="default" w:ascii="Times New Roman" w:hAnsi="Times New Roman" w:eastAsia="宋体" w:cs="Times New Roman"/>
          <w:szCs w:val="24"/>
          <w:u w:val="none" w:color="auto"/>
        </w:rPr>
        <w:t>表</w:t>
      </w:r>
      <w:r>
        <w:rPr>
          <w:rFonts w:hint="eastAsia" w:ascii="Times New Roman" w:hAnsi="Times New Roman" w:eastAsia="宋体" w:cs="Times New Roman"/>
          <w:szCs w:val="24"/>
          <w:u w:val="none" w:color="auto"/>
          <w:lang w:val="en-US" w:eastAsia="zh-CN"/>
        </w:rPr>
        <w:t>，由表可知，各监测点位噪声现状监测值均达到</w:t>
      </w:r>
      <w:r>
        <w:rPr>
          <w:rFonts w:hint="default" w:ascii="Times New Roman" w:hAnsi="Times New Roman" w:eastAsia="宋体" w:cs="Times New Roman"/>
          <w:szCs w:val="24"/>
          <w:u w:val="none" w:color="auto"/>
        </w:rPr>
        <w:t>《声环境质量标准》（GB3096-2008）中2类标准</w:t>
      </w:r>
      <w:r>
        <w:rPr>
          <w:rFonts w:hint="eastAsia" w:ascii="Times New Roman" w:hAnsi="Times New Roman" w:eastAsia="宋体" w:cs="Times New Roman"/>
          <w:szCs w:val="24"/>
          <w:u w:val="none" w:color="auto"/>
          <w:lang w:eastAsia="zh-CN"/>
        </w:rPr>
        <w:t>，区域声环境质量良好</w:t>
      </w:r>
      <w:r>
        <w:rPr>
          <w:rFonts w:hint="default" w:ascii="Times New Roman" w:hAnsi="Times New Roman" w:eastAsia="宋体" w:cs="Times New Roman"/>
          <w:szCs w:val="24"/>
          <w:u w:val="none" w:color="auto"/>
        </w:rPr>
        <w:t>。</w:t>
      </w:r>
    </w:p>
    <w:bookmarkEnd w:id="83"/>
    <w:p>
      <w:pPr>
        <w:pStyle w:val="3587"/>
        <w:bidi w:val="0"/>
        <w:rPr>
          <w:rFonts w:hint="default" w:ascii="Times New Roman" w:hAnsi="Times New Roman" w:eastAsia="宋体" w:cs="Times New Roman"/>
          <w:u w:val="none" w:color="auto"/>
          <w:lang w:eastAsia="zh-CN"/>
        </w:rPr>
      </w:pPr>
      <w:r>
        <w:rPr>
          <w:rFonts w:hint="default" w:ascii="Times New Roman" w:hAnsi="Times New Roman" w:eastAsia="宋体" w:cs="Times New Roman"/>
          <w:u w:val="none" w:color="auto"/>
          <w:lang w:eastAsia="zh-CN"/>
        </w:rPr>
        <w:t>声环境质量现状监测结果  单位：dB（A）</w:t>
      </w:r>
    </w:p>
    <w:tbl>
      <w:tblPr>
        <w:tblStyle w:val="88"/>
        <w:tblW w:w="471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12"/>
        <w:gridCol w:w="2186"/>
        <w:gridCol w:w="1716"/>
        <w:gridCol w:w="1311"/>
        <w:gridCol w:w="14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20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监测点位</w:t>
            </w:r>
          </w:p>
        </w:tc>
        <w:tc>
          <w:tcPr>
            <w:tcW w:w="124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2"/>
                <w:sz w:val="21"/>
                <w:szCs w:val="21"/>
                <w:u w:val="none" w:color="auto"/>
                <w:lang w:val="en-US" w:eastAsia="zh-CN" w:bidi="ar-SA"/>
              </w:rPr>
            </w:pPr>
            <w:r>
              <w:rPr>
                <w:rFonts w:hint="default" w:ascii="Times New Roman" w:hAnsi="Times New Roman" w:cs="Times New Roman"/>
                <w:sz w:val="21"/>
                <w:szCs w:val="21"/>
                <w:u w:val="none" w:color="auto"/>
              </w:rPr>
              <w:t>日期</w:t>
            </w:r>
          </w:p>
        </w:tc>
        <w:tc>
          <w:tcPr>
            <w:tcW w:w="979"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昼间</w:t>
            </w:r>
          </w:p>
        </w:tc>
        <w:tc>
          <w:tcPr>
            <w:tcW w:w="74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夜间</w:t>
            </w:r>
          </w:p>
        </w:tc>
        <w:tc>
          <w:tcPr>
            <w:tcW w:w="81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20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cs="Times New Roman"/>
                <w:sz w:val="21"/>
                <w:szCs w:val="21"/>
                <w:u w:val="none" w:color="auto"/>
                <w:lang w:val="en-US" w:eastAsia="zh-CN"/>
              </w:rPr>
              <w:t>N1</w:t>
            </w:r>
            <w:r>
              <w:rPr>
                <w:rFonts w:hint="eastAsia" w:ascii="Times New Roman" w:hAnsi="Times New Roman" w:cs="Times New Roman" w:eastAsiaTheme="minorEastAsia"/>
                <w:b w:val="0"/>
                <w:bCs w:val="0"/>
                <w:kern w:val="2"/>
                <w:sz w:val="21"/>
                <w:szCs w:val="21"/>
                <w:lang w:val="en-US" w:eastAsia="zh-CN" w:bidi="ar-SA"/>
              </w:rPr>
              <w:t>汇集站东侧</w:t>
            </w:r>
          </w:p>
        </w:tc>
        <w:tc>
          <w:tcPr>
            <w:tcW w:w="12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2025年3月25日</w:t>
            </w:r>
          </w:p>
        </w:tc>
        <w:tc>
          <w:tcPr>
            <w:tcW w:w="97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41.2</w:t>
            </w:r>
          </w:p>
        </w:tc>
        <w:tc>
          <w:tcPr>
            <w:tcW w:w="7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40.1</w:t>
            </w:r>
          </w:p>
        </w:tc>
        <w:tc>
          <w:tcPr>
            <w:tcW w:w="81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2"/>
                <w:sz w:val="21"/>
                <w:szCs w:val="21"/>
                <w:u w:val="none" w:color="auto"/>
                <w:lang w:val="en-US" w:eastAsia="zh-CN" w:bidi="ar-SA"/>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2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kern w:val="2"/>
                <w:sz w:val="21"/>
                <w:szCs w:val="21"/>
                <w:u w:val="none" w:color="auto"/>
                <w:lang w:val="en-US" w:eastAsia="zh-CN" w:bidi="ar-SA"/>
              </w:rPr>
            </w:pP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2025年3月26日</w:t>
            </w:r>
          </w:p>
        </w:tc>
        <w:tc>
          <w:tcPr>
            <w:tcW w:w="97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42.2</w:t>
            </w:r>
          </w:p>
        </w:tc>
        <w:tc>
          <w:tcPr>
            <w:tcW w:w="7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40.8</w:t>
            </w:r>
          </w:p>
        </w:tc>
        <w:tc>
          <w:tcPr>
            <w:tcW w:w="81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2"/>
                <w:sz w:val="21"/>
                <w:szCs w:val="21"/>
                <w:u w:val="none" w:color="auto"/>
                <w:lang w:val="en-US" w:eastAsia="zh-CN" w:bidi="ar-SA"/>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206"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sz w:val="21"/>
                <w:szCs w:val="21"/>
                <w:u w:val="none" w:color="auto"/>
                <w:lang w:val="en-US" w:eastAsia="zh-CN"/>
              </w:rPr>
            </w:pPr>
            <w:r>
              <w:rPr>
                <w:rFonts w:hint="eastAsia" w:cs="Times New Roman"/>
                <w:sz w:val="21"/>
                <w:szCs w:val="21"/>
                <w:u w:val="none" w:color="auto"/>
                <w:lang w:val="en-US" w:eastAsia="zh-CN"/>
              </w:rPr>
              <w:t>N2</w:t>
            </w:r>
            <w:r>
              <w:rPr>
                <w:rFonts w:hint="eastAsia" w:ascii="Times New Roman" w:hAnsi="Times New Roman" w:cs="Times New Roman" w:eastAsiaTheme="minorEastAsia"/>
                <w:b w:val="0"/>
                <w:bCs w:val="0"/>
                <w:kern w:val="2"/>
                <w:sz w:val="21"/>
                <w:szCs w:val="21"/>
                <w:lang w:val="en-US" w:eastAsia="zh-CN" w:bidi="ar-SA"/>
              </w:rPr>
              <w:t>汇集站北侧</w:t>
            </w: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kern w:val="2"/>
                <w:sz w:val="21"/>
                <w:szCs w:val="21"/>
                <w:highlight w:val="none"/>
                <w:u w:val="none" w:color="auto"/>
                <w:lang w:val="en-US" w:eastAsia="zh-CN" w:bidi="ar-SA"/>
              </w:rPr>
            </w:pPr>
            <w:r>
              <w:rPr>
                <w:rFonts w:hint="eastAsia" w:ascii="Times New Roman" w:hAnsi="Times New Roman" w:cs="Times New Roman" w:eastAsiaTheme="minorEastAsia"/>
                <w:b w:val="0"/>
                <w:bCs w:val="0"/>
                <w:kern w:val="2"/>
                <w:sz w:val="21"/>
                <w:szCs w:val="21"/>
                <w:lang w:val="en-US" w:eastAsia="zh-CN" w:bidi="ar-SA"/>
              </w:rPr>
              <w:t>2025年3月25日</w:t>
            </w:r>
          </w:p>
        </w:tc>
        <w:tc>
          <w:tcPr>
            <w:tcW w:w="97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45.4</w:t>
            </w:r>
          </w:p>
        </w:tc>
        <w:tc>
          <w:tcPr>
            <w:tcW w:w="7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42.4</w:t>
            </w:r>
          </w:p>
        </w:tc>
        <w:tc>
          <w:tcPr>
            <w:tcW w:w="81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2"/>
                <w:sz w:val="21"/>
                <w:szCs w:val="21"/>
                <w:u w:val="none" w:color="auto"/>
                <w:lang w:val="en-US" w:eastAsia="zh-CN" w:bidi="ar-SA"/>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20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kern w:val="2"/>
                <w:sz w:val="21"/>
                <w:szCs w:val="21"/>
                <w:highlight w:val="none"/>
                <w:u w:val="none" w:color="auto"/>
                <w:lang w:val="en-US" w:eastAsia="zh-CN" w:bidi="ar-SA"/>
              </w:rPr>
            </w:pPr>
            <w:r>
              <w:rPr>
                <w:rFonts w:hint="eastAsia" w:ascii="Times New Roman" w:hAnsi="Times New Roman" w:cs="Times New Roman" w:eastAsiaTheme="minorEastAsia"/>
                <w:b w:val="0"/>
                <w:bCs w:val="0"/>
                <w:kern w:val="2"/>
                <w:sz w:val="21"/>
                <w:szCs w:val="21"/>
                <w:lang w:val="en-US" w:eastAsia="zh-CN" w:bidi="ar-SA"/>
              </w:rPr>
              <w:t>2025年3月26日</w:t>
            </w:r>
          </w:p>
        </w:tc>
        <w:tc>
          <w:tcPr>
            <w:tcW w:w="97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46.6</w:t>
            </w:r>
          </w:p>
        </w:tc>
        <w:tc>
          <w:tcPr>
            <w:tcW w:w="7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43.1</w:t>
            </w:r>
          </w:p>
        </w:tc>
        <w:tc>
          <w:tcPr>
            <w:tcW w:w="81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2"/>
                <w:sz w:val="21"/>
                <w:szCs w:val="21"/>
                <w:u w:val="none" w:color="auto"/>
                <w:lang w:val="en-US" w:eastAsia="zh-CN" w:bidi="ar-SA"/>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206"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sz w:val="21"/>
                <w:szCs w:val="21"/>
                <w:u w:val="none" w:color="auto"/>
                <w:lang w:val="en-US" w:eastAsia="zh-CN"/>
              </w:rPr>
            </w:pPr>
            <w:r>
              <w:rPr>
                <w:rFonts w:hint="eastAsia" w:cs="Times New Roman"/>
                <w:sz w:val="21"/>
                <w:szCs w:val="21"/>
                <w:u w:val="none" w:color="auto"/>
                <w:lang w:val="en-US" w:eastAsia="zh-CN"/>
              </w:rPr>
              <w:t>N3</w:t>
            </w:r>
            <w:r>
              <w:rPr>
                <w:rFonts w:hint="eastAsia" w:ascii="Times New Roman" w:hAnsi="Times New Roman" w:cs="Times New Roman" w:eastAsiaTheme="minorEastAsia"/>
                <w:b w:val="0"/>
                <w:bCs w:val="0"/>
                <w:kern w:val="2"/>
                <w:sz w:val="21"/>
                <w:szCs w:val="21"/>
                <w:lang w:val="en-US" w:eastAsia="zh-CN" w:bidi="ar-SA"/>
              </w:rPr>
              <w:t>汇集站西侧</w:t>
            </w: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u w:val="none" w:color="auto"/>
                <w:lang w:val="en-US" w:eastAsia="zh-CN"/>
              </w:rPr>
            </w:pPr>
            <w:r>
              <w:rPr>
                <w:rFonts w:hint="eastAsia" w:ascii="Times New Roman" w:hAnsi="Times New Roman" w:cs="Times New Roman" w:eastAsiaTheme="minorEastAsia"/>
                <w:b w:val="0"/>
                <w:bCs w:val="0"/>
                <w:kern w:val="2"/>
                <w:sz w:val="21"/>
                <w:szCs w:val="21"/>
                <w:lang w:val="en-US" w:eastAsia="zh-CN" w:bidi="ar-SA"/>
              </w:rPr>
              <w:t>2025年3月25日</w:t>
            </w:r>
          </w:p>
        </w:tc>
        <w:tc>
          <w:tcPr>
            <w:tcW w:w="97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47.2</w:t>
            </w:r>
          </w:p>
        </w:tc>
        <w:tc>
          <w:tcPr>
            <w:tcW w:w="7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45.1</w:t>
            </w:r>
          </w:p>
        </w:tc>
        <w:tc>
          <w:tcPr>
            <w:tcW w:w="14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20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u w:val="none" w:color="auto"/>
                <w:lang w:val="en-US" w:eastAsia="zh-CN"/>
              </w:rPr>
            </w:pPr>
            <w:r>
              <w:rPr>
                <w:rFonts w:hint="eastAsia" w:ascii="Times New Roman" w:hAnsi="Times New Roman" w:cs="Times New Roman" w:eastAsiaTheme="minorEastAsia"/>
                <w:b w:val="0"/>
                <w:bCs w:val="0"/>
                <w:kern w:val="2"/>
                <w:sz w:val="21"/>
                <w:szCs w:val="21"/>
                <w:lang w:val="en-US" w:eastAsia="zh-CN" w:bidi="ar-SA"/>
              </w:rPr>
              <w:t>2025年3月26日</w:t>
            </w:r>
          </w:p>
        </w:tc>
        <w:tc>
          <w:tcPr>
            <w:tcW w:w="97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47.5</w:t>
            </w:r>
          </w:p>
        </w:tc>
        <w:tc>
          <w:tcPr>
            <w:tcW w:w="7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46.3</w:t>
            </w:r>
          </w:p>
        </w:tc>
        <w:tc>
          <w:tcPr>
            <w:tcW w:w="14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206"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sz w:val="21"/>
                <w:szCs w:val="21"/>
                <w:u w:val="none" w:color="auto"/>
                <w:lang w:val="en-US" w:eastAsia="zh-CN"/>
              </w:rPr>
            </w:pPr>
            <w:r>
              <w:rPr>
                <w:rFonts w:hint="eastAsia" w:cs="Times New Roman"/>
                <w:sz w:val="21"/>
                <w:szCs w:val="21"/>
                <w:u w:val="none" w:color="auto"/>
                <w:lang w:val="en-US" w:eastAsia="zh-CN"/>
              </w:rPr>
              <w:t>N4</w:t>
            </w:r>
            <w:r>
              <w:rPr>
                <w:rFonts w:hint="eastAsia" w:ascii="Times New Roman" w:hAnsi="Times New Roman" w:cs="Times New Roman" w:eastAsiaTheme="minorEastAsia"/>
                <w:b w:val="0"/>
                <w:bCs w:val="0"/>
                <w:kern w:val="2"/>
                <w:sz w:val="21"/>
                <w:szCs w:val="21"/>
                <w:lang w:val="en-US" w:eastAsia="zh-CN" w:bidi="ar-SA"/>
              </w:rPr>
              <w:t>汇集站南侧</w:t>
            </w: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u w:val="none" w:color="auto"/>
                <w:lang w:val="en-US" w:eastAsia="zh-CN"/>
              </w:rPr>
            </w:pPr>
            <w:r>
              <w:rPr>
                <w:rFonts w:hint="eastAsia" w:ascii="Times New Roman" w:hAnsi="Times New Roman" w:cs="Times New Roman" w:eastAsiaTheme="minorEastAsia"/>
                <w:b w:val="0"/>
                <w:bCs w:val="0"/>
                <w:kern w:val="2"/>
                <w:sz w:val="21"/>
                <w:szCs w:val="21"/>
                <w:lang w:val="en-US" w:eastAsia="zh-CN" w:bidi="ar-SA"/>
              </w:rPr>
              <w:t>2025年3月25日</w:t>
            </w:r>
          </w:p>
        </w:tc>
        <w:tc>
          <w:tcPr>
            <w:tcW w:w="97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40.7</w:t>
            </w:r>
          </w:p>
        </w:tc>
        <w:tc>
          <w:tcPr>
            <w:tcW w:w="7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39.6</w:t>
            </w:r>
          </w:p>
        </w:tc>
        <w:tc>
          <w:tcPr>
            <w:tcW w:w="14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20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u w:val="none" w:color="auto"/>
                <w:lang w:val="en-US" w:eastAsia="zh-CN"/>
              </w:rPr>
            </w:pPr>
            <w:r>
              <w:rPr>
                <w:rFonts w:hint="eastAsia" w:ascii="Times New Roman" w:hAnsi="Times New Roman" w:cs="Times New Roman" w:eastAsiaTheme="minorEastAsia"/>
                <w:b w:val="0"/>
                <w:bCs w:val="0"/>
                <w:kern w:val="2"/>
                <w:sz w:val="21"/>
                <w:szCs w:val="21"/>
                <w:lang w:val="en-US" w:eastAsia="zh-CN" w:bidi="ar-SA"/>
              </w:rPr>
              <w:t>2025年3月26日</w:t>
            </w:r>
          </w:p>
        </w:tc>
        <w:tc>
          <w:tcPr>
            <w:tcW w:w="97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40.6</w:t>
            </w:r>
          </w:p>
        </w:tc>
        <w:tc>
          <w:tcPr>
            <w:tcW w:w="7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40.2</w:t>
            </w:r>
          </w:p>
        </w:tc>
        <w:tc>
          <w:tcPr>
            <w:tcW w:w="14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206"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sz w:val="21"/>
                <w:szCs w:val="21"/>
                <w:u w:val="none" w:color="auto"/>
                <w:lang w:val="en-US" w:eastAsia="zh-CN"/>
              </w:rPr>
            </w:pPr>
            <w:r>
              <w:rPr>
                <w:rFonts w:hint="eastAsia" w:cs="Times New Roman"/>
                <w:sz w:val="21"/>
                <w:szCs w:val="21"/>
                <w:u w:val="none" w:color="auto"/>
                <w:lang w:val="en-US" w:eastAsia="zh-CN"/>
              </w:rPr>
              <w:t>N5</w:t>
            </w:r>
            <w:r>
              <w:rPr>
                <w:rFonts w:hint="eastAsia" w:ascii="Times New Roman" w:hAnsi="Times New Roman" w:cs="Times New Roman" w:eastAsiaTheme="minorEastAsia"/>
                <w:b w:val="0"/>
                <w:bCs w:val="0"/>
                <w:kern w:val="2"/>
                <w:sz w:val="21"/>
                <w:szCs w:val="21"/>
                <w:lang w:val="en-US" w:eastAsia="zh-CN" w:bidi="ar-SA"/>
              </w:rPr>
              <w:t>麻池塘居民点</w:t>
            </w: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u w:val="none" w:color="auto"/>
                <w:lang w:val="en-US" w:eastAsia="zh-CN"/>
              </w:rPr>
            </w:pPr>
            <w:r>
              <w:rPr>
                <w:rFonts w:hint="eastAsia" w:ascii="Times New Roman" w:hAnsi="Times New Roman" w:cs="Times New Roman" w:eastAsiaTheme="minorEastAsia"/>
                <w:b w:val="0"/>
                <w:bCs w:val="0"/>
                <w:kern w:val="2"/>
                <w:sz w:val="21"/>
                <w:szCs w:val="21"/>
                <w:lang w:val="en-US" w:eastAsia="zh-CN" w:bidi="ar-SA"/>
              </w:rPr>
              <w:t>2025年3月25日</w:t>
            </w:r>
          </w:p>
        </w:tc>
        <w:tc>
          <w:tcPr>
            <w:tcW w:w="97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43.1</w:t>
            </w:r>
          </w:p>
        </w:tc>
        <w:tc>
          <w:tcPr>
            <w:tcW w:w="7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37.9</w:t>
            </w:r>
          </w:p>
        </w:tc>
        <w:tc>
          <w:tcPr>
            <w:tcW w:w="14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20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u w:val="none" w:color="auto"/>
                <w:lang w:val="en-US" w:eastAsia="zh-CN"/>
              </w:rPr>
            </w:pPr>
            <w:r>
              <w:rPr>
                <w:rFonts w:hint="eastAsia" w:ascii="Times New Roman" w:hAnsi="Times New Roman" w:cs="Times New Roman" w:eastAsiaTheme="minorEastAsia"/>
                <w:b w:val="0"/>
                <w:bCs w:val="0"/>
                <w:kern w:val="2"/>
                <w:sz w:val="21"/>
                <w:szCs w:val="21"/>
                <w:lang w:val="en-US" w:eastAsia="zh-CN" w:bidi="ar-SA"/>
              </w:rPr>
              <w:t>2025年3月26日</w:t>
            </w:r>
          </w:p>
        </w:tc>
        <w:tc>
          <w:tcPr>
            <w:tcW w:w="97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43.7</w:t>
            </w:r>
          </w:p>
        </w:tc>
        <w:tc>
          <w:tcPr>
            <w:tcW w:w="7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38.1</w:t>
            </w:r>
          </w:p>
        </w:tc>
        <w:tc>
          <w:tcPr>
            <w:tcW w:w="14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206"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sz w:val="21"/>
                <w:szCs w:val="21"/>
                <w:u w:val="none" w:color="auto"/>
                <w:lang w:val="en-US" w:eastAsia="zh-CN"/>
              </w:rPr>
            </w:pPr>
            <w:r>
              <w:rPr>
                <w:rFonts w:hint="eastAsia" w:cs="Times New Roman"/>
                <w:sz w:val="21"/>
                <w:szCs w:val="21"/>
                <w:u w:val="none" w:color="auto"/>
                <w:lang w:val="en-US" w:eastAsia="zh-CN"/>
              </w:rPr>
              <w:t>N6</w:t>
            </w:r>
            <w:r>
              <w:rPr>
                <w:rFonts w:hint="eastAsia" w:ascii="Times New Roman" w:hAnsi="Times New Roman" w:cs="Times New Roman" w:eastAsiaTheme="minorEastAsia"/>
                <w:b w:val="0"/>
                <w:bCs w:val="0"/>
                <w:kern w:val="2"/>
                <w:sz w:val="21"/>
                <w:szCs w:val="21"/>
                <w:lang w:val="en-US" w:eastAsia="zh-CN" w:bidi="ar-SA"/>
              </w:rPr>
              <w:t>雷家居民点</w:t>
            </w: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u w:val="none" w:color="auto"/>
                <w:lang w:val="en-US" w:eastAsia="zh-CN"/>
              </w:rPr>
            </w:pPr>
            <w:r>
              <w:rPr>
                <w:rFonts w:hint="eastAsia" w:ascii="Times New Roman" w:hAnsi="Times New Roman" w:cs="Times New Roman" w:eastAsiaTheme="minorEastAsia"/>
                <w:b w:val="0"/>
                <w:bCs w:val="0"/>
                <w:kern w:val="2"/>
                <w:sz w:val="21"/>
                <w:szCs w:val="21"/>
                <w:lang w:val="en-US" w:eastAsia="zh-CN" w:bidi="ar-SA"/>
              </w:rPr>
              <w:t>2025年3月25日</w:t>
            </w:r>
          </w:p>
        </w:tc>
        <w:tc>
          <w:tcPr>
            <w:tcW w:w="97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42.6</w:t>
            </w:r>
          </w:p>
        </w:tc>
        <w:tc>
          <w:tcPr>
            <w:tcW w:w="7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38.6</w:t>
            </w:r>
          </w:p>
        </w:tc>
        <w:tc>
          <w:tcPr>
            <w:tcW w:w="14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20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u w:val="none" w:color="auto"/>
                <w:lang w:val="en-US" w:eastAsia="zh-CN"/>
              </w:rPr>
            </w:pPr>
            <w:r>
              <w:rPr>
                <w:rFonts w:hint="eastAsia" w:ascii="Times New Roman" w:hAnsi="Times New Roman" w:cs="Times New Roman" w:eastAsiaTheme="minorEastAsia"/>
                <w:b w:val="0"/>
                <w:bCs w:val="0"/>
                <w:kern w:val="2"/>
                <w:sz w:val="21"/>
                <w:szCs w:val="21"/>
                <w:lang w:val="en-US" w:eastAsia="zh-CN" w:bidi="ar-SA"/>
              </w:rPr>
              <w:t>2025年3月26日</w:t>
            </w:r>
          </w:p>
        </w:tc>
        <w:tc>
          <w:tcPr>
            <w:tcW w:w="97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41.6</w:t>
            </w:r>
          </w:p>
        </w:tc>
        <w:tc>
          <w:tcPr>
            <w:tcW w:w="7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37.8</w:t>
            </w:r>
          </w:p>
        </w:tc>
        <w:tc>
          <w:tcPr>
            <w:tcW w:w="14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206" w:type="pct"/>
            <w:vMerge w:val="restart"/>
            <w:tcBorders>
              <w:tl2br w:val="nil"/>
              <w:tr2bl w:val="nil"/>
            </w:tcBorders>
            <w:shd w:val="clear" w:color="auto" w:fill="auto"/>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r>
              <w:rPr>
                <w:rFonts w:hint="eastAsia" w:cs="Times New Roman"/>
                <w:sz w:val="21"/>
                <w:szCs w:val="21"/>
                <w:u w:val="none" w:color="auto"/>
                <w:lang w:val="en-US" w:eastAsia="zh-CN"/>
              </w:rPr>
              <w:t>N7</w:t>
            </w:r>
            <w:r>
              <w:rPr>
                <w:rFonts w:hint="eastAsia" w:ascii="Times New Roman" w:hAnsi="Times New Roman" w:cs="Times New Roman" w:eastAsiaTheme="minorEastAsia"/>
                <w:b w:val="0"/>
                <w:bCs w:val="0"/>
                <w:kern w:val="2"/>
                <w:sz w:val="21"/>
                <w:szCs w:val="21"/>
                <w:lang w:val="en-US" w:eastAsia="zh-CN" w:bidi="ar-SA"/>
              </w:rPr>
              <w:t>钟家居民点</w:t>
            </w: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u w:val="none" w:color="auto"/>
                <w:lang w:val="en-US" w:eastAsia="zh-CN"/>
              </w:rPr>
            </w:pPr>
            <w:r>
              <w:rPr>
                <w:rFonts w:hint="eastAsia" w:ascii="Times New Roman" w:hAnsi="Times New Roman" w:cs="Times New Roman" w:eastAsiaTheme="minorEastAsia"/>
                <w:b w:val="0"/>
                <w:bCs w:val="0"/>
                <w:kern w:val="2"/>
                <w:sz w:val="21"/>
                <w:szCs w:val="21"/>
                <w:lang w:val="en-US" w:eastAsia="zh-CN" w:bidi="ar-SA"/>
              </w:rPr>
              <w:t>2025年3月25日</w:t>
            </w:r>
          </w:p>
        </w:tc>
        <w:tc>
          <w:tcPr>
            <w:tcW w:w="97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42.0</w:t>
            </w:r>
          </w:p>
        </w:tc>
        <w:tc>
          <w:tcPr>
            <w:tcW w:w="7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38.5</w:t>
            </w:r>
          </w:p>
        </w:tc>
        <w:tc>
          <w:tcPr>
            <w:tcW w:w="14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20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u w:val="none" w:color="auto"/>
                <w:lang w:val="en-US" w:eastAsia="zh-CN"/>
              </w:rPr>
            </w:pPr>
            <w:r>
              <w:rPr>
                <w:rFonts w:hint="eastAsia" w:ascii="Times New Roman" w:hAnsi="Times New Roman" w:cs="Times New Roman" w:eastAsiaTheme="minorEastAsia"/>
                <w:b w:val="0"/>
                <w:bCs w:val="0"/>
                <w:kern w:val="2"/>
                <w:sz w:val="21"/>
                <w:szCs w:val="21"/>
                <w:lang w:val="en-US" w:eastAsia="zh-CN" w:bidi="ar-SA"/>
              </w:rPr>
              <w:t>2025年3月26日</w:t>
            </w:r>
          </w:p>
        </w:tc>
        <w:tc>
          <w:tcPr>
            <w:tcW w:w="97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41.7</w:t>
            </w:r>
          </w:p>
        </w:tc>
        <w:tc>
          <w:tcPr>
            <w:tcW w:w="7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37.7</w:t>
            </w:r>
          </w:p>
        </w:tc>
        <w:tc>
          <w:tcPr>
            <w:tcW w:w="14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206" w:type="pct"/>
            <w:vMerge w:val="restart"/>
            <w:tcBorders>
              <w:tl2br w:val="nil"/>
              <w:tr2bl w:val="nil"/>
            </w:tcBorders>
            <w:shd w:val="clear" w:color="auto" w:fill="auto"/>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sz w:val="21"/>
                <w:szCs w:val="21"/>
                <w:u w:val="none" w:color="auto"/>
                <w:lang w:val="en-US" w:eastAsia="zh-CN"/>
              </w:rPr>
              <w:t>N8</w:t>
            </w:r>
            <w:r>
              <w:rPr>
                <w:rFonts w:hint="eastAsia" w:ascii="Times New Roman" w:hAnsi="Times New Roman" w:cs="Times New Roman" w:eastAsiaTheme="minorEastAsia"/>
                <w:b w:val="0"/>
                <w:bCs w:val="0"/>
                <w:kern w:val="2"/>
                <w:sz w:val="21"/>
                <w:szCs w:val="21"/>
                <w:lang w:val="en-US" w:eastAsia="zh-CN" w:bidi="ar-SA"/>
              </w:rPr>
              <w:t>五爪龙居民点</w:t>
            </w: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u w:val="none" w:color="auto"/>
                <w:lang w:val="en-US" w:eastAsia="zh-CN"/>
              </w:rPr>
            </w:pPr>
            <w:r>
              <w:rPr>
                <w:rFonts w:hint="eastAsia" w:ascii="Times New Roman" w:hAnsi="Times New Roman" w:cs="Times New Roman" w:eastAsiaTheme="minorEastAsia"/>
                <w:b w:val="0"/>
                <w:bCs w:val="0"/>
                <w:kern w:val="2"/>
                <w:sz w:val="21"/>
                <w:szCs w:val="21"/>
                <w:lang w:val="en-US" w:eastAsia="zh-CN" w:bidi="ar-SA"/>
              </w:rPr>
              <w:t>2025年3月25日</w:t>
            </w:r>
          </w:p>
        </w:tc>
        <w:tc>
          <w:tcPr>
            <w:tcW w:w="97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40.5</w:t>
            </w:r>
          </w:p>
        </w:tc>
        <w:tc>
          <w:tcPr>
            <w:tcW w:w="7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39.2</w:t>
            </w:r>
          </w:p>
        </w:tc>
        <w:tc>
          <w:tcPr>
            <w:tcW w:w="14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20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u w:val="none" w:color="auto"/>
                <w:lang w:val="en-US" w:eastAsia="zh-CN"/>
              </w:rPr>
            </w:pPr>
            <w:r>
              <w:rPr>
                <w:rFonts w:hint="eastAsia" w:ascii="Times New Roman" w:hAnsi="Times New Roman" w:cs="Times New Roman" w:eastAsiaTheme="minorEastAsia"/>
                <w:b w:val="0"/>
                <w:bCs w:val="0"/>
                <w:kern w:val="2"/>
                <w:sz w:val="21"/>
                <w:szCs w:val="21"/>
                <w:lang w:val="en-US" w:eastAsia="zh-CN" w:bidi="ar-SA"/>
              </w:rPr>
              <w:t>2025年3月26日</w:t>
            </w:r>
          </w:p>
        </w:tc>
        <w:tc>
          <w:tcPr>
            <w:tcW w:w="97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40.8</w:t>
            </w:r>
          </w:p>
        </w:tc>
        <w:tc>
          <w:tcPr>
            <w:tcW w:w="7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39.7</w:t>
            </w:r>
          </w:p>
        </w:tc>
        <w:tc>
          <w:tcPr>
            <w:tcW w:w="14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2454"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cs="Times New Roman"/>
                <w:sz w:val="21"/>
                <w:szCs w:val="21"/>
                <w:highlight w:val="none"/>
                <w:u w:val="none" w:color="auto"/>
                <w:lang w:val="en-US" w:eastAsia="zh-CN"/>
              </w:rPr>
            </w:pPr>
            <w:r>
              <w:rPr>
                <w:rFonts w:hint="default" w:ascii="Times New Roman" w:hAnsi="Times New Roman" w:cs="Times New Roman"/>
                <w:sz w:val="21"/>
                <w:szCs w:val="21"/>
                <w:u w:val="none" w:color="auto"/>
                <w:lang w:eastAsia="zh-CN"/>
              </w:rPr>
              <w:t>《</w:t>
            </w:r>
            <w:r>
              <w:rPr>
                <w:rFonts w:hint="default" w:ascii="Times New Roman" w:hAnsi="Times New Roman" w:cs="Times New Roman"/>
                <w:sz w:val="21"/>
                <w:szCs w:val="21"/>
                <w:u w:val="none" w:color="auto"/>
              </w:rPr>
              <w:t>声环境质量标准</w:t>
            </w:r>
            <w:r>
              <w:rPr>
                <w:rFonts w:hint="default" w:ascii="Times New Roman" w:hAnsi="Times New Roman" w:cs="Times New Roman"/>
                <w:sz w:val="21"/>
                <w:szCs w:val="21"/>
                <w:u w:val="none" w:color="auto"/>
                <w:lang w:eastAsia="zh-CN"/>
              </w:rPr>
              <w:t>》</w:t>
            </w:r>
            <w:r>
              <w:rPr>
                <w:rFonts w:hint="default" w:ascii="Times New Roman" w:hAnsi="Times New Roman" w:cs="Times New Roman"/>
                <w:sz w:val="21"/>
                <w:szCs w:val="21"/>
                <w:u w:val="none" w:color="auto"/>
              </w:rPr>
              <w:t>（GB 3096</w:t>
            </w:r>
            <w:r>
              <w:rPr>
                <w:rFonts w:hint="eastAsia" w:ascii="Times New Roman" w:hAnsi="Times New Roman" w:cs="Times New Roman"/>
                <w:sz w:val="21"/>
                <w:szCs w:val="21"/>
                <w:u w:val="none" w:color="auto"/>
                <w:lang w:val="en-US" w:eastAsia="zh-CN"/>
              </w:rPr>
              <w:t>-</w:t>
            </w:r>
            <w:r>
              <w:rPr>
                <w:rFonts w:hint="default" w:ascii="Times New Roman" w:hAnsi="Times New Roman" w:cs="Times New Roman"/>
                <w:sz w:val="21"/>
                <w:szCs w:val="21"/>
                <w:u w:val="none" w:color="auto"/>
              </w:rPr>
              <w:t>2008）</w:t>
            </w:r>
            <w:r>
              <w:rPr>
                <w:rFonts w:hint="eastAsia" w:ascii="Times New Roman" w:hAnsi="Times New Roman" w:cs="Times New Roman"/>
                <w:sz w:val="21"/>
                <w:szCs w:val="21"/>
                <w:u w:val="none" w:color="auto"/>
                <w:lang w:val="en-US" w:eastAsia="zh-CN"/>
              </w:rPr>
              <w:t>2类标准</w:t>
            </w:r>
          </w:p>
        </w:tc>
        <w:tc>
          <w:tcPr>
            <w:tcW w:w="97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sz w:val="21"/>
                <w:szCs w:val="21"/>
                <w:u w:val="none" w:color="auto"/>
                <w:lang w:val="en-US" w:eastAsia="zh-CN"/>
              </w:rPr>
            </w:pPr>
            <w:r>
              <w:rPr>
                <w:rFonts w:hint="eastAsia"/>
                <w:sz w:val="21"/>
                <w:szCs w:val="21"/>
                <w:u w:val="none" w:color="auto"/>
                <w:lang w:val="en-US" w:eastAsia="zh-CN"/>
              </w:rPr>
              <w:t>60</w:t>
            </w:r>
          </w:p>
        </w:tc>
        <w:tc>
          <w:tcPr>
            <w:tcW w:w="74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sz w:val="21"/>
                <w:szCs w:val="21"/>
                <w:u w:val="none" w:color="auto"/>
                <w:lang w:val="en-US" w:eastAsia="zh-CN"/>
              </w:rPr>
            </w:pPr>
            <w:r>
              <w:rPr>
                <w:rFonts w:hint="eastAsia"/>
                <w:sz w:val="21"/>
                <w:szCs w:val="21"/>
                <w:u w:val="none" w:color="auto"/>
                <w:lang w:val="en-US" w:eastAsia="zh-CN"/>
              </w:rPr>
              <w:t>50</w:t>
            </w:r>
          </w:p>
        </w:tc>
        <w:tc>
          <w:tcPr>
            <w:tcW w:w="81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u w:val="none" w:color="auto"/>
              </w:rPr>
            </w:pPr>
          </w:p>
        </w:tc>
      </w:tr>
    </w:tbl>
    <w:p>
      <w:pPr>
        <w:pStyle w:val="458"/>
        <w:ind w:firstLine="602"/>
        <w:rPr>
          <w:rFonts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电磁</w:t>
      </w:r>
      <w:r>
        <w:rPr>
          <w:rFonts w:ascii="Times New Roman" w:hAnsi="Times New Roman" w:eastAsia="宋体" w:cs="Times New Roman"/>
          <w:color w:val="000000" w:themeColor="text1"/>
          <w:u w:val="none" w:color="auto"/>
          <w14:textFill>
            <w14:solidFill>
              <w14:schemeClr w14:val="tx1"/>
            </w14:solidFill>
          </w14:textFill>
        </w:rPr>
        <w:t>环境现状调查与评价</w:t>
      </w:r>
    </w:p>
    <w:p>
      <w:pPr>
        <w:pStyle w:val="3666"/>
        <w:spacing w:line="360" w:lineRule="auto"/>
        <w:rPr>
          <w:rFonts w:ascii="Times New Roman" w:hAnsi="Times New Roman" w:cs="Times New Roman"/>
          <w:szCs w:val="24"/>
        </w:rPr>
      </w:pPr>
      <w:r>
        <w:rPr>
          <w:rFonts w:ascii="Times New Roman" w:hAnsi="Times New Roman" w:cs="Times New Roman"/>
        </w:rPr>
        <w:t>本</w:t>
      </w:r>
      <w:r>
        <w:rPr>
          <w:rFonts w:hint="eastAsia"/>
          <w:bCs/>
          <w:u w:val="none" w:color="auto"/>
        </w:rPr>
        <w:t>次评</w:t>
      </w:r>
      <w:r>
        <w:rPr>
          <w:rFonts w:hint="eastAsia"/>
          <w:bCs/>
          <w:highlight w:val="none"/>
          <w:u w:val="none" w:color="auto"/>
        </w:rPr>
        <w:t>价</w:t>
      </w:r>
      <w:r>
        <w:rPr>
          <w:rFonts w:hint="eastAsia" w:ascii="Times New Roman" w:hAnsi="Times New Roman" w:eastAsia="宋体" w:cs="宋体"/>
          <w:bCs/>
          <w:u w:val="none" w:color="auto"/>
        </w:rPr>
        <w:t>委托湖南瑾杰环保科技有限公司</w:t>
      </w:r>
      <w:r>
        <w:rPr>
          <w:rFonts w:hint="eastAsia" w:ascii="Times New Roman" w:hAnsi="Times New Roman" w:eastAsia="宋体" w:cs="宋体"/>
          <w:bCs/>
          <w:u w:val="none" w:color="auto"/>
          <w:lang w:eastAsia="zh-CN"/>
        </w:rPr>
        <w:t>进行</w:t>
      </w:r>
      <w:r>
        <w:rPr>
          <w:rFonts w:hint="eastAsia" w:ascii="Times New Roman" w:hAnsi="Times New Roman" w:eastAsia="宋体" w:cs="宋体"/>
          <w:bCs/>
          <w:u w:val="none" w:color="auto"/>
          <w:lang w:val="en-US" w:eastAsia="zh-CN"/>
        </w:rPr>
        <w:t>电磁环境</w:t>
      </w:r>
      <w:r>
        <w:rPr>
          <w:rFonts w:hint="eastAsia" w:ascii="Times New Roman" w:hAnsi="Times New Roman" w:eastAsia="宋体" w:cs="宋体"/>
          <w:bCs/>
          <w:u w:val="none" w:color="auto"/>
        </w:rPr>
        <w:t>监测</w:t>
      </w:r>
      <w:r>
        <w:rPr>
          <w:rFonts w:hint="eastAsia" w:ascii="Times New Roman" w:hAnsi="Times New Roman" w:eastAsia="宋体" w:cs="宋体"/>
          <w:bCs/>
          <w:u w:val="none" w:color="auto"/>
          <w:lang w:eastAsia="zh-CN"/>
        </w:rPr>
        <w:t>，</w:t>
      </w:r>
      <w:r>
        <w:rPr>
          <w:rFonts w:ascii="Times New Roman" w:hAnsi="Times New Roman" w:cs="Times New Roman"/>
        </w:rPr>
        <w:t>项目所在区域电磁环境质量现状监测概况和监测结果见</w:t>
      </w:r>
      <w:r>
        <w:rPr>
          <w:rFonts w:hint="eastAsia" w:ascii="Times New Roman" w:hAnsi="Times New Roman" w:cs="Times New Roman"/>
          <w:lang w:val="en-US" w:eastAsia="zh-CN"/>
        </w:rPr>
        <w:t>下</w:t>
      </w:r>
      <w:r>
        <w:rPr>
          <w:rFonts w:ascii="Times New Roman" w:hAnsi="Times New Roman" w:cs="Times New Roman"/>
        </w:rPr>
        <w:t>表。</w:t>
      </w:r>
    </w:p>
    <w:p>
      <w:pPr>
        <w:pStyle w:val="3587"/>
        <w:bidi w:val="0"/>
        <w:rPr>
          <w:b/>
          <w:sz w:val="21"/>
          <w:szCs w:val="18"/>
        </w:rPr>
      </w:pPr>
      <w:r>
        <w:rPr>
          <w:rFonts w:hAnsi="宋体"/>
          <w:b/>
          <w:sz w:val="21"/>
          <w:szCs w:val="21"/>
        </w:rPr>
        <w:t>电磁环境质量现状</w:t>
      </w:r>
      <w:r>
        <w:rPr>
          <w:rFonts w:hint="eastAsia" w:hAnsi="宋体"/>
          <w:b/>
          <w:sz w:val="21"/>
          <w:szCs w:val="21"/>
        </w:rPr>
        <w:t>监测</w:t>
      </w:r>
      <w:r>
        <w:rPr>
          <w:rFonts w:hAnsi="宋体"/>
          <w:b/>
          <w:sz w:val="21"/>
          <w:szCs w:val="21"/>
        </w:rPr>
        <w:t>概况一览表</w:t>
      </w:r>
    </w:p>
    <w:tbl>
      <w:tblPr>
        <w:tblStyle w:val="88"/>
        <w:tblW w:w="728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29"/>
        <w:gridCol w:w="52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20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项目</w:t>
            </w:r>
          </w:p>
        </w:tc>
        <w:tc>
          <w:tcPr>
            <w:tcW w:w="52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内   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20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val="0"/>
                <w:bCs w:val="0"/>
                <w:kern w:val="2"/>
                <w:sz w:val="21"/>
                <w:szCs w:val="21"/>
                <w:lang w:val="en-US" w:eastAsia="zh-CN" w:bidi="ar-SA"/>
              </w:rPr>
            </w:pPr>
            <w:r>
              <w:rPr>
                <w:rFonts w:hint="eastAsia" w:cs="Times New Roman" w:eastAsiaTheme="minorEastAsia"/>
                <w:b w:val="0"/>
                <w:bCs w:val="0"/>
                <w:kern w:val="2"/>
                <w:sz w:val="21"/>
                <w:szCs w:val="21"/>
                <w:lang w:val="en-US" w:eastAsia="zh-CN" w:bidi="ar-SA"/>
              </w:rPr>
              <w:t>监测工况</w:t>
            </w:r>
          </w:p>
        </w:tc>
        <w:tc>
          <w:tcPr>
            <w:tcW w:w="52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汇集站有一台</w:t>
            </w:r>
            <w:r>
              <w:rPr>
                <w:rFonts w:hint="eastAsia" w:cs="宋体"/>
                <w:bCs/>
                <w:sz w:val="21"/>
                <w:szCs w:val="21"/>
                <w:u w:val="none" w:color="auto"/>
                <w:lang w:val="en-US" w:eastAsia="zh-CN"/>
              </w:rPr>
              <w:t>220kV、</w:t>
            </w:r>
            <w:r>
              <w:rPr>
                <w:rFonts w:hint="eastAsia"/>
                <w:sz w:val="21"/>
                <w:szCs w:val="21"/>
              </w:rPr>
              <w:t>240MVA</w:t>
            </w:r>
            <w:r>
              <w:rPr>
                <w:rFonts w:hint="eastAsia" w:ascii="Times New Roman" w:hAnsi="Times New Roman" w:cs="Times New Roman" w:eastAsiaTheme="minorEastAsia"/>
                <w:b w:val="0"/>
                <w:bCs w:val="0"/>
                <w:kern w:val="2"/>
                <w:sz w:val="21"/>
                <w:szCs w:val="21"/>
                <w:lang w:val="en-US" w:eastAsia="zh-CN" w:bidi="ar-SA"/>
              </w:rPr>
              <w:t>主变压器和配电装置正在运行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20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监测布点</w:t>
            </w:r>
          </w:p>
        </w:tc>
        <w:tc>
          <w:tcPr>
            <w:tcW w:w="52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在汇集站场址四周4个监测点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20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监测时间</w:t>
            </w:r>
          </w:p>
        </w:tc>
        <w:tc>
          <w:tcPr>
            <w:tcW w:w="52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2025年3月25日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20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监测方法</w:t>
            </w:r>
          </w:p>
        </w:tc>
        <w:tc>
          <w:tcPr>
            <w:tcW w:w="52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监测按《交流输变电工程电磁环境监测方法（试行）》(HJ681-2013)进行。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20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监测单位</w:t>
            </w:r>
          </w:p>
        </w:tc>
        <w:tc>
          <w:tcPr>
            <w:tcW w:w="52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湖南瑾杰环保科技有限公司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20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评价标准</w:t>
            </w:r>
          </w:p>
        </w:tc>
        <w:tc>
          <w:tcPr>
            <w:tcW w:w="52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《电磁环境控制限制》（GB8702-2014）</w:t>
            </w:r>
          </w:p>
        </w:tc>
      </w:tr>
    </w:tbl>
    <w:p>
      <w:pPr>
        <w:pStyle w:val="3587"/>
        <w:numPr>
          <w:ilvl w:val="0"/>
          <w:numId w:val="0"/>
        </w:numPr>
        <w:bidi w:val="0"/>
        <w:ind w:leftChars="0"/>
        <w:jc w:val="both"/>
        <w:rPr>
          <w:b/>
          <w:sz w:val="21"/>
          <w:szCs w:val="21"/>
        </w:rPr>
      </w:pPr>
    </w:p>
    <w:p>
      <w:pPr>
        <w:pStyle w:val="3587"/>
        <w:bidi w:val="0"/>
        <w:rPr>
          <w:b/>
          <w:sz w:val="21"/>
          <w:szCs w:val="21"/>
        </w:rPr>
      </w:pPr>
      <w:r>
        <w:rPr>
          <w:rFonts w:hAnsi="宋体"/>
          <w:b/>
          <w:sz w:val="21"/>
          <w:szCs w:val="21"/>
        </w:rPr>
        <w:t>电磁辐射现状监测结果表</w:t>
      </w:r>
    </w:p>
    <w:tbl>
      <w:tblPr>
        <w:tblStyle w:val="88"/>
        <w:tblW w:w="839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21"/>
        <w:gridCol w:w="1977"/>
        <w:gridCol w:w="1148"/>
        <w:gridCol w:w="862"/>
        <w:gridCol w:w="945"/>
        <w:gridCol w:w="914"/>
        <w:gridCol w:w="966"/>
        <w:gridCol w:w="85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698"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监测位置</w:t>
            </w:r>
          </w:p>
        </w:tc>
        <w:tc>
          <w:tcPr>
            <w:tcW w:w="2955"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工频电场强度（V/m）</w:t>
            </w:r>
          </w:p>
        </w:tc>
        <w:tc>
          <w:tcPr>
            <w:tcW w:w="2738"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工频磁感应强度（μT）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序号</w:t>
            </w:r>
          </w:p>
        </w:tc>
        <w:tc>
          <w:tcPr>
            <w:tcW w:w="19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名称</w:t>
            </w:r>
          </w:p>
        </w:tc>
        <w:tc>
          <w:tcPr>
            <w:tcW w:w="11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监测</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结果</w:t>
            </w:r>
          </w:p>
        </w:tc>
        <w:tc>
          <w:tcPr>
            <w:tcW w:w="8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标准</w:t>
            </w:r>
          </w:p>
        </w:tc>
        <w:tc>
          <w:tcPr>
            <w:tcW w:w="94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达标</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情况</w:t>
            </w:r>
          </w:p>
        </w:tc>
        <w:tc>
          <w:tcPr>
            <w:tcW w:w="91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监测</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结果</w:t>
            </w:r>
          </w:p>
        </w:tc>
        <w:tc>
          <w:tcPr>
            <w:tcW w:w="96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标准</w:t>
            </w:r>
          </w:p>
        </w:tc>
        <w:tc>
          <w:tcPr>
            <w:tcW w:w="8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达标</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1</w:t>
            </w:r>
          </w:p>
        </w:tc>
        <w:tc>
          <w:tcPr>
            <w:tcW w:w="19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汇集站东面边界</w:t>
            </w:r>
          </w:p>
        </w:tc>
        <w:tc>
          <w:tcPr>
            <w:tcW w:w="114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2.7</w:t>
            </w:r>
          </w:p>
        </w:tc>
        <w:tc>
          <w:tcPr>
            <w:tcW w:w="8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4000</w:t>
            </w:r>
          </w:p>
        </w:tc>
        <w:tc>
          <w:tcPr>
            <w:tcW w:w="94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达标</w:t>
            </w:r>
          </w:p>
        </w:tc>
        <w:tc>
          <w:tcPr>
            <w:tcW w:w="91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0.011</w:t>
            </w:r>
          </w:p>
        </w:tc>
        <w:tc>
          <w:tcPr>
            <w:tcW w:w="96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100</w:t>
            </w:r>
          </w:p>
        </w:tc>
        <w:tc>
          <w:tcPr>
            <w:tcW w:w="8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2</w:t>
            </w:r>
          </w:p>
        </w:tc>
        <w:tc>
          <w:tcPr>
            <w:tcW w:w="19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汇集站北面边界</w:t>
            </w:r>
          </w:p>
        </w:tc>
        <w:tc>
          <w:tcPr>
            <w:tcW w:w="114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138.9</w:t>
            </w:r>
          </w:p>
        </w:tc>
        <w:tc>
          <w:tcPr>
            <w:tcW w:w="8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4000</w:t>
            </w:r>
          </w:p>
        </w:tc>
        <w:tc>
          <w:tcPr>
            <w:tcW w:w="94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达标</w:t>
            </w:r>
          </w:p>
        </w:tc>
        <w:tc>
          <w:tcPr>
            <w:tcW w:w="91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0.094</w:t>
            </w:r>
          </w:p>
        </w:tc>
        <w:tc>
          <w:tcPr>
            <w:tcW w:w="96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100</w:t>
            </w:r>
          </w:p>
        </w:tc>
        <w:tc>
          <w:tcPr>
            <w:tcW w:w="8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3</w:t>
            </w:r>
          </w:p>
        </w:tc>
        <w:tc>
          <w:tcPr>
            <w:tcW w:w="19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汇集站西面边界</w:t>
            </w:r>
          </w:p>
        </w:tc>
        <w:tc>
          <w:tcPr>
            <w:tcW w:w="114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72.8</w:t>
            </w:r>
          </w:p>
        </w:tc>
        <w:tc>
          <w:tcPr>
            <w:tcW w:w="8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4000</w:t>
            </w:r>
          </w:p>
        </w:tc>
        <w:tc>
          <w:tcPr>
            <w:tcW w:w="94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达标</w:t>
            </w:r>
          </w:p>
        </w:tc>
        <w:tc>
          <w:tcPr>
            <w:tcW w:w="91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0.017</w:t>
            </w:r>
          </w:p>
        </w:tc>
        <w:tc>
          <w:tcPr>
            <w:tcW w:w="96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100</w:t>
            </w:r>
          </w:p>
        </w:tc>
        <w:tc>
          <w:tcPr>
            <w:tcW w:w="8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w:t>
            </w:r>
          </w:p>
        </w:tc>
        <w:tc>
          <w:tcPr>
            <w:tcW w:w="19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汇集站南面边界</w:t>
            </w:r>
          </w:p>
        </w:tc>
        <w:tc>
          <w:tcPr>
            <w:tcW w:w="1148"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2.1</w:t>
            </w:r>
          </w:p>
        </w:tc>
        <w:tc>
          <w:tcPr>
            <w:tcW w:w="8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4000</w:t>
            </w:r>
          </w:p>
        </w:tc>
        <w:tc>
          <w:tcPr>
            <w:tcW w:w="94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达标</w:t>
            </w:r>
          </w:p>
        </w:tc>
        <w:tc>
          <w:tcPr>
            <w:tcW w:w="91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0.005</w:t>
            </w:r>
          </w:p>
        </w:tc>
        <w:tc>
          <w:tcPr>
            <w:tcW w:w="96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100</w:t>
            </w:r>
          </w:p>
        </w:tc>
        <w:tc>
          <w:tcPr>
            <w:tcW w:w="8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b w:val="0"/>
                <w:bCs w:val="0"/>
                <w:kern w:val="2"/>
                <w:sz w:val="21"/>
                <w:szCs w:val="21"/>
                <w:lang w:val="en-US" w:eastAsia="zh-CN" w:bidi="ar-SA"/>
              </w:rPr>
            </w:pPr>
            <w:r>
              <w:rPr>
                <w:rFonts w:hint="eastAsia" w:ascii="Times New Roman" w:hAnsi="Times New Roman" w:cs="Times New Roman" w:eastAsiaTheme="minorEastAsia"/>
                <w:b w:val="0"/>
                <w:bCs w:val="0"/>
                <w:kern w:val="2"/>
                <w:sz w:val="21"/>
                <w:szCs w:val="21"/>
                <w:lang w:val="en-US" w:eastAsia="zh-CN" w:bidi="ar-SA"/>
              </w:rPr>
              <w:t>达标</w:t>
            </w:r>
          </w:p>
        </w:tc>
      </w:tr>
    </w:tbl>
    <w:p>
      <w:pPr>
        <w:ind w:firstLine="480"/>
        <w:rPr>
          <w:rFonts w:hint="eastAsia" w:ascii="Times New Roman" w:hAnsi="Times New Roman" w:eastAsia="宋体" w:cs="Times New Roman"/>
          <w:bCs/>
          <w:szCs w:val="24"/>
          <w:u w:val="none" w:color="auto"/>
          <w:lang w:eastAsia="zh-CN"/>
        </w:rPr>
      </w:pPr>
      <w:r>
        <w:rPr>
          <w:rFonts w:ascii="Times New Roman" w:hAnsi="Times New Roman" w:eastAsia="宋体" w:cs="Times New Roman"/>
          <w:bCs/>
          <w:szCs w:val="24"/>
          <w:u w:val="none" w:color="auto"/>
        </w:rPr>
        <w:t>根据上表可知，</w:t>
      </w:r>
      <w:r>
        <w:rPr>
          <w:rFonts w:hint="eastAsia" w:ascii="Times New Roman" w:hAnsi="Times New Roman" w:eastAsia="宋体" w:cs="Times New Roman"/>
          <w:bCs/>
          <w:szCs w:val="24"/>
          <w:u w:val="none" w:color="auto"/>
          <w:lang w:val="en-US" w:eastAsia="zh-CN"/>
        </w:rPr>
        <w:t>汇集</w:t>
      </w:r>
      <w:r>
        <w:rPr>
          <w:rFonts w:ascii="Times New Roman" w:hAnsi="Times New Roman" w:eastAsia="宋体" w:cs="Times New Roman"/>
          <w:bCs/>
          <w:szCs w:val="24"/>
          <w:u w:val="none" w:color="auto"/>
        </w:rPr>
        <w:t>站</w:t>
      </w:r>
      <w:r>
        <w:rPr>
          <w:rFonts w:hint="eastAsia" w:ascii="Times New Roman" w:hAnsi="Times New Roman" w:eastAsia="宋体" w:cs="Times New Roman"/>
          <w:bCs/>
          <w:szCs w:val="24"/>
          <w:u w:val="none" w:color="auto"/>
          <w:lang w:val="en-US" w:eastAsia="zh-CN"/>
        </w:rPr>
        <w:t>厂界四周</w:t>
      </w:r>
      <w:r>
        <w:rPr>
          <w:rFonts w:ascii="Times New Roman" w:hAnsi="Times New Roman" w:eastAsia="宋体" w:cs="Times New Roman"/>
          <w:bCs/>
          <w:szCs w:val="24"/>
          <w:u w:val="none" w:color="auto"/>
        </w:rPr>
        <w:t>工频电场强度、工频磁场强度最大值分别为</w:t>
      </w:r>
      <w:r>
        <w:rPr>
          <w:rFonts w:hint="eastAsia" w:ascii="Times New Roman" w:hAnsi="Times New Roman" w:eastAsia="宋体" w:cs="Times New Roman"/>
          <w:bCs/>
          <w:szCs w:val="24"/>
          <w:u w:val="none" w:color="auto"/>
          <w:lang w:val="en-US" w:eastAsia="zh-CN"/>
        </w:rPr>
        <w:t>138.9</w:t>
      </w:r>
      <w:r>
        <w:rPr>
          <w:rFonts w:ascii="Times New Roman" w:hAnsi="Times New Roman" w:eastAsia="宋体" w:cs="Times New Roman"/>
          <w:bCs/>
          <w:szCs w:val="24"/>
          <w:u w:val="none" w:color="auto"/>
        </w:rPr>
        <w:t>V/m、0.0</w:t>
      </w:r>
      <w:r>
        <w:rPr>
          <w:rFonts w:hint="eastAsia" w:ascii="Times New Roman" w:hAnsi="Times New Roman" w:eastAsia="宋体" w:cs="Times New Roman"/>
          <w:bCs/>
          <w:szCs w:val="24"/>
          <w:u w:val="none" w:color="auto"/>
          <w:lang w:val="en-US" w:eastAsia="zh-CN"/>
        </w:rPr>
        <w:t>94</w:t>
      </w:r>
      <w:r>
        <w:rPr>
          <w:rFonts w:ascii="Times New Roman" w:hAnsi="Times New Roman" w:eastAsia="宋体" w:cs="Times New Roman"/>
          <w:bCs/>
          <w:szCs w:val="24"/>
          <w:u w:val="none" w:color="auto"/>
        </w:rPr>
        <w:t>μT，小于《电磁环境控制</w:t>
      </w:r>
      <w:r>
        <w:rPr>
          <w:rFonts w:hint="eastAsia" w:cs="Times New Roman"/>
          <w:bCs/>
          <w:szCs w:val="24"/>
          <w:u w:val="none" w:color="auto"/>
          <w:lang w:val="en-US" w:eastAsia="zh-CN"/>
        </w:rPr>
        <w:t>限值</w:t>
      </w:r>
      <w:r>
        <w:rPr>
          <w:rFonts w:ascii="Times New Roman" w:hAnsi="Times New Roman" w:eastAsia="宋体" w:cs="Times New Roman"/>
          <w:bCs/>
          <w:szCs w:val="24"/>
          <w:u w:val="none" w:color="auto"/>
        </w:rPr>
        <w:t>》（GB8702-2014）</w:t>
      </w:r>
      <w:r>
        <w:rPr>
          <w:rFonts w:hint="eastAsia" w:ascii="Times New Roman" w:hAnsi="Times New Roman" w:eastAsia="宋体" w:cs="Times New Roman"/>
          <w:bCs/>
          <w:szCs w:val="24"/>
          <w:u w:val="none" w:color="auto"/>
        </w:rPr>
        <w:t>中</w:t>
      </w:r>
      <w:r>
        <w:rPr>
          <w:rFonts w:ascii="Times New Roman" w:hAnsi="Times New Roman" w:eastAsia="宋体" w:cs="Times New Roman"/>
          <w:bCs/>
          <w:szCs w:val="24"/>
          <w:u w:val="none" w:color="auto"/>
        </w:rPr>
        <w:t>4000V/m、100μT的标准限值，电磁环境良好。</w:t>
      </w:r>
    </w:p>
    <w:p>
      <w:pPr>
        <w:pStyle w:val="457"/>
        <w:ind w:firstLine="643"/>
        <w:rPr>
          <w:rFonts w:hint="eastAsia" w:ascii="Times New Roman" w:hAnsi="Times New Roman" w:eastAsia="宋体" w:cs="Times New Roman"/>
          <w:color w:val="000000" w:themeColor="text1"/>
          <w:u w:val="none" w:color="auto"/>
          <w:lang w:eastAsia="zh-CN"/>
          <w14:textFill>
            <w14:solidFill>
              <w14:schemeClr w14:val="tx1"/>
            </w14:solidFill>
          </w14:textFill>
        </w:rPr>
      </w:pPr>
      <w:bookmarkStart w:id="84" w:name="_Toc4522"/>
      <w:r>
        <w:rPr>
          <w:rFonts w:hint="eastAsia" w:ascii="Times New Roman" w:hAnsi="Times New Roman" w:eastAsia="宋体" w:cs="Times New Roman"/>
          <w:color w:val="000000" w:themeColor="text1"/>
          <w:u w:val="none" w:color="auto"/>
          <w:lang w:eastAsia="zh-CN"/>
          <w14:textFill>
            <w14:solidFill>
              <w14:schemeClr w14:val="tx1"/>
            </w14:solidFill>
          </w14:textFill>
        </w:rPr>
        <w:t>生态环境现状调查与评价</w:t>
      </w:r>
      <w:bookmarkEnd w:id="84"/>
    </w:p>
    <w:p>
      <w:pPr>
        <w:pStyle w:val="458"/>
        <w:ind w:firstLine="602"/>
        <w:rPr>
          <w:rFonts w:ascii="Times New Roman" w:hAnsi="Times New Roman" w:eastAsia="宋体" w:cs="Times New Roman"/>
          <w:color w:val="000000" w:themeColor="text1"/>
          <w:u w:val="none" w:color="auto"/>
          <w14:textFill>
            <w14:solidFill>
              <w14:schemeClr w14:val="tx1"/>
            </w14:solidFill>
          </w14:textFill>
        </w:rPr>
      </w:pPr>
      <w:r>
        <w:rPr>
          <w:rFonts w:ascii="Times New Roman" w:hAnsi="Times New Roman" w:eastAsia="宋体" w:cs="Times New Roman"/>
          <w:color w:val="000000" w:themeColor="text1"/>
          <w:u w:val="none" w:color="auto"/>
          <w14:textFill>
            <w14:solidFill>
              <w14:schemeClr w14:val="tx1"/>
            </w14:solidFill>
          </w14:textFill>
        </w:rPr>
        <w:t>土地利用现状</w:t>
      </w:r>
    </w:p>
    <w:p>
      <w:pPr>
        <w:ind w:firstLine="480"/>
        <w:rPr>
          <w:snapToGrid w:val="0"/>
          <w:u w:val="none" w:color="auto"/>
        </w:rPr>
      </w:pPr>
      <w:r>
        <w:rPr>
          <w:bCs/>
          <w:szCs w:val="24"/>
          <w:u w:val="none" w:color="auto"/>
        </w:rPr>
        <w:t>本工程陆生生态环境影响评价范围：以风电场风机及箱变基础、施工道路、施工生产生活区、</w:t>
      </w:r>
      <w:r>
        <w:rPr>
          <w:rFonts w:hint="eastAsia"/>
          <w:bCs/>
          <w:szCs w:val="24"/>
          <w:u w:val="none" w:color="auto"/>
          <w:lang w:eastAsia="zh-CN"/>
        </w:rPr>
        <w:t>汇集站</w:t>
      </w:r>
      <w:r>
        <w:rPr>
          <w:rFonts w:hint="eastAsia"/>
          <w:bCs/>
          <w:szCs w:val="24"/>
          <w:u w:val="none" w:color="auto"/>
        </w:rPr>
        <w:t>、弃渣场区</w:t>
      </w:r>
      <w:r>
        <w:rPr>
          <w:bCs/>
          <w:szCs w:val="24"/>
          <w:u w:val="none" w:color="auto"/>
        </w:rPr>
        <w:t>等永久占地和临时占地及周边300m范围为主要调查和评价范围</w:t>
      </w:r>
      <w:r>
        <w:rPr>
          <w:rFonts w:hint="eastAsia"/>
          <w:bCs/>
          <w:szCs w:val="24"/>
          <w:u w:val="none" w:color="auto"/>
        </w:rPr>
        <w:t>。</w:t>
      </w:r>
      <w:r>
        <w:rPr>
          <w:rFonts w:hint="eastAsia" w:cs="Times New Roman"/>
          <w:szCs w:val="22"/>
          <w:highlight w:val="none"/>
          <w:u w:val="none" w:color="auto"/>
          <w:lang w:bidi="ar"/>
        </w:rPr>
        <w:t>评价范围总面积</w:t>
      </w:r>
      <w:r>
        <w:rPr>
          <w:rFonts w:hint="eastAsia" w:cs="Times New Roman"/>
          <w:szCs w:val="22"/>
          <w:highlight w:val="none"/>
          <w:u w:val="none" w:color="auto"/>
          <w:lang w:val="en-US" w:eastAsia="zh-CN" w:bidi="ar"/>
        </w:rPr>
        <w:t>1289.33</w:t>
      </w:r>
      <w:r>
        <w:rPr>
          <w:rFonts w:cs="Times New Roman"/>
          <w:szCs w:val="22"/>
          <w:highlight w:val="none"/>
          <w:u w:val="none" w:color="auto"/>
          <w:lang w:bidi="ar"/>
        </w:rPr>
        <w:t>hm</w:t>
      </w:r>
      <w:r>
        <w:rPr>
          <w:rFonts w:cs="Times New Roman"/>
          <w:szCs w:val="22"/>
          <w:highlight w:val="none"/>
          <w:u w:val="none" w:color="auto"/>
          <w:vertAlign w:val="superscript"/>
          <w:lang w:bidi="ar"/>
        </w:rPr>
        <w:t>2</w:t>
      </w:r>
      <w:r>
        <w:rPr>
          <w:rFonts w:hint="eastAsia" w:cs="Times New Roman"/>
          <w:szCs w:val="22"/>
          <w:highlight w:val="none"/>
          <w:u w:val="none" w:color="auto"/>
          <w:lang w:bidi="ar"/>
        </w:rPr>
        <w:t>。</w:t>
      </w:r>
      <w:r>
        <w:rPr>
          <w:rFonts w:hint="eastAsia" w:cs="宋体"/>
          <w:kern w:val="0"/>
          <w:szCs w:val="22"/>
          <w:u w:val="none" w:color="auto"/>
          <w:lang w:bidi="ar"/>
        </w:rPr>
        <w:t>评价区土地利用现状是在卫片解译的基础上，结合现有资料，运用景观生态法（即以植被作为主导因素），并结合土壤、地貌等因子进行综合分析，将土地利用格局的拼块类型分为林地、草地、耕地、水域、建设用地和未利用地等几种类型</w:t>
      </w:r>
      <w:r>
        <w:rPr>
          <w:rFonts w:hint="eastAsia" w:cs="宋体"/>
          <w:snapToGrid w:val="0"/>
          <w:szCs w:val="22"/>
          <w:u w:val="none" w:color="auto"/>
          <w:lang w:bidi="ar"/>
        </w:rPr>
        <w:t>。</w:t>
      </w:r>
    </w:p>
    <w:p>
      <w:pPr>
        <w:pStyle w:val="3587"/>
        <w:bidi w:val="0"/>
        <w:rPr>
          <w:rFonts w:hint="default" w:ascii="Times New Roman" w:hAnsi="Times New Roman" w:eastAsia="宋体" w:cs="Times New Roman"/>
          <w:u w:val="none" w:color="auto"/>
          <w:lang w:eastAsia="zh-CN"/>
        </w:rPr>
      </w:pPr>
      <w:r>
        <w:rPr>
          <w:rFonts w:hint="eastAsia" w:ascii="Times New Roman" w:hAnsi="Times New Roman" w:eastAsia="宋体" w:cs="Times New Roman"/>
          <w:u w:val="none" w:color="auto"/>
          <w:lang w:eastAsia="zh-CN"/>
        </w:rPr>
        <w:t>评价区土地利用现状</w:t>
      </w:r>
    </w:p>
    <w:tbl>
      <w:tblPr>
        <w:tblStyle w:val="88"/>
        <w:tblW w:w="863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880"/>
        <w:gridCol w:w="2880"/>
        <w:gridCol w:w="28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288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cstheme="minorEastAsia"/>
                <w:sz w:val="21"/>
                <w:szCs w:val="21"/>
                <w:u w:val="none" w:color="auto"/>
              </w:rPr>
            </w:pPr>
            <w:r>
              <w:rPr>
                <w:rFonts w:hint="eastAsia" w:cstheme="minorEastAsia"/>
                <w:b/>
                <w:sz w:val="21"/>
                <w:szCs w:val="21"/>
                <w:u w:val="none" w:color="auto"/>
                <w:lang w:bidi="ar"/>
              </w:rPr>
              <w:t>拼块类型</w:t>
            </w:r>
          </w:p>
        </w:tc>
        <w:tc>
          <w:tcPr>
            <w:tcW w:w="2880"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cstheme="minorEastAsia"/>
                <w:sz w:val="21"/>
                <w:szCs w:val="21"/>
                <w:u w:val="none" w:color="auto"/>
              </w:rPr>
            </w:pPr>
            <w:r>
              <w:rPr>
                <w:rFonts w:hint="eastAsia" w:cstheme="minorEastAsia"/>
                <w:b/>
                <w:sz w:val="21"/>
                <w:szCs w:val="21"/>
                <w:u w:val="none" w:color="auto"/>
                <w:lang w:bidi="ar"/>
              </w:rPr>
              <w:t>面积（hm</w:t>
            </w:r>
            <w:r>
              <w:rPr>
                <w:rFonts w:hint="eastAsia" w:cstheme="minorEastAsia"/>
                <w:b/>
                <w:sz w:val="21"/>
                <w:szCs w:val="21"/>
                <w:u w:val="none" w:color="auto"/>
                <w:vertAlign w:val="superscript"/>
                <w:lang w:bidi="ar"/>
              </w:rPr>
              <w:t>2</w:t>
            </w:r>
            <w:r>
              <w:rPr>
                <w:rFonts w:hint="eastAsia" w:cstheme="minorEastAsia"/>
                <w:b/>
                <w:sz w:val="21"/>
                <w:szCs w:val="21"/>
                <w:u w:val="none" w:color="auto"/>
                <w:lang w:bidi="ar"/>
              </w:rPr>
              <w:t>）</w:t>
            </w:r>
          </w:p>
        </w:tc>
        <w:tc>
          <w:tcPr>
            <w:tcW w:w="2879" w:type="dxa"/>
            <w:tcBorders>
              <w:tl2br w:val="nil"/>
              <w:tr2bl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cstheme="minorEastAsia"/>
                <w:sz w:val="21"/>
                <w:szCs w:val="21"/>
                <w:u w:val="none" w:color="auto"/>
              </w:rPr>
            </w:pPr>
            <w:r>
              <w:rPr>
                <w:rFonts w:hint="eastAsia" w:cstheme="minorEastAsia"/>
                <w:b/>
                <w:sz w:val="21"/>
                <w:szCs w:val="21"/>
                <w:u w:val="none" w:color="auto"/>
                <w:lang w:bidi="ar"/>
              </w:rPr>
              <w:t>占评价区（%）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88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林地</w:t>
            </w:r>
          </w:p>
        </w:tc>
        <w:tc>
          <w:tcPr>
            <w:tcW w:w="288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1131.28</w:t>
            </w:r>
          </w:p>
        </w:tc>
        <w:tc>
          <w:tcPr>
            <w:tcW w:w="287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 xml:space="preserve">87.74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88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灌草地</w:t>
            </w:r>
          </w:p>
        </w:tc>
        <w:tc>
          <w:tcPr>
            <w:tcW w:w="288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119.04</w:t>
            </w:r>
          </w:p>
        </w:tc>
        <w:tc>
          <w:tcPr>
            <w:tcW w:w="287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 xml:space="preserve">9.23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88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耕地</w:t>
            </w:r>
          </w:p>
        </w:tc>
        <w:tc>
          <w:tcPr>
            <w:tcW w:w="288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13.54</w:t>
            </w:r>
          </w:p>
        </w:tc>
        <w:tc>
          <w:tcPr>
            <w:tcW w:w="287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 xml:space="preserve">1.05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88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水域</w:t>
            </w:r>
          </w:p>
        </w:tc>
        <w:tc>
          <w:tcPr>
            <w:tcW w:w="288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7.79</w:t>
            </w:r>
          </w:p>
        </w:tc>
        <w:tc>
          <w:tcPr>
            <w:tcW w:w="287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 xml:space="preserve">0.60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88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建设用地和未利用地</w:t>
            </w:r>
          </w:p>
        </w:tc>
        <w:tc>
          <w:tcPr>
            <w:tcW w:w="288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17.68</w:t>
            </w:r>
          </w:p>
        </w:tc>
        <w:tc>
          <w:tcPr>
            <w:tcW w:w="287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 xml:space="preserve">1.37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88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合计</w:t>
            </w:r>
          </w:p>
        </w:tc>
        <w:tc>
          <w:tcPr>
            <w:tcW w:w="288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1289.33</w:t>
            </w:r>
          </w:p>
        </w:tc>
        <w:tc>
          <w:tcPr>
            <w:tcW w:w="287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100</w:t>
            </w:r>
          </w:p>
        </w:tc>
      </w:tr>
    </w:tbl>
    <w:p>
      <w:pPr>
        <w:bidi w:val="0"/>
      </w:pPr>
      <w:r>
        <w:rPr>
          <w:rFonts w:hint="eastAsia"/>
        </w:rPr>
        <w:t>根据现场调查，评价区土地类型以灌草地、林地为主。林地主要为有林地、疏林地、灌木林地，有林地广泛分布于各施工区，主要为防护林和经济林地；疏林地多分布于山坡下部沟谷区；灌木林地多分布山脊区及路边。评价区灌草地广泛分布于山坡中上部和山脊区。耕地、建设用地、水域主要分布于山坡下部平缓区。</w:t>
      </w:r>
    </w:p>
    <w:p>
      <w:pPr>
        <w:pStyle w:val="458"/>
        <w:ind w:firstLine="602"/>
        <w:rPr>
          <w:rFonts w:ascii="Times New Roman" w:hAnsi="Times New Roman" w:eastAsia="宋体" w:cs="Times New Roman"/>
          <w:color w:val="000000" w:themeColor="text1"/>
          <w:u w:val="none" w:color="auto"/>
          <w14:textFill>
            <w14:solidFill>
              <w14:schemeClr w14:val="tx1"/>
            </w14:solidFill>
          </w14:textFill>
        </w:rPr>
      </w:pPr>
      <w:bookmarkStart w:id="85" w:name="_Toc469741859"/>
      <w:bookmarkStart w:id="86" w:name="_Toc1146_WPSOffice_Level2"/>
      <w:bookmarkStart w:id="87" w:name="_Toc32648"/>
      <w:bookmarkStart w:id="88" w:name="_Toc17459"/>
      <w:bookmarkStart w:id="89" w:name="_Toc476900029"/>
      <w:r>
        <w:rPr>
          <w:rFonts w:ascii="Times New Roman" w:hAnsi="Times New Roman" w:eastAsia="宋体" w:cs="Times New Roman"/>
          <w:color w:val="000000" w:themeColor="text1"/>
          <w:u w:val="none" w:color="auto"/>
          <w14:textFill>
            <w14:solidFill>
              <w14:schemeClr w14:val="tx1"/>
            </w14:solidFill>
          </w14:textFill>
        </w:rPr>
        <w:t>陆生植物资源</w:t>
      </w:r>
      <w:bookmarkEnd w:id="85"/>
      <w:bookmarkEnd w:id="86"/>
      <w:bookmarkEnd w:id="87"/>
      <w:bookmarkEnd w:id="88"/>
      <w:bookmarkEnd w:id="89"/>
    </w:p>
    <w:p>
      <w:pPr>
        <w:bidi w:val="0"/>
        <w:rPr>
          <w:rFonts w:hint="default"/>
          <w:b/>
          <w:bCs/>
        </w:rPr>
      </w:pPr>
      <w:r>
        <w:rPr>
          <w:rFonts w:hint="eastAsia"/>
          <w:b/>
          <w:bCs/>
          <w:lang w:val="en-US" w:eastAsia="zh-CN"/>
        </w:rPr>
        <w:t>3.4.2.1</w:t>
      </w:r>
      <w:r>
        <w:rPr>
          <w:rFonts w:hint="default"/>
          <w:b/>
          <w:bCs/>
        </w:rPr>
        <w:t>植物</w:t>
      </w:r>
      <w:r>
        <w:rPr>
          <w:rFonts w:hint="eastAsia"/>
          <w:b/>
          <w:bCs/>
          <w:lang w:val="en-US" w:eastAsia="zh-CN"/>
        </w:rPr>
        <w:t>现状</w:t>
      </w:r>
    </w:p>
    <w:p>
      <w:pPr>
        <w:bidi w:val="0"/>
        <w:rPr>
          <w:rFonts w:hint="eastAsia" w:ascii="Times New Roman" w:hAnsi="Times New Roman" w:eastAsia="宋体" w:cs="Times New Roman"/>
        </w:rPr>
      </w:pPr>
      <w:r>
        <w:rPr>
          <w:rFonts w:hint="eastAsia" w:ascii="Times New Roman" w:hAnsi="Times New Roman" w:eastAsia="宋体" w:cs="Times New Roman"/>
        </w:rPr>
        <w:t>蓝山县境内属中亚热带常绿针阔叶林区，有乔、灌木86种，201属，583种，形成两大植物分布区。南部山区为针阔混交林。阔叶林和针叶林分布区。阔叶林以原始森林和次生林为主。中北部丘岗地区为松、桉和油茶林等灌木分布区。境内已采集的草本植物标本154种，其中木科禾本科347种，豆科6种，沙草科11种，菊花科12种，其它杂草88种。</w:t>
      </w:r>
    </w:p>
    <w:p>
      <w:pPr>
        <w:bidi w:val="0"/>
        <w:rPr>
          <w:rFonts w:hint="eastAsia" w:ascii="Times New Roman" w:hAnsi="Times New Roman" w:eastAsia="宋体" w:cs="Times New Roman"/>
        </w:rPr>
      </w:pPr>
      <w:r>
        <w:rPr>
          <w:rFonts w:hint="eastAsia" w:ascii="Times New Roman" w:hAnsi="Times New Roman" w:eastAsia="宋体" w:cs="Times New Roman"/>
        </w:rPr>
        <w:t>本工程评价区海拔为1200m-16</w:t>
      </w:r>
      <w:r>
        <w:rPr>
          <w:rFonts w:hint="eastAsia" w:ascii="Times New Roman" w:hAnsi="Times New Roman" w:eastAsia="宋体" w:cs="Times New Roman"/>
          <w:lang w:val="en-US" w:eastAsia="zh-CN"/>
        </w:rPr>
        <w:t>2</w:t>
      </w:r>
      <w:r>
        <w:rPr>
          <w:rFonts w:hint="eastAsia" w:ascii="Times New Roman" w:hAnsi="Times New Roman" w:eastAsia="宋体" w:cs="Times New Roman"/>
        </w:rPr>
        <w:t>0m。根据《湖南植被》（祁承经等，1990年），评价区属中亚热带含华南植物区系成分的常绿阔叶林南部植物亚地带—湘南植被区—南岭山地植被小区。评价区人为活动对区域植被存在一定干扰，现状植被主要为铁衫、华南五针松的针松的针、阔叶混交林，或常绿、落叶阔叶混交林，但因群山潮湿，山坡常绿阔叶林可分布至海拔1600m，其主要种类有金叶含笑、金毛石栎、硬斗石栎、南方木莲、折柄茶、南岭紫荆（特有）、华南桦、湘椴水青冈、缺鄂枫香等，林下有茵芋、日本瘤足蕨等为主。</w:t>
      </w:r>
    </w:p>
    <w:p>
      <w:pPr>
        <w:bidi w:val="0"/>
        <w:rPr>
          <w:rFonts w:hint="eastAsia" w:ascii="Times New Roman" w:hAnsi="Times New Roman" w:eastAsia="宋体" w:cs="Times New Roman"/>
          <w:b/>
          <w:bCs/>
        </w:rPr>
      </w:pPr>
      <w:r>
        <w:rPr>
          <w:rFonts w:hint="eastAsia" w:ascii="Times New Roman" w:hAnsi="Times New Roman" w:eastAsia="宋体" w:cs="Times New Roman"/>
          <w:b/>
          <w:bCs/>
        </w:rPr>
        <w:t>1、主要植被类型</w:t>
      </w:r>
    </w:p>
    <w:p>
      <w:pPr>
        <w:bidi w:val="0"/>
        <w:rPr>
          <w:rFonts w:hint="eastAsia" w:ascii="Times New Roman" w:hAnsi="Times New Roman" w:eastAsia="宋体" w:cs="Times New Roman"/>
        </w:rPr>
      </w:pPr>
      <w:r>
        <w:rPr>
          <w:rFonts w:hint="eastAsia" w:ascii="Times New Roman" w:hAnsi="Times New Roman" w:eastAsia="宋体" w:cs="Times New Roman"/>
        </w:rPr>
        <w:t>评价区自然植被初步划分为4个植被型组、6个植被型、9个群系。</w:t>
      </w:r>
    </w:p>
    <w:p>
      <w:pPr>
        <w:pStyle w:val="3587"/>
        <w:bidi w:val="0"/>
        <w:rPr>
          <w:rFonts w:hint="eastAsia" w:ascii="Times New Roman" w:hAnsi="Times New Roman" w:eastAsia="宋体" w:cs="Times New Roman"/>
          <w:u w:val="none" w:color="auto"/>
          <w:lang w:eastAsia="zh-CN"/>
        </w:rPr>
      </w:pPr>
      <w:r>
        <w:rPr>
          <w:rFonts w:hint="eastAsia" w:ascii="Times New Roman" w:hAnsi="Times New Roman" w:eastAsia="宋体" w:cs="Times New Roman"/>
          <w:u w:val="none" w:color="auto"/>
          <w:lang w:eastAsia="zh-CN"/>
        </w:rPr>
        <w:t>评价区主要植被类型及分布</w:t>
      </w:r>
    </w:p>
    <w:tbl>
      <w:tblPr>
        <w:tblStyle w:val="88"/>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99"/>
        <w:gridCol w:w="1140"/>
        <w:gridCol w:w="2011"/>
        <w:gridCol w:w="2761"/>
        <w:gridCol w:w="19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植被型组</w:t>
            </w:r>
          </w:p>
        </w:tc>
        <w:tc>
          <w:tcPr>
            <w:tcW w:w="6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植被型</w:t>
            </w:r>
          </w:p>
        </w:tc>
        <w:tc>
          <w:tcPr>
            <w:tcW w:w="108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群系中文名</w:t>
            </w:r>
          </w:p>
        </w:tc>
        <w:tc>
          <w:tcPr>
            <w:tcW w:w="148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群系拉丁名</w:t>
            </w:r>
          </w:p>
        </w:tc>
        <w:tc>
          <w:tcPr>
            <w:tcW w:w="10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评价区内分布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5"/>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自然植被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54"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一、针叶林</w:t>
            </w:r>
          </w:p>
        </w:tc>
        <w:tc>
          <w:tcPr>
            <w:tcW w:w="614"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Ⅰ低山针叶林</w:t>
            </w:r>
          </w:p>
        </w:tc>
        <w:tc>
          <w:tcPr>
            <w:tcW w:w="108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1.杉木林</w:t>
            </w:r>
          </w:p>
        </w:tc>
        <w:tc>
          <w:tcPr>
            <w:tcW w:w="148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iCs/>
                <w:color w:val="000000"/>
                <w:kern w:val="0"/>
                <w:sz w:val="21"/>
                <w:szCs w:val="21"/>
                <w:u w:val="none" w:color="auto"/>
                <w:lang w:val="en-US" w:eastAsia="zh-CN" w:bidi="ar"/>
              </w:rPr>
            </w:pPr>
            <w:r>
              <w:rPr>
                <w:rFonts w:hint="eastAsia" w:ascii="Times New Roman" w:hAnsi="Times New Roman" w:eastAsia="宋体" w:cs="Times New Roman"/>
                <w:i/>
                <w:iCs/>
                <w:color w:val="000000"/>
                <w:kern w:val="0"/>
                <w:sz w:val="21"/>
                <w:szCs w:val="21"/>
                <w:u w:val="none" w:color="auto"/>
                <w:lang w:val="en-US" w:eastAsia="zh-CN" w:bidi="ar"/>
              </w:rPr>
              <w:t>Form. Cunninghamia lanceolata</w:t>
            </w:r>
          </w:p>
        </w:tc>
        <w:tc>
          <w:tcPr>
            <w:tcW w:w="10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广泛分布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jc w:val="center"/>
        </w:trPr>
        <w:tc>
          <w:tcPr>
            <w:tcW w:w="75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p>
        </w:tc>
        <w:tc>
          <w:tcPr>
            <w:tcW w:w="61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p>
        </w:tc>
        <w:tc>
          <w:tcPr>
            <w:tcW w:w="108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2.马尾松林</w:t>
            </w:r>
          </w:p>
        </w:tc>
        <w:tc>
          <w:tcPr>
            <w:tcW w:w="148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iCs/>
                <w:color w:val="000000"/>
                <w:kern w:val="0"/>
                <w:sz w:val="21"/>
                <w:szCs w:val="21"/>
                <w:u w:val="none" w:color="auto"/>
                <w:lang w:val="en-US" w:eastAsia="zh-CN" w:bidi="ar"/>
              </w:rPr>
            </w:pPr>
            <w:r>
              <w:rPr>
                <w:rFonts w:hint="eastAsia" w:ascii="Times New Roman" w:hAnsi="Times New Roman" w:eastAsia="宋体" w:cs="Times New Roman"/>
                <w:i/>
                <w:iCs/>
                <w:color w:val="000000"/>
                <w:kern w:val="0"/>
                <w:sz w:val="21"/>
                <w:szCs w:val="21"/>
                <w:u w:val="none" w:color="auto"/>
                <w:lang w:val="en-US" w:eastAsia="zh-CN" w:bidi="ar"/>
              </w:rPr>
              <w:t>Form.Pinus massoniana</w:t>
            </w:r>
          </w:p>
        </w:tc>
        <w:tc>
          <w:tcPr>
            <w:tcW w:w="10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广泛分布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54"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二、阔叶林</w:t>
            </w:r>
          </w:p>
        </w:tc>
        <w:tc>
          <w:tcPr>
            <w:tcW w:w="6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Ⅱ竹林</w:t>
            </w:r>
          </w:p>
        </w:tc>
        <w:tc>
          <w:tcPr>
            <w:tcW w:w="108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1.毛竹林</w:t>
            </w:r>
          </w:p>
        </w:tc>
        <w:tc>
          <w:tcPr>
            <w:tcW w:w="148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iCs/>
                <w:color w:val="000000"/>
                <w:kern w:val="0"/>
                <w:sz w:val="21"/>
                <w:szCs w:val="21"/>
                <w:u w:val="none" w:color="auto"/>
                <w:lang w:val="es-ES" w:eastAsia="zh-CN" w:bidi="ar"/>
              </w:rPr>
            </w:pPr>
            <w:r>
              <w:rPr>
                <w:rFonts w:hint="eastAsia" w:ascii="Times New Roman" w:hAnsi="Times New Roman" w:eastAsia="宋体" w:cs="Times New Roman"/>
                <w:i/>
                <w:iCs/>
                <w:color w:val="000000"/>
                <w:kern w:val="0"/>
                <w:sz w:val="21"/>
                <w:szCs w:val="21"/>
                <w:u w:val="none" w:color="auto"/>
                <w:lang w:val="en-US" w:eastAsia="zh-CN" w:bidi="ar"/>
              </w:rPr>
              <w:t>Form. Phyllostachys heterocycla cv. Pubescens</w:t>
            </w:r>
          </w:p>
        </w:tc>
        <w:tc>
          <w:tcPr>
            <w:tcW w:w="197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cs="Times New Roman"/>
                <w:i w:val="0"/>
                <w:iCs w:val="0"/>
                <w:color w:val="000000"/>
                <w:kern w:val="0"/>
                <w:sz w:val="21"/>
                <w:szCs w:val="21"/>
                <w:u w:val="none" w:color="auto"/>
                <w:lang w:val="en-US" w:eastAsia="zh-CN" w:bidi="ar"/>
              </w:rPr>
              <w:t>13、14号</w:t>
            </w:r>
            <w:r>
              <w:rPr>
                <w:rFonts w:hint="eastAsia" w:ascii="Times New Roman" w:hAnsi="Times New Roman" w:eastAsia="宋体" w:cs="Times New Roman"/>
                <w:i w:val="0"/>
                <w:iCs w:val="0"/>
                <w:color w:val="000000"/>
                <w:kern w:val="0"/>
                <w:sz w:val="21"/>
                <w:szCs w:val="21"/>
                <w:u w:val="none" w:color="auto"/>
                <w:lang w:val="en-US" w:eastAsia="zh-CN" w:bidi="ar"/>
              </w:rPr>
              <w:t>风机山脚</w:t>
            </w:r>
            <w:r>
              <w:rPr>
                <w:rFonts w:hint="eastAsia" w:cs="Times New Roman"/>
                <w:i w:val="0"/>
                <w:iCs w:val="0"/>
                <w:color w:val="000000"/>
                <w:kern w:val="0"/>
                <w:sz w:val="21"/>
                <w:szCs w:val="21"/>
                <w:u w:val="none" w:color="auto"/>
                <w:lang w:val="en-US" w:eastAsia="zh-CN" w:bidi="ar"/>
              </w:rPr>
              <w:t>，场内道路</w:t>
            </w:r>
            <w:r>
              <w:rPr>
                <w:rFonts w:hint="eastAsia" w:ascii="Times New Roman" w:hAnsi="Times New Roman" w:eastAsia="宋体" w:cs="Times New Roman"/>
                <w:i w:val="0"/>
                <w:iCs w:val="0"/>
                <w:color w:val="000000"/>
                <w:kern w:val="0"/>
                <w:sz w:val="21"/>
                <w:szCs w:val="21"/>
                <w:u w:val="none" w:color="auto"/>
                <w:lang w:val="en-US" w:eastAsia="zh-CN" w:bidi="ar"/>
              </w:rPr>
              <w:t>附近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5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p>
        </w:tc>
        <w:tc>
          <w:tcPr>
            <w:tcW w:w="614"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Ⅲ灌丛</w:t>
            </w:r>
          </w:p>
        </w:tc>
        <w:tc>
          <w:tcPr>
            <w:tcW w:w="108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1.大叶胡枝子灌丛</w:t>
            </w:r>
          </w:p>
        </w:tc>
        <w:tc>
          <w:tcPr>
            <w:tcW w:w="148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iCs/>
                <w:color w:val="000000"/>
                <w:kern w:val="0"/>
                <w:sz w:val="21"/>
                <w:szCs w:val="21"/>
                <w:u w:val="none" w:color="auto"/>
                <w:lang w:val="en-US" w:eastAsia="zh-CN" w:bidi="ar"/>
              </w:rPr>
            </w:pPr>
            <w:r>
              <w:rPr>
                <w:rFonts w:hint="eastAsia" w:ascii="Times New Roman" w:hAnsi="Times New Roman" w:eastAsia="宋体" w:cs="Times New Roman"/>
                <w:i/>
                <w:iCs/>
                <w:color w:val="000000"/>
                <w:kern w:val="0"/>
                <w:sz w:val="21"/>
                <w:szCs w:val="21"/>
                <w:u w:val="none" w:color="auto"/>
                <w:lang w:val="en-US" w:eastAsia="zh-CN" w:bidi="ar"/>
              </w:rPr>
              <w:t>Lespedeza davidii shrubland</w:t>
            </w:r>
          </w:p>
        </w:tc>
        <w:tc>
          <w:tcPr>
            <w:tcW w:w="197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cs="Times New Roman"/>
                <w:i w:val="0"/>
                <w:iCs w:val="0"/>
                <w:color w:val="000000"/>
                <w:kern w:val="0"/>
                <w:sz w:val="21"/>
                <w:szCs w:val="21"/>
                <w:u w:val="none" w:color="auto"/>
                <w:lang w:val="en-US" w:eastAsia="zh-CN" w:bidi="ar"/>
              </w:rPr>
              <w:t>9、10号</w:t>
            </w:r>
            <w:r>
              <w:rPr>
                <w:rFonts w:hint="eastAsia" w:ascii="Times New Roman" w:hAnsi="Times New Roman" w:eastAsia="宋体" w:cs="Times New Roman"/>
                <w:i w:val="0"/>
                <w:iCs w:val="0"/>
                <w:color w:val="000000"/>
                <w:kern w:val="0"/>
                <w:sz w:val="21"/>
                <w:szCs w:val="21"/>
                <w:u w:val="none" w:color="auto"/>
                <w:lang w:val="en-US" w:eastAsia="zh-CN" w:bidi="ar"/>
              </w:rPr>
              <w:t>风机山脚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5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p>
        </w:tc>
        <w:tc>
          <w:tcPr>
            <w:tcW w:w="61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p>
        </w:tc>
        <w:tc>
          <w:tcPr>
            <w:tcW w:w="108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2.锐齿槲栎灌丛</w:t>
            </w:r>
          </w:p>
        </w:tc>
        <w:tc>
          <w:tcPr>
            <w:tcW w:w="148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iCs/>
                <w:color w:val="000000"/>
                <w:kern w:val="0"/>
                <w:sz w:val="21"/>
                <w:szCs w:val="21"/>
                <w:u w:val="none" w:color="auto"/>
                <w:lang w:val="en-US" w:eastAsia="zh-CN" w:bidi="ar"/>
              </w:rPr>
            </w:pPr>
            <w:r>
              <w:rPr>
                <w:rFonts w:hint="eastAsia" w:ascii="Times New Roman" w:hAnsi="Times New Roman" w:eastAsia="宋体" w:cs="Times New Roman"/>
                <w:i/>
                <w:iCs/>
                <w:color w:val="000000"/>
                <w:kern w:val="0"/>
                <w:sz w:val="21"/>
                <w:szCs w:val="21"/>
                <w:u w:val="none" w:color="auto"/>
                <w:lang w:val="en-US" w:eastAsia="zh-CN" w:bidi="ar"/>
              </w:rPr>
              <w:t>Quercus aliena var. acutiserrata</w:t>
            </w:r>
          </w:p>
        </w:tc>
        <w:tc>
          <w:tcPr>
            <w:tcW w:w="10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广泛分布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jc w:val="center"/>
        </w:trPr>
        <w:tc>
          <w:tcPr>
            <w:tcW w:w="75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p>
        </w:tc>
        <w:tc>
          <w:tcPr>
            <w:tcW w:w="61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p>
        </w:tc>
        <w:tc>
          <w:tcPr>
            <w:tcW w:w="108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3.油茶灌丛</w:t>
            </w:r>
          </w:p>
        </w:tc>
        <w:tc>
          <w:tcPr>
            <w:tcW w:w="148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iCs/>
                <w:color w:val="000000"/>
                <w:kern w:val="0"/>
                <w:sz w:val="21"/>
                <w:szCs w:val="21"/>
                <w:u w:val="none" w:color="auto"/>
                <w:lang w:val="en-US" w:eastAsia="zh-CN" w:bidi="ar"/>
              </w:rPr>
            </w:pPr>
            <w:r>
              <w:rPr>
                <w:rFonts w:hint="eastAsia" w:ascii="Times New Roman" w:hAnsi="Times New Roman" w:eastAsia="宋体" w:cs="Times New Roman"/>
                <w:i/>
                <w:iCs/>
                <w:color w:val="000000"/>
                <w:kern w:val="0"/>
                <w:sz w:val="21"/>
                <w:szCs w:val="21"/>
                <w:u w:val="none" w:color="auto"/>
                <w:lang w:val="en-US" w:eastAsia="zh-CN" w:bidi="ar"/>
              </w:rPr>
              <w:t>Camellia oleifera</w:t>
            </w:r>
          </w:p>
        </w:tc>
        <w:tc>
          <w:tcPr>
            <w:tcW w:w="10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广泛分布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5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p>
        </w:tc>
        <w:tc>
          <w:tcPr>
            <w:tcW w:w="61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p>
        </w:tc>
        <w:tc>
          <w:tcPr>
            <w:tcW w:w="108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4.橙香海桐灌丛</w:t>
            </w:r>
          </w:p>
        </w:tc>
        <w:tc>
          <w:tcPr>
            <w:tcW w:w="148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iCs/>
                <w:color w:val="000000"/>
                <w:kern w:val="0"/>
                <w:sz w:val="21"/>
                <w:szCs w:val="21"/>
                <w:u w:val="none" w:color="auto"/>
                <w:lang w:val="en-US" w:eastAsia="zh-CN" w:bidi="ar"/>
              </w:rPr>
            </w:pPr>
            <w:r>
              <w:rPr>
                <w:rFonts w:hint="eastAsia" w:ascii="Times New Roman" w:hAnsi="Times New Roman" w:eastAsia="宋体" w:cs="Times New Roman"/>
                <w:i/>
                <w:iCs/>
                <w:color w:val="000000"/>
                <w:kern w:val="0"/>
                <w:sz w:val="21"/>
                <w:szCs w:val="21"/>
                <w:u w:val="none" w:color="auto"/>
                <w:lang w:val="en-US" w:eastAsia="zh-CN" w:bidi="ar"/>
              </w:rPr>
              <w:t>Pittosporum eugenioides A.Cunn.</w:t>
            </w:r>
          </w:p>
        </w:tc>
        <w:tc>
          <w:tcPr>
            <w:tcW w:w="10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广泛分布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5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p>
        </w:tc>
        <w:tc>
          <w:tcPr>
            <w:tcW w:w="614"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Ⅳ灌草丛</w:t>
            </w:r>
          </w:p>
        </w:tc>
        <w:tc>
          <w:tcPr>
            <w:tcW w:w="108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1.五节芒草丛</w:t>
            </w:r>
          </w:p>
        </w:tc>
        <w:tc>
          <w:tcPr>
            <w:tcW w:w="148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iCs/>
                <w:color w:val="000000"/>
                <w:kern w:val="0"/>
                <w:sz w:val="21"/>
                <w:szCs w:val="21"/>
                <w:u w:val="none" w:color="auto"/>
                <w:lang w:val="en-US" w:eastAsia="zh-CN" w:bidi="ar"/>
              </w:rPr>
            </w:pPr>
            <w:r>
              <w:rPr>
                <w:rFonts w:hint="eastAsia" w:ascii="Times New Roman" w:hAnsi="Times New Roman" w:eastAsia="宋体" w:cs="Times New Roman"/>
                <w:i/>
                <w:iCs/>
                <w:color w:val="000000"/>
                <w:kern w:val="0"/>
                <w:sz w:val="21"/>
                <w:szCs w:val="21"/>
                <w:u w:val="none" w:color="auto"/>
                <w:lang w:val="en-US" w:eastAsia="zh-CN" w:bidi="ar"/>
              </w:rPr>
              <w:t>Form.Miscanthus sinensis Anderss</w:t>
            </w:r>
          </w:p>
        </w:tc>
        <w:tc>
          <w:tcPr>
            <w:tcW w:w="10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广泛分布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5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p>
        </w:tc>
        <w:tc>
          <w:tcPr>
            <w:tcW w:w="61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p>
        </w:tc>
        <w:tc>
          <w:tcPr>
            <w:tcW w:w="108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2.蕨灌草丛</w:t>
            </w:r>
          </w:p>
        </w:tc>
        <w:tc>
          <w:tcPr>
            <w:tcW w:w="148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iCs/>
                <w:color w:val="000000"/>
                <w:kern w:val="0"/>
                <w:sz w:val="21"/>
                <w:szCs w:val="21"/>
                <w:u w:val="none" w:color="auto"/>
                <w:lang w:val="en-US" w:eastAsia="zh-CN" w:bidi="ar"/>
              </w:rPr>
            </w:pPr>
            <w:r>
              <w:rPr>
                <w:rFonts w:hint="eastAsia" w:ascii="Times New Roman" w:hAnsi="Times New Roman" w:eastAsia="宋体" w:cs="Times New Roman"/>
                <w:i/>
                <w:iCs/>
                <w:color w:val="000000"/>
                <w:kern w:val="0"/>
                <w:sz w:val="21"/>
                <w:szCs w:val="21"/>
                <w:u w:val="none" w:color="auto"/>
                <w:lang w:val="en-US" w:eastAsia="zh-CN" w:bidi="ar"/>
              </w:rPr>
              <w:t>Form. Pteridium aquilinum var. latiusculum</w:t>
            </w:r>
          </w:p>
        </w:tc>
        <w:tc>
          <w:tcPr>
            <w:tcW w:w="10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广泛分布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jc w:val="center"/>
        </w:trPr>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三、苔藓</w:t>
            </w:r>
          </w:p>
        </w:tc>
        <w:tc>
          <w:tcPr>
            <w:tcW w:w="6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Ⅴ</w:t>
            </w:r>
          </w:p>
        </w:tc>
        <w:tc>
          <w:tcPr>
            <w:tcW w:w="108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1毛蕨</w:t>
            </w:r>
          </w:p>
        </w:tc>
        <w:tc>
          <w:tcPr>
            <w:tcW w:w="148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iCs/>
                <w:color w:val="000000"/>
                <w:kern w:val="0"/>
                <w:sz w:val="21"/>
                <w:szCs w:val="21"/>
                <w:u w:val="none" w:color="auto"/>
                <w:lang w:val="en-US" w:eastAsia="zh-CN" w:bidi="ar"/>
              </w:rPr>
            </w:pPr>
            <w:r>
              <w:rPr>
                <w:rFonts w:hint="eastAsia" w:ascii="Times New Roman" w:hAnsi="Times New Roman" w:eastAsia="宋体" w:cs="Times New Roman"/>
                <w:i/>
                <w:iCs/>
                <w:color w:val="000000"/>
                <w:kern w:val="0"/>
                <w:sz w:val="21"/>
                <w:szCs w:val="21"/>
                <w:u w:val="none" w:color="auto"/>
                <w:lang w:val="en-US" w:eastAsia="zh-CN" w:bidi="ar"/>
              </w:rPr>
              <w:t>Cyclosorus interruptus</w:t>
            </w:r>
          </w:p>
        </w:tc>
        <w:tc>
          <w:tcPr>
            <w:tcW w:w="10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15、14</w:t>
            </w:r>
            <w:r>
              <w:rPr>
                <w:rFonts w:hint="eastAsia" w:cs="Times New Roman"/>
                <w:i w:val="0"/>
                <w:iCs w:val="0"/>
                <w:color w:val="000000"/>
                <w:kern w:val="0"/>
                <w:sz w:val="21"/>
                <w:szCs w:val="21"/>
                <w:u w:val="none" w:color="auto"/>
                <w:lang w:val="en-US" w:eastAsia="zh-CN" w:bidi="ar"/>
              </w:rPr>
              <w:t>号</w:t>
            </w:r>
            <w:r>
              <w:rPr>
                <w:rFonts w:hint="eastAsia" w:ascii="Times New Roman" w:hAnsi="Times New Roman" w:eastAsia="宋体" w:cs="Times New Roman"/>
                <w:i w:val="0"/>
                <w:iCs w:val="0"/>
                <w:color w:val="000000"/>
                <w:kern w:val="0"/>
                <w:sz w:val="21"/>
                <w:szCs w:val="21"/>
                <w:u w:val="none" w:color="auto"/>
                <w:lang w:val="en-US" w:eastAsia="zh-CN" w:bidi="ar"/>
              </w:rPr>
              <w:t>风机山脚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四、蕨类</w:t>
            </w:r>
          </w:p>
        </w:tc>
        <w:tc>
          <w:tcPr>
            <w:tcW w:w="6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Ⅵ</w:t>
            </w:r>
          </w:p>
        </w:tc>
        <w:tc>
          <w:tcPr>
            <w:tcW w:w="108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1东亚小金发藓</w:t>
            </w:r>
          </w:p>
        </w:tc>
        <w:tc>
          <w:tcPr>
            <w:tcW w:w="148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iCs/>
                <w:color w:val="000000"/>
                <w:kern w:val="0"/>
                <w:sz w:val="21"/>
                <w:szCs w:val="21"/>
                <w:u w:val="none" w:color="auto"/>
                <w:lang w:val="en-US" w:eastAsia="zh-CN" w:bidi="ar"/>
              </w:rPr>
            </w:pPr>
            <w:r>
              <w:rPr>
                <w:rFonts w:hint="eastAsia" w:ascii="Times New Roman" w:hAnsi="Times New Roman" w:eastAsia="宋体" w:cs="Times New Roman"/>
                <w:i/>
                <w:iCs/>
                <w:color w:val="000000"/>
                <w:kern w:val="0"/>
                <w:sz w:val="21"/>
                <w:szCs w:val="21"/>
                <w:u w:val="none" w:color="auto"/>
                <w:lang w:val="en-US" w:eastAsia="zh-CN" w:bidi="ar"/>
              </w:rPr>
              <w:t xml:space="preserve">Pogonatum inflexum </w:t>
            </w:r>
          </w:p>
        </w:tc>
        <w:tc>
          <w:tcPr>
            <w:tcW w:w="10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15、14</w:t>
            </w:r>
            <w:r>
              <w:rPr>
                <w:rFonts w:hint="eastAsia" w:cs="Times New Roman"/>
                <w:i w:val="0"/>
                <w:iCs w:val="0"/>
                <w:color w:val="000000"/>
                <w:kern w:val="0"/>
                <w:sz w:val="21"/>
                <w:szCs w:val="21"/>
                <w:u w:val="none" w:color="auto"/>
                <w:lang w:val="en-US" w:eastAsia="zh-CN" w:bidi="ar"/>
              </w:rPr>
              <w:t>号</w:t>
            </w:r>
            <w:r>
              <w:rPr>
                <w:rFonts w:hint="eastAsia" w:ascii="Times New Roman" w:hAnsi="Times New Roman" w:eastAsia="宋体" w:cs="Times New Roman"/>
                <w:i w:val="0"/>
                <w:iCs w:val="0"/>
                <w:color w:val="000000"/>
                <w:kern w:val="0"/>
                <w:sz w:val="21"/>
                <w:szCs w:val="21"/>
                <w:u w:val="none" w:color="auto"/>
                <w:lang w:val="en-US" w:eastAsia="zh-CN" w:bidi="ar"/>
              </w:rPr>
              <w:t>风机山脚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5"/>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人工植被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54"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经济林</w:t>
            </w:r>
          </w:p>
        </w:tc>
        <w:tc>
          <w:tcPr>
            <w:tcW w:w="6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用材林</w:t>
            </w:r>
          </w:p>
        </w:tc>
        <w:tc>
          <w:tcPr>
            <w:tcW w:w="2570"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杉木林、毛竹林等</w:t>
            </w:r>
          </w:p>
        </w:tc>
        <w:tc>
          <w:tcPr>
            <w:tcW w:w="1061"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广泛分布于各风机、汇集站周边、居民点附近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jc w:val="center"/>
        </w:trPr>
        <w:tc>
          <w:tcPr>
            <w:tcW w:w="75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p>
        </w:tc>
        <w:tc>
          <w:tcPr>
            <w:tcW w:w="6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经济果木林</w:t>
            </w:r>
          </w:p>
        </w:tc>
        <w:tc>
          <w:tcPr>
            <w:tcW w:w="2570"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油茶林等</w:t>
            </w:r>
          </w:p>
        </w:tc>
        <w:tc>
          <w:tcPr>
            <w:tcW w:w="1061"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5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农作物</w:t>
            </w:r>
          </w:p>
        </w:tc>
        <w:tc>
          <w:tcPr>
            <w:tcW w:w="3184" w:type="pct"/>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水稻、玉米、大豆、薯类、油茶、花生等</w:t>
            </w:r>
          </w:p>
        </w:tc>
        <w:tc>
          <w:tcPr>
            <w:tcW w:w="1061"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p>
        </w:tc>
      </w:tr>
    </w:tbl>
    <w:p>
      <w:pPr>
        <w:numPr>
          <w:ilvl w:val="0"/>
          <w:numId w:val="58"/>
        </w:numPr>
        <w:bidi w:val="0"/>
        <w:rPr>
          <w:b/>
          <w:bCs/>
        </w:rPr>
      </w:pPr>
      <w:bookmarkStart w:id="90" w:name="_Toc15007_WPSOffice_Level3"/>
      <w:r>
        <w:rPr>
          <w:b/>
          <w:bCs/>
        </w:rPr>
        <w:t>主要植被类型描述</w:t>
      </w:r>
      <w:bookmarkEnd w:id="90"/>
    </w:p>
    <w:p>
      <w:pPr>
        <w:bidi w:val="0"/>
        <w:rPr>
          <w:rFonts w:hint="eastAsia"/>
        </w:rPr>
      </w:pPr>
      <w:r>
        <w:rPr>
          <w:rFonts w:hint="eastAsia"/>
        </w:rPr>
        <w:t>一、针叶林</w:t>
      </w:r>
    </w:p>
    <w:p>
      <w:pPr>
        <w:bidi w:val="0"/>
      </w:pPr>
      <w:r>
        <w:rPr>
          <w:rFonts w:hint="eastAsia"/>
        </w:rPr>
        <w:t>Ⅰ</w:t>
      </w:r>
      <w:r>
        <w:t>低山针叶林</w:t>
      </w:r>
    </w:p>
    <w:p>
      <w:pPr>
        <w:bidi w:val="0"/>
      </w:pPr>
      <w:r>
        <w:rPr>
          <w:rFonts w:hint="eastAsia"/>
        </w:rPr>
        <w:t>1.</w:t>
      </w:r>
      <w:r>
        <w:t>杉木林（</w:t>
      </w:r>
      <w:r>
        <w:rPr>
          <w:i/>
          <w:iCs/>
        </w:rPr>
        <w:t>Form. Cunninghamia lanceolata</w:t>
      </w:r>
      <w:r>
        <w:t>）</w:t>
      </w:r>
    </w:p>
    <w:p>
      <w:pPr>
        <w:bidi w:val="0"/>
      </w:pPr>
      <w:r>
        <w:t>杉木为亚热带树种，适应性强，喜温暖湿润气候，在评价区分布广泛。杉木林为评价区最常见的针叶林群系之一，成片分布于</w:t>
      </w:r>
      <w:r>
        <w:rPr>
          <w:rFonts w:hint="eastAsia"/>
        </w:rPr>
        <w:t>各</w:t>
      </w:r>
      <w:r>
        <w:t>风机区附近，群落外貌深绿色，林下土壤为黄壤，林冠整齐，群落结构及种类组成较简单。</w:t>
      </w:r>
    </w:p>
    <w:p>
      <w:pPr>
        <w:bidi w:val="0"/>
      </w:pPr>
      <w:r>
        <w:t>乔木层郁闭度0.9，层均高10m，优势种为杉木（</w:t>
      </w:r>
      <w:r>
        <w:rPr>
          <w:i/>
          <w:iCs/>
        </w:rPr>
        <w:t>Cunninghamia lanceolata</w:t>
      </w:r>
      <w:r>
        <w:t>），高9~12m，胸径8~14cm，盖度85%，群落几乎为纯林，伴生种较少，只有少量马尾松(</w:t>
      </w:r>
      <w:r>
        <w:rPr>
          <w:i/>
          <w:iCs/>
        </w:rPr>
        <w:t>Pinus massoniana</w:t>
      </w:r>
      <w:r>
        <w:t>)、油松（</w:t>
      </w:r>
      <w:r>
        <w:rPr>
          <w:i/>
          <w:iCs/>
        </w:rPr>
        <w:t>Pinus tabulaeformis</w:t>
      </w:r>
      <w:r>
        <w:t>）</w:t>
      </w:r>
      <w:r>
        <w:rPr>
          <w:rFonts w:hint="eastAsia"/>
        </w:rPr>
        <w:t>、野黄桂（</w:t>
      </w:r>
      <w:r>
        <w:rPr>
          <w:rFonts w:hint="eastAsia"/>
          <w:i/>
          <w:iCs/>
        </w:rPr>
        <w:t>Cinnamomum jensenianum Hand.-Mazz</w:t>
      </w:r>
      <w:r>
        <w:rPr>
          <w:rFonts w:hint="eastAsia"/>
        </w:rPr>
        <w:t>）、黑壳楠（</w:t>
      </w:r>
      <w:r>
        <w:rPr>
          <w:rFonts w:hint="eastAsia"/>
          <w:i/>
          <w:iCs/>
        </w:rPr>
        <w:t>Lindera megaphylla Hemsl</w:t>
      </w:r>
      <w:r>
        <w:rPr>
          <w:rFonts w:hint="eastAsia"/>
        </w:rPr>
        <w:t>）、红楠（</w:t>
      </w:r>
      <w:r>
        <w:rPr>
          <w:rFonts w:hint="eastAsia"/>
          <w:i/>
          <w:iCs/>
        </w:rPr>
        <w:t>Machilus thunbergii Sieb. et Zucc.</w:t>
      </w:r>
      <w:r>
        <w:rPr>
          <w:rFonts w:hint="eastAsia"/>
        </w:rPr>
        <w:t>）、女贞（</w:t>
      </w:r>
      <w:r>
        <w:rPr>
          <w:rFonts w:hint="eastAsia"/>
          <w:i/>
          <w:iCs/>
        </w:rPr>
        <w:t>Ligustrum lucidum</w:t>
      </w:r>
      <w:r>
        <w:rPr>
          <w:rFonts w:hint="eastAsia"/>
        </w:rPr>
        <w:t>）、枫香树（</w:t>
      </w:r>
      <w:r>
        <w:rPr>
          <w:rFonts w:hint="eastAsia"/>
          <w:i/>
          <w:iCs/>
        </w:rPr>
        <w:t>Liquidambar formosana</w:t>
      </w:r>
      <w:r>
        <w:rPr>
          <w:rFonts w:hint="eastAsia"/>
        </w:rPr>
        <w:t xml:space="preserve"> ）等</w:t>
      </w:r>
      <w:r>
        <w:t>。</w:t>
      </w:r>
    </w:p>
    <w:p>
      <w:pPr>
        <w:bidi w:val="0"/>
      </w:pPr>
      <w:r>
        <w:t>灌木层层均高0.4m，盖度20%，优势种为高粱泡（</w:t>
      </w:r>
      <w:r>
        <w:rPr>
          <w:i/>
          <w:iCs/>
        </w:rPr>
        <w:t>Rubus lambertianus</w:t>
      </w:r>
      <w:r>
        <w:t>），高0.3~0.5m，盖度18%，主要伴生种为油茶（</w:t>
      </w:r>
      <w:r>
        <w:rPr>
          <w:i/>
          <w:iCs/>
        </w:rPr>
        <w:t>Camellia oleifera</w:t>
      </w:r>
      <w:r>
        <w:t>）、白背叶（</w:t>
      </w:r>
      <w:r>
        <w:rPr>
          <w:i/>
          <w:iCs/>
        </w:rPr>
        <w:t>Mallotus apelta</w:t>
      </w:r>
      <w:r>
        <w:t>）等。</w:t>
      </w:r>
    </w:p>
    <w:p>
      <w:pPr>
        <w:bidi w:val="0"/>
        <w:rPr>
          <w:rFonts w:cs="Times New Roman"/>
          <w:color w:val="auto"/>
          <w:szCs w:val="21"/>
          <w:u w:val="single"/>
        </w:rPr>
      </w:pPr>
      <w:r>
        <w:t>草本层层均高0.4m，盖度50%，优势种为芒萁（</w:t>
      </w:r>
      <w:r>
        <w:rPr>
          <w:i/>
          <w:iCs/>
        </w:rPr>
        <w:t>Dicranopteris pedata</w:t>
      </w:r>
      <w:r>
        <w:t>），高0.3~0.5m，盖度20%，主要伴生种为紫背金盘（</w:t>
      </w:r>
      <w:r>
        <w:rPr>
          <w:i/>
          <w:iCs/>
        </w:rPr>
        <w:t>Ajuga nipponensis </w:t>
      </w:r>
      <w:r>
        <w:t>）、蕨(</w:t>
      </w:r>
      <w:r>
        <w:rPr>
          <w:i/>
          <w:iCs/>
        </w:rPr>
        <w:t>Pteridium aquilinum var. latiusculum</w:t>
      </w:r>
      <w:r>
        <w:t>)、芒</w:t>
      </w:r>
      <w:r>
        <w:rPr>
          <w:i/>
          <w:iCs/>
        </w:rPr>
        <w:t>(Miscanthus sinensis </w:t>
      </w:r>
      <w:r>
        <w:t>)等。</w:t>
      </w:r>
    </w:p>
    <w:tbl>
      <w:tblPr>
        <w:tblStyle w:val="88"/>
        <w:tblW w:w="0" w:type="auto"/>
        <w:jc w:val="center"/>
        <w:tblLayout w:type="autofit"/>
        <w:tblCellMar>
          <w:top w:w="0" w:type="dxa"/>
          <w:left w:w="108" w:type="dxa"/>
          <w:bottom w:w="0" w:type="dxa"/>
          <w:right w:w="108" w:type="dxa"/>
        </w:tblCellMar>
      </w:tblPr>
      <w:tblGrid>
        <w:gridCol w:w="3980"/>
        <w:gridCol w:w="3907"/>
      </w:tblGrid>
      <w:tr>
        <w:tblPrEx>
          <w:tblCellMar>
            <w:top w:w="0" w:type="dxa"/>
            <w:left w:w="108" w:type="dxa"/>
            <w:bottom w:w="0" w:type="dxa"/>
            <w:right w:w="108" w:type="dxa"/>
          </w:tblCellMar>
        </w:tblPrEx>
        <w:trPr>
          <w:jc w:val="center"/>
        </w:trPr>
        <w:tc>
          <w:tcPr>
            <w:tcW w:w="3980" w:type="dxa"/>
            <w:noWrap w:val="0"/>
            <w:vAlign w:val="top"/>
          </w:tcPr>
          <w:p>
            <w:pPr>
              <w:pStyle w:val="3655"/>
              <w:adjustRightInd/>
              <w:snapToGrid/>
              <w:spacing w:line="240" w:lineRule="auto"/>
              <w:ind w:firstLine="0" w:firstLineChars="0"/>
              <w:jc w:val="center"/>
              <w:rPr>
                <w:rFonts w:hint="eastAsia" w:cs="Times New Roman"/>
                <w:color w:val="auto"/>
                <w:sz w:val="21"/>
                <w:szCs w:val="21"/>
                <w:u w:val="single"/>
              </w:rPr>
            </w:pPr>
            <w:r>
              <w:rPr>
                <w:rFonts w:hint="eastAsia" w:cs="Times New Roman"/>
                <w:color w:val="auto"/>
                <w:sz w:val="21"/>
                <w:szCs w:val="21"/>
                <w:u w:val="single"/>
              </w:rPr>
              <w:drawing>
                <wp:inline distT="0" distB="0" distL="114300" distR="114300">
                  <wp:extent cx="2111375" cy="1584325"/>
                  <wp:effectExtent l="0" t="0" r="3175" b="15875"/>
                  <wp:docPr id="85" name="图片 2" descr="2022_10_19_14_11_IMG_71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5" name="图片 2" descr="2022_10_19_14_11_IMG_7126"/>
                          <pic:cNvPicPr>
                            <a:picLocks noChangeAspect="true"/>
                          </pic:cNvPicPr>
                        </pic:nvPicPr>
                        <pic:blipFill>
                          <a:blip r:embed="rId37"/>
                          <a:stretch>
                            <a:fillRect/>
                          </a:stretch>
                        </pic:blipFill>
                        <pic:spPr>
                          <a:xfrm>
                            <a:off x="0" y="0"/>
                            <a:ext cx="2111375" cy="1584325"/>
                          </a:xfrm>
                          <a:prstGeom prst="rect">
                            <a:avLst/>
                          </a:prstGeom>
                          <a:noFill/>
                          <a:ln>
                            <a:noFill/>
                          </a:ln>
                        </pic:spPr>
                      </pic:pic>
                    </a:graphicData>
                  </a:graphic>
                </wp:inline>
              </w:drawing>
            </w:r>
          </w:p>
          <w:p>
            <w:pPr>
              <w:pStyle w:val="3655"/>
              <w:adjustRightInd/>
              <w:snapToGrid/>
              <w:spacing w:line="240" w:lineRule="auto"/>
              <w:ind w:firstLine="0" w:firstLineChars="0"/>
              <w:jc w:val="center"/>
              <w:rPr>
                <w:rFonts w:hint="eastAsia" w:cs="Times New Roman"/>
                <w:color w:val="auto"/>
                <w:sz w:val="21"/>
                <w:szCs w:val="21"/>
                <w:u w:val="single"/>
              </w:rPr>
            </w:pPr>
            <w:r>
              <w:rPr>
                <w:rFonts w:hint="eastAsia"/>
                <w:b/>
                <w:bCs/>
                <w:color w:val="auto"/>
                <w:sz w:val="21"/>
                <w:szCs w:val="21"/>
                <w:u w:val="single"/>
              </w:rPr>
              <w:t>杉木</w:t>
            </w:r>
            <w:r>
              <w:rPr>
                <w:rFonts w:hint="eastAsia"/>
                <w:b/>
                <w:bCs/>
                <w:i/>
                <w:iCs/>
                <w:color w:val="auto"/>
                <w:sz w:val="21"/>
                <w:szCs w:val="21"/>
                <w:u w:val="single"/>
              </w:rPr>
              <w:t>Cunninghamia lanceolata</w:t>
            </w:r>
          </w:p>
        </w:tc>
        <w:tc>
          <w:tcPr>
            <w:tcW w:w="3907" w:type="dxa"/>
            <w:noWrap w:val="0"/>
            <w:vAlign w:val="top"/>
          </w:tcPr>
          <w:p>
            <w:pPr>
              <w:pStyle w:val="3655"/>
              <w:adjustRightInd/>
              <w:snapToGrid/>
              <w:spacing w:line="240" w:lineRule="auto"/>
              <w:ind w:firstLine="0" w:firstLineChars="0"/>
              <w:jc w:val="center"/>
              <w:rPr>
                <w:rFonts w:hint="eastAsia" w:cs="Times New Roman"/>
                <w:color w:val="auto"/>
                <w:sz w:val="21"/>
                <w:szCs w:val="21"/>
                <w:u w:val="single"/>
              </w:rPr>
            </w:pPr>
            <w:r>
              <w:rPr>
                <w:rFonts w:hint="eastAsia" w:cs="Times New Roman"/>
                <w:color w:val="auto"/>
                <w:sz w:val="21"/>
                <w:szCs w:val="21"/>
                <w:u w:val="single"/>
              </w:rPr>
              <w:drawing>
                <wp:inline distT="0" distB="0" distL="114300" distR="114300">
                  <wp:extent cx="2115185" cy="1624965"/>
                  <wp:effectExtent l="0" t="0" r="18415" b="13335"/>
                  <wp:docPr id="76" name="图片 3" descr="2022_10_19_11_28_IMG_705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6" name="图片 3" descr="2022_10_19_11_28_IMG_7051"/>
                          <pic:cNvPicPr>
                            <a:picLocks noChangeAspect="true"/>
                          </pic:cNvPicPr>
                        </pic:nvPicPr>
                        <pic:blipFill>
                          <a:blip r:embed="rId38"/>
                          <a:stretch>
                            <a:fillRect/>
                          </a:stretch>
                        </pic:blipFill>
                        <pic:spPr>
                          <a:xfrm>
                            <a:off x="0" y="0"/>
                            <a:ext cx="2115185" cy="1624965"/>
                          </a:xfrm>
                          <a:prstGeom prst="rect">
                            <a:avLst/>
                          </a:prstGeom>
                          <a:noFill/>
                          <a:ln>
                            <a:noFill/>
                          </a:ln>
                        </pic:spPr>
                      </pic:pic>
                    </a:graphicData>
                  </a:graphic>
                </wp:inline>
              </w:drawing>
            </w:r>
          </w:p>
          <w:p>
            <w:pPr>
              <w:pStyle w:val="3655"/>
              <w:adjustRightInd/>
              <w:snapToGrid/>
              <w:spacing w:line="240" w:lineRule="auto"/>
              <w:ind w:firstLine="0" w:firstLineChars="0"/>
              <w:jc w:val="center"/>
              <w:rPr>
                <w:rFonts w:hint="eastAsia" w:cs="Times New Roman"/>
                <w:color w:val="auto"/>
                <w:sz w:val="21"/>
                <w:szCs w:val="21"/>
                <w:u w:val="single"/>
              </w:rPr>
            </w:pPr>
            <w:r>
              <w:rPr>
                <w:rFonts w:hint="eastAsia"/>
                <w:b/>
                <w:bCs/>
                <w:color w:val="auto"/>
                <w:sz w:val="21"/>
                <w:szCs w:val="21"/>
                <w:u w:val="single"/>
              </w:rPr>
              <w:t>杉木</w:t>
            </w:r>
            <w:r>
              <w:rPr>
                <w:rFonts w:hint="eastAsia"/>
                <w:b/>
                <w:bCs/>
                <w:i/>
                <w:iCs/>
                <w:color w:val="auto"/>
                <w:sz w:val="21"/>
                <w:szCs w:val="21"/>
                <w:u w:val="single"/>
              </w:rPr>
              <w:t>Cunninghamia lanceolata</w:t>
            </w:r>
          </w:p>
        </w:tc>
      </w:tr>
    </w:tbl>
    <w:p>
      <w:pPr>
        <w:pStyle w:val="8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firstLine="0" w:firstLineChars="0"/>
        <w:jc w:val="center"/>
        <w:textAlignment w:val="auto"/>
        <w:rPr>
          <w:rFonts w:ascii="Times New Roman" w:hAnsi="Times New Roman"/>
          <w:color w:val="auto"/>
          <w:sz w:val="21"/>
          <w:szCs w:val="21"/>
          <w:u w:val="none"/>
        </w:rPr>
      </w:pPr>
      <w:r>
        <w:rPr>
          <w:rFonts w:ascii="Times New Roman" w:hAnsi="Times New Roman"/>
          <w:b/>
          <w:bCs/>
          <w:color w:val="auto"/>
          <w:sz w:val="21"/>
          <w:szCs w:val="21"/>
          <w:u w:val="none"/>
        </w:rPr>
        <w:t>图3-</w:t>
      </w:r>
      <w:r>
        <w:rPr>
          <w:rFonts w:hint="eastAsia" w:ascii="Times New Roman" w:hAnsi="Times New Roman"/>
          <w:b/>
          <w:bCs/>
          <w:color w:val="auto"/>
          <w:sz w:val="21"/>
          <w:szCs w:val="21"/>
          <w:u w:val="none"/>
          <w:lang w:val="en-US" w:eastAsia="zh-CN"/>
        </w:rPr>
        <w:t>1</w:t>
      </w:r>
      <w:r>
        <w:rPr>
          <w:rFonts w:hint="eastAsia" w:ascii="Times New Roman" w:hAnsi="Times New Roman"/>
          <w:b/>
          <w:bCs/>
          <w:color w:val="auto"/>
          <w:sz w:val="21"/>
          <w:szCs w:val="21"/>
          <w:u w:val="none"/>
        </w:rPr>
        <w:t xml:space="preserve"> </w:t>
      </w:r>
      <w:r>
        <w:rPr>
          <w:rFonts w:ascii="Times New Roman" w:hAnsi="Times New Roman"/>
          <w:b/>
          <w:bCs/>
          <w:color w:val="auto"/>
          <w:sz w:val="21"/>
          <w:szCs w:val="21"/>
          <w:u w:val="none"/>
        </w:rPr>
        <w:t xml:space="preserve"> 项目区域分布的杉木林</w:t>
      </w:r>
    </w:p>
    <w:p>
      <w:pPr>
        <w:bidi w:val="0"/>
      </w:pPr>
      <w:r>
        <w:rPr>
          <w:rFonts w:hint="eastAsia"/>
        </w:rPr>
        <w:t>2.</w:t>
      </w:r>
      <w:r>
        <w:t>马尾</w:t>
      </w:r>
      <w:r>
        <w:rPr>
          <w:rFonts w:hint="eastAsia"/>
        </w:rPr>
        <w:t>松</w:t>
      </w:r>
      <w:r>
        <w:t>（</w:t>
      </w:r>
      <w:r>
        <w:rPr>
          <w:i/>
          <w:iCs/>
        </w:rPr>
        <w:t>Form.Pinusmassoniana</w:t>
      </w:r>
      <w:r>
        <w:t>）</w:t>
      </w:r>
    </w:p>
    <w:p>
      <w:pPr>
        <w:bidi w:val="0"/>
        <w:rPr>
          <w:rFonts w:hint="eastAsia"/>
        </w:rPr>
      </w:pPr>
      <w:r>
        <w:t>马尾松是中国中南部主要材用树种，经济价值高，也是评价区内重要水土保持树种。群落外貌暗绿色，林下土壤为红黄壤，林冠整齐，群落结构及种类组成较简单</w:t>
      </w:r>
      <w:r>
        <w:rPr>
          <w:rFonts w:hint="eastAsia"/>
        </w:rPr>
        <w:t>。</w:t>
      </w:r>
    </w:p>
    <w:p>
      <w:pPr>
        <w:bidi w:val="0"/>
      </w:pPr>
      <w:r>
        <w:t>乔木层郁闭度0.7，层均高约8m，优势种为马尾松（</w:t>
      </w:r>
      <w:r>
        <w:rPr>
          <w:i/>
          <w:iCs/>
        </w:rPr>
        <w:t>Pinus massoniana</w:t>
      </w:r>
      <w:r>
        <w:t>），盖度约60%，高8~10m，胸径7~12cm，主要伴生种有杉木（</w:t>
      </w:r>
      <w:r>
        <w:rPr>
          <w:i/>
          <w:iCs/>
        </w:rPr>
        <w:t>Cunninghamia lanceolata</w:t>
      </w:r>
      <w:r>
        <w:t>）、樟（</w:t>
      </w:r>
      <w:r>
        <w:rPr>
          <w:i/>
          <w:iCs/>
        </w:rPr>
        <w:t>Cinnamomum camphora</w:t>
      </w:r>
      <w:r>
        <w:t>）、枫香（</w:t>
      </w:r>
      <w:r>
        <w:rPr>
          <w:i/>
          <w:iCs/>
        </w:rPr>
        <w:t>Liquidambar formosana</w:t>
      </w:r>
      <w:r>
        <w:t>）等。</w:t>
      </w:r>
    </w:p>
    <w:p>
      <w:pPr>
        <w:bidi w:val="0"/>
      </w:pPr>
      <w:r>
        <w:t>灌木层层高约1.5m，盖度30%，优势种为木油桐（</w:t>
      </w:r>
      <w:r>
        <w:rPr>
          <w:i/>
          <w:iCs/>
        </w:rPr>
        <w:t>Vernicia montana</w:t>
      </w:r>
      <w:r>
        <w:t>），盖度为20%，高1.5~2.5m，伴生种有白背叶（</w:t>
      </w:r>
      <w:r>
        <w:rPr>
          <w:i/>
          <w:iCs/>
        </w:rPr>
        <w:t>Mallotus apelta</w:t>
      </w:r>
      <w:r>
        <w:t>）、檵木（</w:t>
      </w:r>
      <w:r>
        <w:rPr>
          <w:i/>
          <w:iCs/>
        </w:rPr>
        <w:t>Loropetalum chinense</w:t>
      </w:r>
      <w:r>
        <w:t>）、油茶（</w:t>
      </w:r>
      <w:r>
        <w:rPr>
          <w:i/>
          <w:iCs/>
        </w:rPr>
        <w:t>Camellia oleifera </w:t>
      </w:r>
      <w:r>
        <w:t>）等。</w:t>
      </w:r>
    </w:p>
    <w:p>
      <w:pPr>
        <w:bidi w:val="0"/>
      </w:pPr>
      <w:r>
        <w:t>草本层层均高1.5m，盖度50%，优势种为五节芒（</w:t>
      </w:r>
      <w:r>
        <w:rPr>
          <w:i/>
          <w:iCs/>
        </w:rPr>
        <w:t>Deyeuxia pyramidalis</w:t>
      </w:r>
      <w:r>
        <w:t>），高1.5~2.5m，盖度30%，主要伴生种为芒（</w:t>
      </w:r>
      <w:r>
        <w:rPr>
          <w:i/>
          <w:iCs/>
        </w:rPr>
        <w:t>Miscanthus sinensis</w:t>
      </w:r>
      <w:r>
        <w:t>）、野菊（</w:t>
      </w:r>
      <w:r>
        <w:rPr>
          <w:i/>
          <w:iCs/>
        </w:rPr>
        <w:t>Chrysanthemum indicum</w:t>
      </w:r>
      <w:r>
        <w:t>）、千里光（</w:t>
      </w:r>
      <w:r>
        <w:rPr>
          <w:i/>
          <w:iCs/>
        </w:rPr>
        <w:t>Senecio scandens</w:t>
      </w:r>
      <w:r>
        <w:t>）等。</w:t>
      </w:r>
    </w:p>
    <w:tbl>
      <w:tblPr>
        <w:tblStyle w:val="88"/>
        <w:tblW w:w="0" w:type="auto"/>
        <w:jc w:val="center"/>
        <w:tblLayout w:type="autofit"/>
        <w:tblCellMar>
          <w:top w:w="0" w:type="dxa"/>
          <w:left w:w="108" w:type="dxa"/>
          <w:bottom w:w="0" w:type="dxa"/>
          <w:right w:w="108" w:type="dxa"/>
        </w:tblCellMar>
      </w:tblPr>
      <w:tblGrid>
        <w:gridCol w:w="7887"/>
      </w:tblGrid>
      <w:tr>
        <w:tblPrEx>
          <w:tblCellMar>
            <w:top w:w="0" w:type="dxa"/>
            <w:left w:w="108" w:type="dxa"/>
            <w:bottom w:w="0" w:type="dxa"/>
            <w:right w:w="108" w:type="dxa"/>
          </w:tblCellMar>
        </w:tblPrEx>
        <w:trPr>
          <w:jc w:val="center"/>
        </w:trPr>
        <w:tc>
          <w:tcPr>
            <w:tcW w:w="7887" w:type="dxa"/>
            <w:noWrap w:val="0"/>
            <w:vAlign w:val="top"/>
          </w:tcPr>
          <w:p>
            <w:pPr>
              <w:pStyle w:val="3655"/>
              <w:adjustRightInd/>
              <w:snapToGrid/>
              <w:ind w:firstLine="0" w:firstLineChars="0"/>
              <w:jc w:val="center"/>
              <w:rPr>
                <w:rFonts w:hint="eastAsia"/>
                <w:color w:val="auto"/>
                <w:sz w:val="21"/>
                <w:szCs w:val="21"/>
              </w:rPr>
            </w:pPr>
            <w:r>
              <w:rPr>
                <w:rFonts w:hint="eastAsia"/>
                <w:color w:val="auto"/>
                <w:sz w:val="21"/>
                <w:szCs w:val="21"/>
              </w:rPr>
              <w:drawing>
                <wp:inline distT="0" distB="0" distL="114300" distR="114300">
                  <wp:extent cx="3711575" cy="2784475"/>
                  <wp:effectExtent l="0" t="0" r="3175" b="15875"/>
                  <wp:docPr id="77" name="图片 4" descr="2022_10_19_14_15_IMG_71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7" name="图片 4" descr="2022_10_19_14_15_IMG_7132"/>
                          <pic:cNvPicPr>
                            <a:picLocks noChangeAspect="true"/>
                          </pic:cNvPicPr>
                        </pic:nvPicPr>
                        <pic:blipFill>
                          <a:blip r:embed="rId39"/>
                          <a:stretch>
                            <a:fillRect/>
                          </a:stretch>
                        </pic:blipFill>
                        <pic:spPr>
                          <a:xfrm>
                            <a:off x="0" y="0"/>
                            <a:ext cx="3711575" cy="2784475"/>
                          </a:xfrm>
                          <a:prstGeom prst="rect">
                            <a:avLst/>
                          </a:prstGeom>
                          <a:noFill/>
                          <a:ln>
                            <a:noFill/>
                          </a:ln>
                        </pic:spPr>
                      </pic:pic>
                    </a:graphicData>
                  </a:graphic>
                </wp:inline>
              </w:drawing>
            </w:r>
          </w:p>
        </w:tc>
      </w:tr>
    </w:tbl>
    <w:p>
      <w:pPr>
        <w:pStyle w:val="3655"/>
        <w:adjustRightInd/>
        <w:snapToGrid/>
        <w:ind w:firstLine="422"/>
        <w:jc w:val="center"/>
        <w:rPr>
          <w:rFonts w:hint="eastAsia"/>
          <w:b/>
          <w:bCs/>
          <w:color w:val="auto"/>
          <w:sz w:val="21"/>
          <w:szCs w:val="21"/>
        </w:rPr>
      </w:pPr>
      <w:r>
        <w:rPr>
          <w:rFonts w:hint="eastAsia"/>
          <w:b/>
          <w:bCs/>
          <w:color w:val="auto"/>
          <w:sz w:val="21"/>
          <w:szCs w:val="21"/>
        </w:rPr>
        <w:t>图3-</w:t>
      </w:r>
      <w:r>
        <w:rPr>
          <w:rFonts w:hint="eastAsia"/>
          <w:b/>
          <w:bCs/>
          <w:color w:val="auto"/>
          <w:sz w:val="21"/>
          <w:szCs w:val="21"/>
          <w:lang w:val="en-US" w:eastAsia="zh-CN"/>
        </w:rPr>
        <w:t>2</w:t>
      </w:r>
      <w:r>
        <w:rPr>
          <w:rFonts w:hint="eastAsia"/>
          <w:b/>
          <w:bCs/>
          <w:color w:val="auto"/>
          <w:sz w:val="21"/>
          <w:szCs w:val="21"/>
        </w:rPr>
        <w:t xml:space="preserve">  区域内分布的马尾松</w:t>
      </w:r>
    </w:p>
    <w:p>
      <w:pPr>
        <w:bidi w:val="0"/>
      </w:pPr>
      <w:r>
        <w:rPr>
          <w:rFonts w:hint="eastAsia"/>
        </w:rPr>
        <w:t>二、</w:t>
      </w:r>
      <w:r>
        <w:t>阔叶林</w:t>
      </w:r>
    </w:p>
    <w:p>
      <w:pPr>
        <w:bidi w:val="0"/>
      </w:pPr>
      <w:r>
        <w:t>乔木层郁闭度0.6，层均高10m，优势种为毛竹(</w:t>
      </w:r>
      <w:r>
        <w:rPr>
          <w:i/>
          <w:iCs/>
        </w:rPr>
        <w:t>Phyllostachys pubescens</w:t>
      </w:r>
      <w:r>
        <w:t>)</w:t>
      </w:r>
      <w:r>
        <w:rPr>
          <w:rFonts w:hint="eastAsia"/>
        </w:rPr>
        <w:t>、散生有黑壳楠（</w:t>
      </w:r>
      <w:r>
        <w:rPr>
          <w:rFonts w:hint="eastAsia"/>
          <w:i/>
          <w:iCs/>
        </w:rPr>
        <w:t>Lindera megaphylla Hemsl</w:t>
      </w:r>
      <w:r>
        <w:rPr>
          <w:rFonts w:hint="eastAsia"/>
        </w:rPr>
        <w:t>.）、野黄桂（</w:t>
      </w:r>
      <w:r>
        <w:rPr>
          <w:rFonts w:hint="eastAsia"/>
          <w:i/>
          <w:iCs/>
        </w:rPr>
        <w:t>Cinnamomum jensenianum Hand</w:t>
      </w:r>
      <w:r>
        <w:rPr>
          <w:rFonts w:hint="eastAsia"/>
        </w:rPr>
        <w:t>.-</w:t>
      </w:r>
      <w:r>
        <w:rPr>
          <w:rFonts w:hint="eastAsia"/>
          <w:i/>
          <w:iCs/>
        </w:rPr>
        <w:t>Mazz</w:t>
      </w:r>
      <w:r>
        <w:rPr>
          <w:rFonts w:hint="eastAsia"/>
        </w:rPr>
        <w:t>）、女贞</w:t>
      </w:r>
      <w:r>
        <w:rPr>
          <w:rFonts w:hint="eastAsia"/>
          <w:i/>
          <w:iCs/>
        </w:rPr>
        <w:t>Ligustrum lucidum</w:t>
      </w:r>
      <w:r>
        <w:rPr>
          <w:rFonts w:hint="eastAsia"/>
        </w:rPr>
        <w:t>、红楠（</w:t>
      </w:r>
      <w:r>
        <w:rPr>
          <w:rFonts w:hint="eastAsia"/>
          <w:i/>
          <w:iCs/>
        </w:rPr>
        <w:t>Machilus thunbergii Sieb. et Zucc</w:t>
      </w:r>
      <w:r>
        <w:rPr>
          <w:rFonts w:hint="eastAsia"/>
        </w:rPr>
        <w:t>.）、枫香树（</w:t>
      </w:r>
      <w:r>
        <w:rPr>
          <w:rFonts w:hint="eastAsia"/>
          <w:i/>
          <w:iCs/>
        </w:rPr>
        <w:t>Liquidambar formosana</w:t>
      </w:r>
      <w:r>
        <w:rPr>
          <w:rFonts w:hint="eastAsia"/>
        </w:rPr>
        <w:t>） 等</w:t>
      </w:r>
      <w:r>
        <w:t>，为</w:t>
      </w:r>
      <w:r>
        <w:rPr>
          <w:rFonts w:hint="eastAsia"/>
        </w:rPr>
        <w:t>多</w:t>
      </w:r>
      <w:r>
        <w:t>优势群落。</w:t>
      </w:r>
    </w:p>
    <w:p>
      <w:pPr>
        <w:bidi w:val="0"/>
      </w:pPr>
      <w:r>
        <w:t>灌木层盖度20%，层高约1.5m，无明显优势种，散生有油茶（</w:t>
      </w:r>
      <w:r>
        <w:rPr>
          <w:i/>
          <w:iCs/>
        </w:rPr>
        <w:t>Camellia oleifera</w:t>
      </w:r>
      <w:r>
        <w:t>）、</w:t>
      </w:r>
      <w:r>
        <w:rPr>
          <w:rFonts w:hint="eastAsia"/>
        </w:rPr>
        <w:t>锐齿槲栎（</w:t>
      </w:r>
      <w:r>
        <w:rPr>
          <w:rFonts w:hint="eastAsia"/>
          <w:i/>
          <w:iCs/>
        </w:rPr>
        <w:t>Quercus aliena var. acutiserrata</w:t>
      </w:r>
      <w:r>
        <w:rPr>
          <w:rFonts w:hint="eastAsia"/>
        </w:rPr>
        <w:t>）</w:t>
      </w:r>
      <w:r>
        <w:t>等。</w:t>
      </w:r>
    </w:p>
    <w:p>
      <w:pPr>
        <w:bidi w:val="0"/>
      </w:pPr>
      <w:r>
        <w:t>草本层盖度50%，层均高0.5m，优势种为五节芒(</w:t>
      </w:r>
      <w:r>
        <w:rPr>
          <w:i/>
          <w:iCs/>
        </w:rPr>
        <w:t>Miscanthus floridulus</w:t>
      </w:r>
      <w:r>
        <w:t>)，高约1.5m，盖度30%，主要伴生种为博落回（</w:t>
      </w:r>
      <w:r>
        <w:rPr>
          <w:i/>
          <w:iCs/>
        </w:rPr>
        <w:t>Macleaya cordata</w:t>
      </w:r>
      <w:r>
        <w:t>）、芒萁（</w:t>
      </w:r>
      <w:r>
        <w:rPr>
          <w:i/>
          <w:iCs/>
        </w:rPr>
        <w:t>Dicranopteris dichotoma</w:t>
      </w:r>
      <w:r>
        <w:t>）、苍耳（</w:t>
      </w:r>
      <w:r>
        <w:rPr>
          <w:i/>
          <w:iCs/>
        </w:rPr>
        <w:t>Xanthium sibiricum</w:t>
      </w:r>
      <w:r>
        <w:t>）、狗牙根(</w:t>
      </w:r>
      <w:r>
        <w:rPr>
          <w:i/>
          <w:iCs/>
        </w:rPr>
        <w:t>Cynodon dactylon</w:t>
      </w:r>
      <w:r>
        <w:t>)等。</w:t>
      </w:r>
    </w:p>
    <w:p>
      <w:pPr>
        <w:bidi w:val="0"/>
        <w:rPr>
          <w:rFonts w:hint="eastAsia"/>
        </w:rPr>
      </w:pPr>
      <w:r>
        <w:rPr>
          <w:rFonts w:hint="eastAsia"/>
        </w:rPr>
        <w:t>Ⅱ竹林</w:t>
      </w:r>
    </w:p>
    <w:p>
      <w:pPr>
        <w:bidi w:val="0"/>
      </w:pPr>
      <w:r>
        <w:t>毛竹适应性，抗逆性强，无性繁殖力强，是评价区内丘陵区最为常见的植物之一。毛竹林是评价区最为常见的群系之一，其在评价区各地低山区域均有广泛分布，群落外貌翠绿色，林下土壤为红壤，林冠整齐，群落结构及种类组成较简单。</w:t>
      </w:r>
    </w:p>
    <w:tbl>
      <w:tblPr>
        <w:tblStyle w:val="88"/>
        <w:tblW w:w="0" w:type="auto"/>
        <w:jc w:val="center"/>
        <w:tblLayout w:type="autofit"/>
        <w:tblCellMar>
          <w:top w:w="0" w:type="dxa"/>
          <w:left w:w="108" w:type="dxa"/>
          <w:bottom w:w="0" w:type="dxa"/>
          <w:right w:w="108" w:type="dxa"/>
        </w:tblCellMar>
      </w:tblPr>
      <w:tblGrid>
        <w:gridCol w:w="4476"/>
        <w:gridCol w:w="3966"/>
      </w:tblGrid>
      <w:tr>
        <w:tblPrEx>
          <w:tblCellMar>
            <w:top w:w="0" w:type="dxa"/>
            <w:left w:w="108" w:type="dxa"/>
            <w:bottom w:w="0" w:type="dxa"/>
            <w:right w:w="108" w:type="dxa"/>
          </w:tblCellMar>
        </w:tblPrEx>
        <w:trPr>
          <w:jc w:val="center"/>
        </w:trPr>
        <w:tc>
          <w:tcPr>
            <w:tcW w:w="7887" w:type="dxa"/>
            <w:gridSpan w:val="2"/>
            <w:noWrap w:val="0"/>
            <w:vAlign w:val="top"/>
          </w:tcPr>
          <w:p>
            <w:pPr>
              <w:pStyle w:val="3655"/>
              <w:adjustRightInd/>
              <w:snapToGrid/>
              <w:spacing w:line="240" w:lineRule="auto"/>
              <w:ind w:firstLine="0" w:firstLineChars="0"/>
              <w:jc w:val="center"/>
              <w:rPr>
                <w:rFonts w:hint="eastAsia"/>
                <w:color w:val="auto"/>
                <w:sz w:val="21"/>
                <w:szCs w:val="21"/>
              </w:rPr>
            </w:pPr>
            <w:r>
              <w:rPr>
                <w:color w:val="auto"/>
                <w:sz w:val="21"/>
                <w:szCs w:val="21"/>
              </w:rPr>
              <w:drawing>
                <wp:inline distT="0" distB="0" distL="114300" distR="114300">
                  <wp:extent cx="3495040" cy="2717165"/>
                  <wp:effectExtent l="0" t="0" r="10160" b="6985"/>
                  <wp:docPr id="78"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8" name="图片 5"/>
                          <pic:cNvPicPr>
                            <a:picLocks noChangeAspect="true"/>
                          </pic:cNvPicPr>
                        </pic:nvPicPr>
                        <pic:blipFill>
                          <a:blip r:embed="rId40"/>
                          <a:stretch>
                            <a:fillRect/>
                          </a:stretch>
                        </pic:blipFill>
                        <pic:spPr>
                          <a:xfrm>
                            <a:off x="0" y="0"/>
                            <a:ext cx="3495040" cy="2717165"/>
                          </a:xfrm>
                          <a:prstGeom prst="rect">
                            <a:avLst/>
                          </a:prstGeom>
                          <a:noFill/>
                          <a:ln>
                            <a:noFill/>
                          </a:ln>
                        </pic:spPr>
                      </pic:pic>
                    </a:graphicData>
                  </a:graphic>
                </wp:inline>
              </w:drawing>
            </w:r>
          </w:p>
          <w:p>
            <w:pPr>
              <w:pStyle w:val="3655"/>
              <w:adjustRightInd/>
              <w:snapToGrid/>
              <w:ind w:firstLine="0" w:firstLineChars="0"/>
              <w:jc w:val="center"/>
              <w:rPr>
                <w:rFonts w:hint="eastAsia"/>
                <w:b/>
                <w:bCs/>
                <w:color w:val="auto"/>
                <w:szCs w:val="21"/>
              </w:rPr>
            </w:pPr>
            <w:r>
              <w:rPr>
                <w:rFonts w:hint="eastAsia"/>
                <w:b/>
                <w:bCs/>
                <w:color w:val="auto"/>
                <w:sz w:val="21"/>
                <w:szCs w:val="21"/>
              </w:rPr>
              <w:t>毛竹</w:t>
            </w:r>
            <w:r>
              <w:rPr>
                <w:rFonts w:hint="eastAsia"/>
                <w:b/>
                <w:bCs/>
                <w:i/>
                <w:iCs/>
                <w:color w:val="auto"/>
                <w:sz w:val="21"/>
                <w:szCs w:val="21"/>
              </w:rPr>
              <w:t>Form. Phyllostachys pubescen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41" w:type="dxa"/>
            <w:noWrap w:val="0"/>
            <w:vAlign w:val="top"/>
          </w:tcPr>
          <w:p>
            <w:pPr>
              <w:jc w:val="center"/>
              <w:rPr>
                <w:rFonts w:hint="eastAsia"/>
                <w:b/>
                <w:bCs/>
                <w:color w:val="auto"/>
                <w:szCs w:val="21"/>
              </w:rPr>
            </w:pPr>
            <w:r>
              <w:rPr>
                <w:rFonts w:hint="eastAsia"/>
                <w:b/>
                <w:bCs/>
                <w:color w:val="auto"/>
                <w:szCs w:val="21"/>
              </w:rPr>
              <w:drawing>
                <wp:inline distT="0" distB="0" distL="114300" distR="114300">
                  <wp:extent cx="2397760" cy="1598930"/>
                  <wp:effectExtent l="0" t="0" r="2540" b="1270"/>
                  <wp:docPr id="84" name="图片 6" descr="2022_10_19_10_48_IMG_70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4" name="图片 6" descr="2022_10_19_10_48_IMG_7006"/>
                          <pic:cNvPicPr>
                            <a:picLocks noChangeAspect="true"/>
                          </pic:cNvPicPr>
                        </pic:nvPicPr>
                        <pic:blipFill>
                          <a:blip r:embed="rId41"/>
                          <a:stretch>
                            <a:fillRect/>
                          </a:stretch>
                        </pic:blipFill>
                        <pic:spPr>
                          <a:xfrm>
                            <a:off x="0" y="0"/>
                            <a:ext cx="2397760" cy="1598930"/>
                          </a:xfrm>
                          <a:prstGeom prst="rect">
                            <a:avLst/>
                          </a:prstGeom>
                          <a:noFill/>
                          <a:ln>
                            <a:noFill/>
                          </a:ln>
                        </pic:spPr>
                      </pic:pic>
                    </a:graphicData>
                  </a:graphic>
                </wp:inline>
              </w:drawing>
            </w:r>
          </w:p>
          <w:p>
            <w:pPr>
              <w:pStyle w:val="3655"/>
              <w:adjustRightInd/>
              <w:snapToGrid/>
              <w:spacing w:line="240" w:lineRule="auto"/>
              <w:ind w:firstLine="0" w:firstLineChars="0"/>
              <w:jc w:val="center"/>
              <w:rPr>
                <w:rFonts w:hint="eastAsia"/>
                <w:b/>
                <w:bCs/>
                <w:color w:val="auto"/>
                <w:sz w:val="21"/>
                <w:szCs w:val="21"/>
              </w:rPr>
            </w:pPr>
            <w:r>
              <w:rPr>
                <w:rFonts w:hint="eastAsia"/>
                <w:b/>
                <w:bCs/>
                <w:color w:val="auto"/>
                <w:sz w:val="21"/>
                <w:szCs w:val="21"/>
              </w:rPr>
              <w:t>野黄桂</w:t>
            </w:r>
            <w:r>
              <w:rPr>
                <w:rFonts w:hint="eastAsia"/>
                <w:b/>
                <w:bCs/>
                <w:i/>
                <w:iCs/>
                <w:color w:val="auto"/>
                <w:sz w:val="21"/>
                <w:szCs w:val="21"/>
              </w:rPr>
              <w:t>Cinnamomum jensenianum Hand.-Mazz</w:t>
            </w:r>
          </w:p>
        </w:tc>
        <w:tc>
          <w:tcPr>
            <w:tcW w:w="3941" w:type="dxa"/>
            <w:noWrap w:val="0"/>
            <w:vAlign w:val="top"/>
          </w:tcPr>
          <w:p>
            <w:pPr>
              <w:pStyle w:val="3655"/>
              <w:adjustRightInd/>
              <w:snapToGrid/>
              <w:spacing w:line="240" w:lineRule="auto"/>
              <w:ind w:firstLine="0" w:firstLineChars="0"/>
              <w:jc w:val="center"/>
              <w:rPr>
                <w:rFonts w:hint="eastAsia"/>
                <w:color w:val="auto"/>
                <w:sz w:val="21"/>
                <w:szCs w:val="21"/>
              </w:rPr>
            </w:pPr>
            <w:r>
              <w:rPr>
                <w:rFonts w:hint="eastAsia"/>
                <w:color w:val="auto"/>
                <w:sz w:val="21"/>
                <w:szCs w:val="21"/>
              </w:rPr>
              <w:drawing>
                <wp:inline distT="0" distB="0" distL="114300" distR="114300">
                  <wp:extent cx="2369820" cy="1623695"/>
                  <wp:effectExtent l="0" t="0" r="11430" b="14605"/>
                  <wp:docPr id="79" name="图片 7" descr="2022_10_19_11_28_IMG_70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9" name="图片 7" descr="2022_10_19_11_28_IMG_7052"/>
                          <pic:cNvPicPr>
                            <a:picLocks noChangeAspect="true"/>
                          </pic:cNvPicPr>
                        </pic:nvPicPr>
                        <pic:blipFill>
                          <a:blip r:embed="rId42"/>
                          <a:stretch>
                            <a:fillRect/>
                          </a:stretch>
                        </pic:blipFill>
                        <pic:spPr>
                          <a:xfrm>
                            <a:off x="0" y="0"/>
                            <a:ext cx="2369820" cy="1623695"/>
                          </a:xfrm>
                          <a:prstGeom prst="rect">
                            <a:avLst/>
                          </a:prstGeom>
                          <a:noFill/>
                          <a:ln>
                            <a:noFill/>
                          </a:ln>
                        </pic:spPr>
                      </pic:pic>
                    </a:graphicData>
                  </a:graphic>
                </wp:inline>
              </w:drawing>
            </w:r>
          </w:p>
          <w:p>
            <w:pPr>
              <w:pStyle w:val="3655"/>
              <w:adjustRightInd/>
              <w:snapToGrid/>
              <w:spacing w:line="240" w:lineRule="auto"/>
              <w:ind w:firstLine="0" w:firstLineChars="0"/>
              <w:jc w:val="center"/>
              <w:rPr>
                <w:rFonts w:hint="eastAsia"/>
                <w:b/>
                <w:bCs/>
                <w:color w:val="auto"/>
                <w:sz w:val="21"/>
                <w:szCs w:val="21"/>
              </w:rPr>
            </w:pPr>
            <w:r>
              <w:rPr>
                <w:rFonts w:hint="eastAsia"/>
                <w:b/>
                <w:bCs/>
                <w:color w:val="auto"/>
                <w:sz w:val="21"/>
                <w:szCs w:val="21"/>
              </w:rPr>
              <w:t>黑壳楠</w:t>
            </w:r>
            <w:r>
              <w:rPr>
                <w:rFonts w:hint="eastAsia"/>
                <w:b/>
                <w:bCs/>
                <w:i/>
                <w:iCs/>
                <w:color w:val="auto"/>
                <w:sz w:val="21"/>
                <w:szCs w:val="21"/>
              </w:rPr>
              <w:t>Lindera megaphylla Hemsl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41" w:type="dxa"/>
            <w:noWrap w:val="0"/>
            <w:vAlign w:val="top"/>
          </w:tcPr>
          <w:p>
            <w:pPr>
              <w:pStyle w:val="3655"/>
              <w:adjustRightInd/>
              <w:snapToGrid/>
              <w:spacing w:line="240" w:lineRule="auto"/>
              <w:ind w:firstLine="0" w:firstLineChars="0"/>
              <w:jc w:val="center"/>
              <w:rPr>
                <w:rFonts w:hint="eastAsia"/>
                <w:b/>
                <w:bCs/>
                <w:color w:val="auto"/>
                <w:sz w:val="21"/>
                <w:szCs w:val="21"/>
              </w:rPr>
            </w:pPr>
            <w:r>
              <w:rPr>
                <w:rFonts w:hint="eastAsia"/>
                <w:b/>
                <w:bCs/>
                <w:color w:val="auto"/>
                <w:sz w:val="21"/>
                <w:szCs w:val="21"/>
              </w:rPr>
              <w:drawing>
                <wp:inline distT="0" distB="0" distL="114300" distR="114300">
                  <wp:extent cx="2341245" cy="1614170"/>
                  <wp:effectExtent l="0" t="0" r="1905" b="5080"/>
                  <wp:docPr id="81" name="图片 8" descr="2022_10_19_11_10_IMG_70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1" name="图片 8" descr="2022_10_19_11_10_IMG_7025"/>
                          <pic:cNvPicPr>
                            <a:picLocks noChangeAspect="true"/>
                          </pic:cNvPicPr>
                        </pic:nvPicPr>
                        <pic:blipFill>
                          <a:blip r:embed="rId43"/>
                          <a:stretch>
                            <a:fillRect/>
                          </a:stretch>
                        </pic:blipFill>
                        <pic:spPr>
                          <a:xfrm>
                            <a:off x="0" y="0"/>
                            <a:ext cx="2341245" cy="1614170"/>
                          </a:xfrm>
                          <a:prstGeom prst="rect">
                            <a:avLst/>
                          </a:prstGeom>
                          <a:noFill/>
                          <a:ln>
                            <a:noFill/>
                          </a:ln>
                        </pic:spPr>
                      </pic:pic>
                    </a:graphicData>
                  </a:graphic>
                </wp:inline>
              </w:drawing>
            </w:r>
          </w:p>
          <w:p>
            <w:pPr>
              <w:pStyle w:val="3655"/>
              <w:adjustRightInd/>
              <w:snapToGrid/>
              <w:spacing w:line="240" w:lineRule="auto"/>
              <w:ind w:firstLine="0" w:firstLineChars="0"/>
              <w:jc w:val="center"/>
              <w:rPr>
                <w:rFonts w:hint="eastAsia"/>
                <w:b/>
                <w:bCs/>
                <w:color w:val="auto"/>
                <w:sz w:val="21"/>
                <w:szCs w:val="21"/>
              </w:rPr>
            </w:pPr>
            <w:r>
              <w:rPr>
                <w:rFonts w:hint="eastAsia"/>
                <w:b/>
                <w:bCs/>
                <w:color w:val="auto"/>
                <w:sz w:val="21"/>
                <w:szCs w:val="21"/>
              </w:rPr>
              <w:t>红楠</w:t>
            </w:r>
            <w:r>
              <w:rPr>
                <w:rFonts w:hint="eastAsia"/>
                <w:b/>
                <w:bCs/>
                <w:i/>
                <w:iCs/>
                <w:color w:val="auto"/>
                <w:sz w:val="21"/>
                <w:szCs w:val="21"/>
              </w:rPr>
              <w:t>Machilus thunbergii Sieb. et Zucc.</w:t>
            </w:r>
          </w:p>
        </w:tc>
        <w:tc>
          <w:tcPr>
            <w:tcW w:w="3941" w:type="dxa"/>
            <w:noWrap w:val="0"/>
            <w:vAlign w:val="top"/>
          </w:tcPr>
          <w:p>
            <w:pPr>
              <w:pStyle w:val="3655"/>
              <w:adjustRightInd/>
              <w:snapToGrid/>
              <w:spacing w:line="240" w:lineRule="auto"/>
              <w:ind w:firstLine="0" w:firstLineChars="0"/>
              <w:jc w:val="center"/>
              <w:rPr>
                <w:rFonts w:hint="eastAsia"/>
                <w:b/>
                <w:bCs/>
                <w:color w:val="auto"/>
                <w:sz w:val="21"/>
                <w:szCs w:val="21"/>
              </w:rPr>
            </w:pPr>
            <w:r>
              <w:rPr>
                <w:rFonts w:hint="eastAsia"/>
                <w:b/>
                <w:bCs/>
                <w:color w:val="auto"/>
                <w:sz w:val="21"/>
                <w:szCs w:val="21"/>
              </w:rPr>
              <w:drawing>
                <wp:inline distT="0" distB="0" distL="114300" distR="114300">
                  <wp:extent cx="2164715" cy="1645920"/>
                  <wp:effectExtent l="0" t="0" r="6985" b="11430"/>
                  <wp:docPr id="82" name="图片 9" descr="2022_10_19_11_21_IMG_70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2" name="图片 9" descr="2022_10_19_11_21_IMG_7042"/>
                          <pic:cNvPicPr>
                            <a:picLocks noChangeAspect="true"/>
                          </pic:cNvPicPr>
                        </pic:nvPicPr>
                        <pic:blipFill>
                          <a:blip r:embed="rId44"/>
                          <a:stretch>
                            <a:fillRect/>
                          </a:stretch>
                        </pic:blipFill>
                        <pic:spPr>
                          <a:xfrm>
                            <a:off x="0" y="0"/>
                            <a:ext cx="2164715" cy="1645920"/>
                          </a:xfrm>
                          <a:prstGeom prst="rect">
                            <a:avLst/>
                          </a:prstGeom>
                          <a:noFill/>
                          <a:ln>
                            <a:noFill/>
                          </a:ln>
                        </pic:spPr>
                      </pic:pic>
                    </a:graphicData>
                  </a:graphic>
                </wp:inline>
              </w:drawing>
            </w:r>
          </w:p>
          <w:p>
            <w:pPr>
              <w:pStyle w:val="3655"/>
              <w:adjustRightInd/>
              <w:snapToGrid/>
              <w:spacing w:line="240" w:lineRule="auto"/>
              <w:ind w:firstLine="0" w:firstLineChars="0"/>
              <w:jc w:val="center"/>
              <w:rPr>
                <w:rFonts w:hint="eastAsia"/>
                <w:b/>
                <w:bCs/>
                <w:color w:val="auto"/>
                <w:sz w:val="21"/>
                <w:szCs w:val="21"/>
              </w:rPr>
            </w:pPr>
            <w:r>
              <w:rPr>
                <w:rFonts w:hint="eastAsia"/>
                <w:b/>
                <w:bCs/>
                <w:color w:val="auto"/>
                <w:sz w:val="21"/>
                <w:szCs w:val="21"/>
              </w:rPr>
              <w:t>女贞</w:t>
            </w:r>
            <w:r>
              <w:rPr>
                <w:rFonts w:hint="eastAsia"/>
                <w:b/>
                <w:bCs/>
                <w:i/>
                <w:iCs/>
                <w:color w:val="auto"/>
                <w:sz w:val="21"/>
                <w:szCs w:val="21"/>
              </w:rPr>
              <w:t>Ligustrum lucidum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882" w:type="dxa"/>
            <w:gridSpan w:val="2"/>
            <w:noWrap w:val="0"/>
            <w:vAlign w:val="top"/>
          </w:tcPr>
          <w:p>
            <w:pPr>
              <w:pStyle w:val="3655"/>
              <w:adjustRightInd/>
              <w:snapToGrid/>
              <w:spacing w:line="240" w:lineRule="auto"/>
              <w:ind w:firstLine="0" w:firstLineChars="0"/>
              <w:jc w:val="center"/>
              <w:rPr>
                <w:rFonts w:hint="eastAsia"/>
                <w:b/>
                <w:bCs/>
                <w:color w:val="auto"/>
                <w:sz w:val="21"/>
                <w:szCs w:val="21"/>
              </w:rPr>
            </w:pPr>
            <w:r>
              <w:rPr>
                <w:rFonts w:hint="eastAsia"/>
                <w:b/>
                <w:bCs/>
                <w:color w:val="auto"/>
                <w:sz w:val="21"/>
                <w:szCs w:val="21"/>
              </w:rPr>
              <w:drawing>
                <wp:inline distT="0" distB="0" distL="114300" distR="114300">
                  <wp:extent cx="2123440" cy="1593215"/>
                  <wp:effectExtent l="0" t="0" r="10160" b="6985"/>
                  <wp:docPr id="83" name="图片 10" descr="2022_10_19_11_15_IMG_70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3" name="图片 10" descr="2022_10_19_11_15_IMG_7035"/>
                          <pic:cNvPicPr>
                            <a:picLocks noChangeAspect="true"/>
                          </pic:cNvPicPr>
                        </pic:nvPicPr>
                        <pic:blipFill>
                          <a:blip r:embed="rId45"/>
                          <a:stretch>
                            <a:fillRect/>
                          </a:stretch>
                        </pic:blipFill>
                        <pic:spPr>
                          <a:xfrm>
                            <a:off x="0" y="0"/>
                            <a:ext cx="2123440" cy="1593215"/>
                          </a:xfrm>
                          <a:prstGeom prst="rect">
                            <a:avLst/>
                          </a:prstGeom>
                          <a:noFill/>
                          <a:ln>
                            <a:noFill/>
                          </a:ln>
                        </pic:spPr>
                      </pic:pic>
                    </a:graphicData>
                  </a:graphic>
                </wp:inline>
              </w:drawing>
            </w:r>
          </w:p>
          <w:p>
            <w:pPr>
              <w:pStyle w:val="3655"/>
              <w:adjustRightInd/>
              <w:snapToGrid/>
              <w:spacing w:line="240" w:lineRule="auto"/>
              <w:ind w:firstLine="0" w:firstLineChars="0"/>
              <w:jc w:val="center"/>
              <w:rPr>
                <w:rFonts w:hint="eastAsia"/>
                <w:b/>
                <w:bCs/>
                <w:color w:val="auto"/>
                <w:sz w:val="21"/>
                <w:szCs w:val="21"/>
              </w:rPr>
            </w:pPr>
            <w:r>
              <w:rPr>
                <w:rFonts w:hint="eastAsia"/>
                <w:b/>
                <w:bCs/>
                <w:color w:val="auto"/>
                <w:sz w:val="21"/>
                <w:szCs w:val="21"/>
              </w:rPr>
              <w:t>枫香树</w:t>
            </w:r>
            <w:r>
              <w:rPr>
                <w:rFonts w:hint="eastAsia"/>
                <w:b/>
                <w:bCs/>
                <w:i/>
                <w:iCs/>
                <w:color w:val="auto"/>
                <w:sz w:val="21"/>
                <w:szCs w:val="21"/>
              </w:rPr>
              <w:t xml:space="preserve">Liquidambar formosana </w:t>
            </w:r>
          </w:p>
        </w:tc>
      </w:tr>
    </w:tbl>
    <w:p>
      <w:pPr>
        <w:bidi w:val="0"/>
        <w:rPr>
          <w:rFonts w:hint="eastAsia"/>
        </w:rPr>
      </w:pPr>
      <w:r>
        <w:rPr>
          <w:rFonts w:hint="eastAsia"/>
        </w:rPr>
        <w:t>Ⅲ灌丛</w:t>
      </w:r>
    </w:p>
    <w:p>
      <w:pPr>
        <w:bidi w:val="0"/>
      </w:pPr>
      <w:r>
        <w:t>灌丛和灌草丛是评价区内分布最广泛、面积最大、最为常见的植被类型之一，评价区低山丘陵区人为活动频繁，灌丛和灌草丛多为当地森林植被破坏后产生的，评价区山脊水分缺乏，风大、土壤贫瘠，灌丛和灌草丛多为环境条件恶劣而产生的。</w:t>
      </w:r>
    </w:p>
    <w:p>
      <w:pPr>
        <w:bidi w:val="0"/>
      </w:pPr>
      <w:r>
        <w:t>灌丛为评价区最为常见的植被类型之一，其广泛分布于评价区各地，结合评价区植被类型图，根据现场调查，评价区灌丛多呈片状分布。</w:t>
      </w:r>
    </w:p>
    <w:p>
      <w:pPr>
        <w:bidi w:val="0"/>
      </w:pPr>
      <w:r>
        <w:rPr>
          <w:rFonts w:hint="eastAsia"/>
        </w:rPr>
        <w:t>1.大叶胡枝子灌丛</w:t>
      </w:r>
    </w:p>
    <w:p>
      <w:pPr>
        <w:bidi w:val="0"/>
        <w:rPr>
          <w:rFonts w:hint="eastAsia"/>
        </w:rPr>
      </w:pPr>
      <w:r>
        <w:rPr>
          <w:rFonts w:hint="eastAsia"/>
        </w:rPr>
        <w:t>本区域位于中山地带，灌木层盖度约70%，灌丛高1-1.5m，优势种群为大叶胡枝子，大叶胡枝子为直立灌木，高1-3米。枝条较粗壮，稍曲折，有明显的条棱，密被长柔毛。伴生种主要为短柄枹栎（</w:t>
      </w:r>
      <w:r>
        <w:rPr>
          <w:rFonts w:hint="eastAsia"/>
          <w:i/>
          <w:iCs/>
        </w:rPr>
        <w:t>Quercus glandulifera Bl</w:t>
      </w:r>
      <w:r>
        <w:rPr>
          <w:rFonts w:hint="eastAsia"/>
        </w:rPr>
        <w:t>）、柃木（</w:t>
      </w:r>
      <w:r>
        <w:rPr>
          <w:rFonts w:hint="eastAsia"/>
          <w:i/>
          <w:iCs/>
        </w:rPr>
        <w:t>Eurya japonica Thunb</w:t>
      </w:r>
      <w:r>
        <w:rPr>
          <w:rFonts w:hint="eastAsia"/>
        </w:rPr>
        <w:t>）、毛栗（</w:t>
      </w:r>
      <w:r>
        <w:rPr>
          <w:rFonts w:hint="eastAsia"/>
          <w:i/>
          <w:iCs/>
        </w:rPr>
        <w:t>Castanea mollissima</w:t>
      </w:r>
      <w:r>
        <w:rPr>
          <w:rFonts w:hint="eastAsia"/>
        </w:rPr>
        <w:t>）、化香（</w:t>
      </w:r>
      <w:r>
        <w:rPr>
          <w:rFonts w:hint="eastAsia"/>
          <w:i/>
          <w:iCs/>
        </w:rPr>
        <w:t>Platycarya strobilacea Sieb. et Zucc</w:t>
      </w:r>
      <w:r>
        <w:rPr>
          <w:rFonts w:hint="eastAsia"/>
        </w:rPr>
        <w:t>.）等。</w:t>
      </w:r>
    </w:p>
    <w:p>
      <w:pPr>
        <w:bidi w:val="0"/>
      </w:pPr>
      <w:r>
        <w:rPr>
          <w:rFonts w:hint="eastAsia"/>
        </w:rPr>
        <w:t>草本层高0.5m，覆盖度约70％，以芒（</w:t>
      </w:r>
      <w:r>
        <w:rPr>
          <w:rFonts w:hint="eastAsia"/>
          <w:i/>
          <w:iCs/>
        </w:rPr>
        <w:t>Miscanthus sinensis Anderss.</w:t>
      </w:r>
      <w:r>
        <w:rPr>
          <w:rFonts w:hint="eastAsia"/>
        </w:rPr>
        <w:t>）、五节芒（</w:t>
      </w:r>
      <w:r>
        <w:rPr>
          <w:rFonts w:hint="eastAsia"/>
          <w:i/>
          <w:iCs/>
        </w:rPr>
        <w:t>Miscanthus floridulus (Lab.) Warb. ex Schum. et Laut.</w:t>
      </w:r>
      <w:r>
        <w:rPr>
          <w:rFonts w:hint="eastAsia"/>
        </w:rPr>
        <w:t>）、野古草（</w:t>
      </w:r>
      <w:r>
        <w:rPr>
          <w:rFonts w:hint="eastAsia"/>
          <w:i/>
          <w:iCs/>
        </w:rPr>
        <w:t>Arundinella anomala Steud.</w:t>
      </w:r>
      <w:r>
        <w:rPr>
          <w:rFonts w:hint="eastAsia"/>
        </w:rPr>
        <w:t>）为主，高度1m左右，林地还生长有酢浆草和多种苔藓。</w:t>
      </w:r>
    </w:p>
    <w:tbl>
      <w:tblPr>
        <w:tblStyle w:val="88"/>
        <w:tblW w:w="0" w:type="auto"/>
        <w:jc w:val="center"/>
        <w:tblLayout w:type="autofit"/>
        <w:tblCellMar>
          <w:top w:w="0" w:type="dxa"/>
          <w:left w:w="108" w:type="dxa"/>
          <w:bottom w:w="0" w:type="dxa"/>
          <w:right w:w="108" w:type="dxa"/>
        </w:tblCellMar>
      </w:tblPr>
      <w:tblGrid>
        <w:gridCol w:w="7892"/>
      </w:tblGrid>
      <w:tr>
        <w:tblPrEx>
          <w:tblCellMar>
            <w:top w:w="0" w:type="dxa"/>
            <w:left w:w="108" w:type="dxa"/>
            <w:bottom w:w="0" w:type="dxa"/>
            <w:right w:w="108" w:type="dxa"/>
          </w:tblCellMar>
        </w:tblPrEx>
        <w:trPr>
          <w:jc w:val="center"/>
        </w:trPr>
        <w:tc>
          <w:tcPr>
            <w:tcW w:w="7892" w:type="dxa"/>
            <w:noWrap w:val="0"/>
            <w:vAlign w:val="top"/>
          </w:tcPr>
          <w:p>
            <w:pPr>
              <w:pStyle w:val="3655"/>
              <w:adjustRightInd/>
              <w:snapToGrid/>
              <w:spacing w:line="240" w:lineRule="auto"/>
              <w:ind w:firstLine="0" w:firstLineChars="0"/>
              <w:jc w:val="center"/>
              <w:rPr>
                <w:rFonts w:hint="eastAsia"/>
                <w:color w:val="auto"/>
                <w:sz w:val="21"/>
                <w:szCs w:val="21"/>
              </w:rPr>
            </w:pPr>
            <w:r>
              <w:rPr>
                <w:rFonts w:hint="eastAsia"/>
                <w:color w:val="auto"/>
                <w:sz w:val="21"/>
                <w:szCs w:val="21"/>
              </w:rPr>
              <w:drawing>
                <wp:inline distT="0" distB="0" distL="114300" distR="114300">
                  <wp:extent cx="4224020" cy="3091180"/>
                  <wp:effectExtent l="0" t="0" r="5080" b="13970"/>
                  <wp:docPr id="126" name="图片 11" descr="2022_10_19_10_52_IMG_70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6" name="图片 11" descr="2022_10_19_10_52_IMG_7014"/>
                          <pic:cNvPicPr>
                            <a:picLocks noChangeAspect="true"/>
                          </pic:cNvPicPr>
                        </pic:nvPicPr>
                        <pic:blipFill>
                          <a:blip r:embed="rId46"/>
                          <a:stretch>
                            <a:fillRect/>
                          </a:stretch>
                        </pic:blipFill>
                        <pic:spPr>
                          <a:xfrm>
                            <a:off x="0" y="0"/>
                            <a:ext cx="4224020" cy="3091180"/>
                          </a:xfrm>
                          <a:prstGeom prst="rect">
                            <a:avLst/>
                          </a:prstGeom>
                          <a:noFill/>
                          <a:ln>
                            <a:noFill/>
                          </a:ln>
                        </pic:spPr>
                      </pic:pic>
                    </a:graphicData>
                  </a:graphic>
                </wp:inline>
              </w:drawing>
            </w:r>
          </w:p>
          <w:p>
            <w:pPr>
              <w:pStyle w:val="3655"/>
              <w:adjustRightInd/>
              <w:snapToGrid/>
              <w:ind w:firstLine="0" w:firstLineChars="0"/>
              <w:jc w:val="center"/>
              <w:rPr>
                <w:color w:val="auto"/>
                <w:sz w:val="21"/>
                <w:szCs w:val="21"/>
              </w:rPr>
            </w:pPr>
            <w:r>
              <w:rPr>
                <w:rFonts w:hint="eastAsia"/>
                <w:b/>
                <w:bCs/>
                <w:color w:val="auto"/>
                <w:sz w:val="21"/>
                <w:szCs w:val="21"/>
              </w:rPr>
              <w:t>大叶胡枝子</w:t>
            </w:r>
            <w:r>
              <w:rPr>
                <w:rFonts w:hint="eastAsia"/>
                <w:b/>
                <w:bCs/>
                <w:i/>
                <w:iCs/>
                <w:color w:val="auto"/>
                <w:sz w:val="21"/>
                <w:szCs w:val="21"/>
              </w:rPr>
              <w:t>Lespedeza davidii</w:t>
            </w:r>
          </w:p>
        </w:tc>
      </w:tr>
    </w:tbl>
    <w:p>
      <w:pPr>
        <w:bidi w:val="0"/>
      </w:pPr>
      <w:r>
        <w:rPr>
          <w:rFonts w:hint="eastAsia"/>
        </w:rPr>
        <w:t>2.锐齿槲栎灌丛</w:t>
      </w:r>
    </w:p>
    <w:p>
      <w:pPr>
        <w:bidi w:val="0"/>
        <w:rPr>
          <w:rFonts w:hint="eastAsia"/>
        </w:rPr>
      </w:pPr>
      <w:r>
        <w:rPr>
          <w:rFonts w:hint="eastAsia"/>
        </w:rPr>
        <w:t>灌木层盖度约80%，灌丛高5-6m，优势种群为锐齿槲栎，锐齿槲栎为落叶乔木，最高可达30m，区域内该物种普遍为5-6m。伴生种主要有地菍（</w:t>
      </w:r>
      <w:r>
        <w:rPr>
          <w:rFonts w:hint="eastAsia"/>
          <w:i/>
          <w:iCs/>
        </w:rPr>
        <w:t>Melastoma dodecandrum Lour</w:t>
      </w:r>
      <w:r>
        <w:rPr>
          <w:rFonts w:hint="eastAsia"/>
        </w:rPr>
        <w:t>）、构棘（</w:t>
      </w:r>
      <w:r>
        <w:rPr>
          <w:rFonts w:hint="eastAsia"/>
          <w:i/>
          <w:iCs/>
        </w:rPr>
        <w:t>Maclura cochinchinensis (Loureiro) Corner</w:t>
      </w:r>
      <w:r>
        <w:rPr>
          <w:rFonts w:hint="eastAsia"/>
        </w:rPr>
        <w:t>）、尖连蕊茶（</w:t>
      </w:r>
      <w:r>
        <w:rPr>
          <w:rFonts w:hint="eastAsia"/>
          <w:i/>
          <w:iCs/>
        </w:rPr>
        <w:t>Camellia cuspidata</w:t>
      </w:r>
      <w:r>
        <w:rPr>
          <w:rFonts w:hint="eastAsia"/>
        </w:rPr>
        <w:t>）、枇杷叶紫珠（</w:t>
      </w:r>
      <w:r>
        <w:rPr>
          <w:rFonts w:hint="eastAsia"/>
          <w:i/>
          <w:iCs/>
        </w:rPr>
        <w:t>Callicarpa kochiana</w:t>
      </w:r>
      <w:r>
        <w:rPr>
          <w:rFonts w:hint="eastAsia"/>
        </w:rPr>
        <w:t>）等。</w:t>
      </w:r>
    </w:p>
    <w:p>
      <w:pPr>
        <w:bidi w:val="0"/>
        <w:rPr>
          <w:color w:val="auto"/>
          <w:szCs w:val="21"/>
          <w:u w:val="single"/>
        </w:rPr>
      </w:pPr>
      <w:r>
        <w:rPr>
          <w:rFonts w:hint="eastAsia"/>
        </w:rPr>
        <w:t>草本层高0.5m，覆盖度约70％，以芒（</w:t>
      </w:r>
      <w:r>
        <w:rPr>
          <w:rFonts w:hint="eastAsia"/>
          <w:i/>
          <w:iCs/>
        </w:rPr>
        <w:t>Miscanthus sinensis Anderss.</w:t>
      </w:r>
      <w:r>
        <w:rPr>
          <w:rFonts w:hint="eastAsia"/>
        </w:rPr>
        <w:t>）、五节芒（</w:t>
      </w:r>
      <w:r>
        <w:rPr>
          <w:rFonts w:hint="eastAsia"/>
          <w:i/>
          <w:iCs/>
        </w:rPr>
        <w:t>Miscanthus floridulus (Lab.) Warb. ex Schum. et Laut.</w:t>
      </w:r>
      <w:r>
        <w:rPr>
          <w:rFonts w:hint="eastAsia"/>
        </w:rPr>
        <w:t>）、野古草（</w:t>
      </w:r>
      <w:r>
        <w:rPr>
          <w:rFonts w:hint="eastAsia"/>
          <w:i/>
          <w:iCs/>
        </w:rPr>
        <w:t>Arundinella anomala Steud</w:t>
      </w:r>
      <w:r>
        <w:rPr>
          <w:rFonts w:hint="eastAsia"/>
        </w:rPr>
        <w:t>.）为主，高度1m左右，林地还生长有酢浆草和多种苔藓。</w:t>
      </w:r>
    </w:p>
    <w:tbl>
      <w:tblPr>
        <w:tblStyle w:val="88"/>
        <w:tblW w:w="0" w:type="auto"/>
        <w:jc w:val="center"/>
        <w:tblLayout w:type="autofit"/>
        <w:tblCellMar>
          <w:top w:w="0" w:type="dxa"/>
          <w:left w:w="108" w:type="dxa"/>
          <w:bottom w:w="0" w:type="dxa"/>
          <w:right w:w="108" w:type="dxa"/>
        </w:tblCellMar>
      </w:tblPr>
      <w:tblGrid>
        <w:gridCol w:w="7892"/>
      </w:tblGrid>
      <w:tr>
        <w:tblPrEx>
          <w:tblCellMar>
            <w:top w:w="0" w:type="dxa"/>
            <w:left w:w="108" w:type="dxa"/>
            <w:bottom w:w="0" w:type="dxa"/>
            <w:right w:w="108" w:type="dxa"/>
          </w:tblCellMar>
        </w:tblPrEx>
        <w:trPr>
          <w:jc w:val="center"/>
        </w:trPr>
        <w:tc>
          <w:tcPr>
            <w:tcW w:w="7892" w:type="dxa"/>
            <w:noWrap w:val="0"/>
            <w:vAlign w:val="top"/>
          </w:tcPr>
          <w:p>
            <w:pPr>
              <w:pStyle w:val="3655"/>
              <w:adjustRightInd/>
              <w:snapToGrid/>
              <w:spacing w:line="240" w:lineRule="auto"/>
              <w:ind w:firstLine="0" w:firstLineChars="0"/>
              <w:jc w:val="center"/>
              <w:rPr>
                <w:rFonts w:hint="eastAsia"/>
                <w:b/>
                <w:bCs/>
                <w:color w:val="auto"/>
                <w:sz w:val="21"/>
                <w:szCs w:val="21"/>
              </w:rPr>
            </w:pPr>
            <w:r>
              <w:rPr>
                <w:rFonts w:hint="eastAsia"/>
                <w:b/>
                <w:bCs/>
                <w:color w:val="auto"/>
                <w:sz w:val="21"/>
                <w:szCs w:val="21"/>
              </w:rPr>
              <w:drawing>
                <wp:inline distT="0" distB="0" distL="114300" distR="114300">
                  <wp:extent cx="3288665" cy="2235200"/>
                  <wp:effectExtent l="0" t="0" r="6985" b="12700"/>
                  <wp:docPr id="127" name="图片 12" descr="2022_10_19_10_52_IMG_70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7" name="图片 12" descr="2022_10_19_10_52_IMG_7013"/>
                          <pic:cNvPicPr>
                            <a:picLocks noChangeAspect="true"/>
                          </pic:cNvPicPr>
                        </pic:nvPicPr>
                        <pic:blipFill>
                          <a:blip r:embed="rId47"/>
                          <a:stretch>
                            <a:fillRect/>
                          </a:stretch>
                        </pic:blipFill>
                        <pic:spPr>
                          <a:xfrm>
                            <a:off x="0" y="0"/>
                            <a:ext cx="3288665" cy="2235200"/>
                          </a:xfrm>
                          <a:prstGeom prst="rect">
                            <a:avLst/>
                          </a:prstGeom>
                          <a:noFill/>
                          <a:ln>
                            <a:noFill/>
                          </a:ln>
                        </pic:spPr>
                      </pic:pic>
                    </a:graphicData>
                  </a:graphic>
                </wp:inline>
              </w:drawing>
            </w:r>
          </w:p>
          <w:p>
            <w:pPr>
              <w:pStyle w:val="3655"/>
              <w:adjustRightInd/>
              <w:snapToGrid/>
              <w:spacing w:line="240" w:lineRule="auto"/>
              <w:ind w:firstLine="0" w:firstLineChars="0"/>
              <w:jc w:val="center"/>
              <w:rPr>
                <w:color w:val="auto"/>
                <w:sz w:val="21"/>
                <w:szCs w:val="21"/>
              </w:rPr>
            </w:pPr>
            <w:r>
              <w:rPr>
                <w:rFonts w:hint="eastAsia"/>
                <w:b/>
                <w:bCs/>
                <w:color w:val="auto"/>
                <w:sz w:val="21"/>
                <w:szCs w:val="21"/>
              </w:rPr>
              <w:t>锐齿槲栎</w:t>
            </w:r>
            <w:r>
              <w:rPr>
                <w:rFonts w:hint="eastAsia"/>
                <w:b/>
                <w:bCs/>
                <w:i/>
                <w:iCs/>
                <w:color w:val="auto"/>
                <w:sz w:val="21"/>
                <w:szCs w:val="21"/>
              </w:rPr>
              <w:t>Quercus aliena var. acutiserrata</w:t>
            </w:r>
          </w:p>
        </w:tc>
      </w:tr>
    </w:tbl>
    <w:p>
      <w:pPr>
        <w:bidi w:val="0"/>
      </w:pPr>
      <w:r>
        <w:rPr>
          <w:rFonts w:hint="eastAsia"/>
        </w:rPr>
        <w:t>3.油茶灌丛</w:t>
      </w:r>
    </w:p>
    <w:p>
      <w:pPr>
        <w:bidi w:val="0"/>
        <w:rPr>
          <w:rFonts w:hint="eastAsia"/>
        </w:rPr>
      </w:pPr>
      <w:r>
        <w:rPr>
          <w:rFonts w:hint="eastAsia"/>
        </w:rPr>
        <w:t>灌木层盖度约70%，灌丛高2-3m，优势种群为油茶，油茶为常绿灌木，嫩枝有粗毛。叶革质，椭圆形，长圆形或倒卵形，先端尖而有钝头，有时渐尖或钝，基部楔形。伴生种主要有地菍、构棘、尖连蕊茶（</w:t>
      </w:r>
      <w:r>
        <w:rPr>
          <w:rFonts w:hint="eastAsia"/>
          <w:i/>
          <w:iCs/>
        </w:rPr>
        <w:t>Camellia cuspidata</w:t>
      </w:r>
      <w:r>
        <w:rPr>
          <w:rFonts w:hint="eastAsia"/>
        </w:rPr>
        <w:t>）、枇杷叶紫珠等。</w:t>
      </w:r>
    </w:p>
    <w:p>
      <w:pPr>
        <w:bidi w:val="0"/>
      </w:pPr>
      <w:r>
        <w:rPr>
          <w:rFonts w:hint="eastAsia"/>
        </w:rPr>
        <w:t>草本层高0.5m，覆盖度约60％，以芒（</w:t>
      </w:r>
      <w:r>
        <w:rPr>
          <w:rFonts w:hint="eastAsia"/>
          <w:i/>
          <w:iCs/>
        </w:rPr>
        <w:t>Miscanthus sinensis Anderss.</w:t>
      </w:r>
      <w:r>
        <w:rPr>
          <w:rFonts w:hint="eastAsia"/>
        </w:rPr>
        <w:t>）、五节芒（</w:t>
      </w:r>
      <w:r>
        <w:rPr>
          <w:rFonts w:hint="eastAsia"/>
          <w:i/>
          <w:iCs/>
        </w:rPr>
        <w:t>Miscanthus floridulus (Lab.) Warb. ex Schum. et Laut.</w:t>
      </w:r>
      <w:r>
        <w:rPr>
          <w:rFonts w:hint="eastAsia"/>
        </w:rPr>
        <w:t>）、野古草（</w:t>
      </w:r>
      <w:r>
        <w:rPr>
          <w:rFonts w:hint="eastAsia"/>
          <w:i/>
          <w:iCs/>
        </w:rPr>
        <w:t>Arundinella anomala Steud</w:t>
      </w:r>
      <w:r>
        <w:rPr>
          <w:rFonts w:hint="eastAsia"/>
        </w:rPr>
        <w:t>.）为主，高度1m左右，林地还生长有酢浆草和多种苔藓。</w:t>
      </w:r>
    </w:p>
    <w:tbl>
      <w:tblPr>
        <w:tblStyle w:val="88"/>
        <w:tblW w:w="5000" w:type="pct"/>
        <w:jc w:val="center"/>
        <w:tblLayout w:type="autofit"/>
        <w:tblCellMar>
          <w:top w:w="0" w:type="dxa"/>
          <w:left w:w="108" w:type="dxa"/>
          <w:bottom w:w="0" w:type="dxa"/>
          <w:right w:w="108" w:type="dxa"/>
        </w:tblCellMar>
      </w:tblPr>
      <w:tblGrid>
        <w:gridCol w:w="9287"/>
      </w:tblGrid>
      <w:tr>
        <w:tblPrEx>
          <w:tblCellMar>
            <w:top w:w="0" w:type="dxa"/>
            <w:left w:w="108" w:type="dxa"/>
            <w:bottom w:w="0" w:type="dxa"/>
            <w:right w:w="108" w:type="dxa"/>
          </w:tblCellMar>
        </w:tblPrEx>
        <w:trPr>
          <w:trHeight w:val="3335" w:hRule="atLeast"/>
          <w:jc w:val="center"/>
        </w:trPr>
        <w:tc>
          <w:tcPr>
            <w:tcW w:w="5000" w:type="pct"/>
            <w:noWrap w:val="0"/>
            <w:vAlign w:val="top"/>
          </w:tcPr>
          <w:p>
            <w:pPr>
              <w:pStyle w:val="3655"/>
              <w:adjustRightInd/>
              <w:snapToGrid/>
              <w:spacing w:line="240" w:lineRule="auto"/>
              <w:ind w:firstLine="0" w:firstLineChars="0"/>
              <w:jc w:val="center"/>
              <w:rPr>
                <w:rFonts w:hint="eastAsia"/>
                <w:b/>
                <w:bCs/>
                <w:color w:val="auto"/>
                <w:sz w:val="21"/>
                <w:szCs w:val="21"/>
              </w:rPr>
            </w:pPr>
            <w:r>
              <w:rPr>
                <w:rFonts w:hint="eastAsia"/>
                <w:b/>
                <w:bCs/>
                <w:color w:val="auto"/>
                <w:sz w:val="21"/>
                <w:szCs w:val="21"/>
              </w:rPr>
              <w:drawing>
                <wp:inline distT="0" distB="0" distL="114300" distR="114300">
                  <wp:extent cx="3351530" cy="2333625"/>
                  <wp:effectExtent l="0" t="0" r="1270" b="9525"/>
                  <wp:docPr id="88" name="图片 13" descr="2022_10_19_10_49_IMG_70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8" name="图片 13" descr="2022_10_19_10_49_IMG_7010"/>
                          <pic:cNvPicPr>
                            <a:picLocks noChangeAspect="true"/>
                          </pic:cNvPicPr>
                        </pic:nvPicPr>
                        <pic:blipFill>
                          <a:blip r:embed="rId48"/>
                          <a:stretch>
                            <a:fillRect/>
                          </a:stretch>
                        </pic:blipFill>
                        <pic:spPr>
                          <a:xfrm>
                            <a:off x="0" y="0"/>
                            <a:ext cx="3351530" cy="2333625"/>
                          </a:xfrm>
                          <a:prstGeom prst="rect">
                            <a:avLst/>
                          </a:prstGeom>
                          <a:noFill/>
                          <a:ln>
                            <a:noFill/>
                          </a:ln>
                        </pic:spPr>
                      </pic:pic>
                    </a:graphicData>
                  </a:graphic>
                </wp:inline>
              </w:drawing>
            </w:r>
          </w:p>
          <w:p>
            <w:pPr>
              <w:pStyle w:val="3655"/>
              <w:adjustRightInd/>
              <w:snapToGrid/>
              <w:spacing w:line="240" w:lineRule="auto"/>
              <w:ind w:firstLine="0" w:firstLineChars="0"/>
              <w:jc w:val="center"/>
              <w:rPr>
                <w:rFonts w:hint="eastAsia"/>
                <w:b/>
                <w:bCs/>
                <w:color w:val="auto"/>
                <w:sz w:val="21"/>
                <w:szCs w:val="21"/>
              </w:rPr>
            </w:pPr>
            <w:r>
              <w:rPr>
                <w:rFonts w:hint="eastAsia"/>
                <w:b/>
                <w:bCs/>
                <w:color w:val="auto"/>
                <w:sz w:val="21"/>
                <w:szCs w:val="21"/>
              </w:rPr>
              <w:t>油茶</w:t>
            </w:r>
            <w:r>
              <w:rPr>
                <w:rFonts w:hint="eastAsia"/>
                <w:b/>
                <w:bCs/>
                <w:i/>
                <w:iCs/>
                <w:color w:val="auto"/>
                <w:sz w:val="21"/>
                <w:szCs w:val="21"/>
              </w:rPr>
              <w:t>Camellia oleifera</w:t>
            </w:r>
          </w:p>
        </w:tc>
      </w:tr>
    </w:tbl>
    <w:p>
      <w:pPr>
        <w:bidi w:val="0"/>
      </w:pPr>
      <w:r>
        <w:rPr>
          <w:rFonts w:hint="eastAsia"/>
        </w:rPr>
        <w:t>4.橙香海桐灌丛</w:t>
      </w:r>
    </w:p>
    <w:p>
      <w:pPr>
        <w:bidi w:val="0"/>
        <w:rPr>
          <w:rFonts w:hint="eastAsia"/>
        </w:rPr>
      </w:pPr>
      <w:r>
        <w:rPr>
          <w:rFonts w:hint="eastAsia"/>
        </w:rPr>
        <w:t>灌木层盖度约70%，灌丛高4-6m，优势种群为橙香海桐，橙香海桐为灌木，最高可达6m，嫩枝被褐色柔毛，有皮孔。叶聚生于枝顶，二年生，革质；伞形花序或伞房状伞形花序顶生或近顶生，花白色，有芳香，后变黄色；蒴果圆球形，有棱或呈三角形，直径12毫米。伴生种主要有地菍、构棘、尖连蕊茶（</w:t>
      </w:r>
      <w:r>
        <w:rPr>
          <w:rFonts w:hint="eastAsia"/>
          <w:i/>
          <w:iCs/>
        </w:rPr>
        <w:t>Camellia cuspidata</w:t>
      </w:r>
      <w:r>
        <w:rPr>
          <w:rFonts w:hint="eastAsia"/>
        </w:rPr>
        <w:t>）、枇杷叶紫珠等。</w:t>
      </w:r>
    </w:p>
    <w:p>
      <w:pPr>
        <w:bidi w:val="0"/>
      </w:pPr>
      <w:r>
        <w:rPr>
          <w:rFonts w:hint="eastAsia"/>
        </w:rPr>
        <w:t>草本层高0.5m，覆盖度约60％，以芒（</w:t>
      </w:r>
      <w:r>
        <w:rPr>
          <w:rFonts w:hint="eastAsia"/>
          <w:i/>
          <w:iCs/>
        </w:rPr>
        <w:t>Miscanthus sinensis Anderss</w:t>
      </w:r>
      <w:r>
        <w:rPr>
          <w:rFonts w:hint="eastAsia"/>
        </w:rPr>
        <w:t>.）、五节芒（</w:t>
      </w:r>
      <w:r>
        <w:rPr>
          <w:rFonts w:hint="eastAsia"/>
          <w:i/>
          <w:iCs/>
        </w:rPr>
        <w:t>Miscanthus floridulus (Lab.) Warb. ex Schum. et Laut.</w:t>
      </w:r>
      <w:r>
        <w:rPr>
          <w:rFonts w:hint="eastAsia"/>
        </w:rPr>
        <w:t>）、野古草（</w:t>
      </w:r>
      <w:r>
        <w:rPr>
          <w:rFonts w:hint="eastAsia"/>
          <w:i/>
          <w:iCs/>
        </w:rPr>
        <w:t>Arundinella anomala Steud</w:t>
      </w:r>
      <w:r>
        <w:rPr>
          <w:rFonts w:hint="eastAsia"/>
        </w:rPr>
        <w:t>.）为主，高度1m左右，林地还生长有酢浆草和多种苔藓。</w:t>
      </w:r>
    </w:p>
    <w:tbl>
      <w:tblPr>
        <w:tblStyle w:val="88"/>
        <w:tblW w:w="0" w:type="auto"/>
        <w:jc w:val="center"/>
        <w:tblLayout w:type="autofit"/>
        <w:tblCellMar>
          <w:top w:w="0" w:type="dxa"/>
          <w:left w:w="108" w:type="dxa"/>
          <w:bottom w:w="0" w:type="dxa"/>
          <w:right w:w="108" w:type="dxa"/>
        </w:tblCellMar>
      </w:tblPr>
      <w:tblGrid>
        <w:gridCol w:w="7892"/>
      </w:tblGrid>
      <w:tr>
        <w:tblPrEx>
          <w:tblCellMar>
            <w:top w:w="0" w:type="dxa"/>
            <w:left w:w="108" w:type="dxa"/>
            <w:bottom w:w="0" w:type="dxa"/>
            <w:right w:w="108" w:type="dxa"/>
          </w:tblCellMar>
        </w:tblPrEx>
        <w:trPr>
          <w:jc w:val="center"/>
        </w:trPr>
        <w:tc>
          <w:tcPr>
            <w:tcW w:w="7892" w:type="dxa"/>
            <w:noWrap w:val="0"/>
            <w:vAlign w:val="top"/>
          </w:tcPr>
          <w:p>
            <w:pPr>
              <w:pStyle w:val="3655"/>
              <w:adjustRightInd/>
              <w:snapToGrid/>
              <w:spacing w:line="240" w:lineRule="auto"/>
              <w:ind w:firstLine="0" w:firstLineChars="0"/>
              <w:jc w:val="center"/>
              <w:rPr>
                <w:rFonts w:hint="eastAsia"/>
                <w:b/>
                <w:bCs/>
                <w:color w:val="auto"/>
                <w:sz w:val="21"/>
                <w:szCs w:val="21"/>
              </w:rPr>
            </w:pPr>
            <w:r>
              <w:rPr>
                <w:rFonts w:hint="eastAsia"/>
                <w:color w:val="auto"/>
                <w:sz w:val="21"/>
                <w:szCs w:val="21"/>
              </w:rPr>
              <w:drawing>
                <wp:inline distT="0" distB="0" distL="114300" distR="114300">
                  <wp:extent cx="4442460" cy="3415030"/>
                  <wp:effectExtent l="0" t="0" r="15240" b="13970"/>
                  <wp:docPr id="128" name="图片 14" descr="2022_10_19_11_09_IMG_70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8" name="图片 14" descr="2022_10_19_11_09_IMG_7021"/>
                          <pic:cNvPicPr>
                            <a:picLocks noChangeAspect="true"/>
                          </pic:cNvPicPr>
                        </pic:nvPicPr>
                        <pic:blipFill>
                          <a:blip r:embed="rId49"/>
                          <a:stretch>
                            <a:fillRect/>
                          </a:stretch>
                        </pic:blipFill>
                        <pic:spPr>
                          <a:xfrm>
                            <a:off x="0" y="0"/>
                            <a:ext cx="4442460" cy="3415030"/>
                          </a:xfrm>
                          <a:prstGeom prst="rect">
                            <a:avLst/>
                          </a:prstGeom>
                          <a:noFill/>
                          <a:ln>
                            <a:noFill/>
                          </a:ln>
                        </pic:spPr>
                      </pic:pic>
                    </a:graphicData>
                  </a:graphic>
                </wp:inline>
              </w:drawing>
            </w:r>
          </w:p>
          <w:p>
            <w:pPr>
              <w:pStyle w:val="3655"/>
              <w:adjustRightInd/>
              <w:snapToGrid/>
              <w:ind w:firstLine="0" w:firstLineChars="0"/>
              <w:jc w:val="center"/>
              <w:rPr>
                <w:color w:val="auto"/>
                <w:sz w:val="21"/>
                <w:szCs w:val="21"/>
              </w:rPr>
            </w:pPr>
            <w:r>
              <w:rPr>
                <w:rFonts w:hint="eastAsia" w:cs="Times New Roman"/>
                <w:b/>
                <w:bCs/>
                <w:color w:val="auto"/>
                <w:sz w:val="21"/>
                <w:szCs w:val="21"/>
              </w:rPr>
              <w:t>橙香海桐</w:t>
            </w:r>
            <w:r>
              <w:rPr>
                <w:rFonts w:hint="eastAsia" w:cs="Times New Roman"/>
                <w:b/>
                <w:bCs/>
                <w:i/>
                <w:iCs/>
                <w:color w:val="auto"/>
                <w:sz w:val="21"/>
                <w:szCs w:val="21"/>
              </w:rPr>
              <w:t>Pittosporum eugenioides A.Cunn</w:t>
            </w:r>
            <w:r>
              <w:rPr>
                <w:rFonts w:hint="eastAsia" w:cs="Times New Roman"/>
                <w:i/>
                <w:iCs/>
                <w:color w:val="auto"/>
                <w:sz w:val="21"/>
                <w:szCs w:val="21"/>
              </w:rPr>
              <w:t>.</w:t>
            </w:r>
          </w:p>
        </w:tc>
      </w:tr>
    </w:tbl>
    <w:p>
      <w:pPr>
        <w:pStyle w:val="2565"/>
        <w:adjustRightInd w:val="0"/>
        <w:snapToGrid w:val="0"/>
        <w:spacing w:line="460" w:lineRule="exact"/>
        <w:ind w:left="480" w:leftChars="200" w:firstLine="0" w:firstLineChars="0"/>
        <w:rPr>
          <w:rFonts w:hint="eastAsia"/>
          <w:b/>
          <w:color w:val="auto"/>
          <w:sz w:val="21"/>
          <w:szCs w:val="21"/>
        </w:rPr>
      </w:pPr>
      <w:r>
        <w:rPr>
          <w:rFonts w:hint="eastAsia"/>
          <w:b/>
          <w:color w:val="auto"/>
          <w:sz w:val="21"/>
          <w:szCs w:val="21"/>
        </w:rPr>
        <w:t>区域内其他灌丛植物：</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46"/>
        <w:gridCol w:w="4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1" w:type="dxa"/>
            <w:noWrap w:val="0"/>
            <w:vAlign w:val="top"/>
          </w:tcPr>
          <w:p>
            <w:pPr>
              <w:jc w:val="center"/>
              <w:rPr>
                <w:rFonts w:hint="eastAsia"/>
                <w:color w:val="auto"/>
                <w:szCs w:val="21"/>
              </w:rPr>
            </w:pPr>
            <w:r>
              <w:rPr>
                <w:rFonts w:hint="eastAsia"/>
                <w:color w:val="auto"/>
                <w:szCs w:val="21"/>
              </w:rPr>
              <w:drawing>
                <wp:inline distT="0" distB="0" distL="114300" distR="114300">
                  <wp:extent cx="2569845" cy="2332355"/>
                  <wp:effectExtent l="0" t="0" r="1905" b="10795"/>
                  <wp:docPr id="87" name="图片 15" descr="2022_10_19_10_48_IMG_70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7" name="图片 15" descr="2022_10_19_10_48_IMG_7004"/>
                          <pic:cNvPicPr>
                            <a:picLocks noChangeAspect="true"/>
                          </pic:cNvPicPr>
                        </pic:nvPicPr>
                        <pic:blipFill>
                          <a:blip r:embed="rId50"/>
                          <a:stretch>
                            <a:fillRect/>
                          </a:stretch>
                        </pic:blipFill>
                        <pic:spPr>
                          <a:xfrm>
                            <a:off x="0" y="0"/>
                            <a:ext cx="2569845" cy="2332355"/>
                          </a:xfrm>
                          <a:prstGeom prst="rect">
                            <a:avLst/>
                          </a:prstGeom>
                          <a:noFill/>
                          <a:ln>
                            <a:noFill/>
                          </a:ln>
                        </pic:spPr>
                      </pic:pic>
                    </a:graphicData>
                  </a:graphic>
                </wp:inline>
              </w:drawing>
            </w:r>
          </w:p>
          <w:p>
            <w:pPr>
              <w:pStyle w:val="3655"/>
              <w:adjustRightInd/>
              <w:snapToGrid/>
              <w:spacing w:line="240" w:lineRule="auto"/>
              <w:ind w:firstLine="0" w:firstLineChars="0"/>
              <w:jc w:val="center"/>
              <w:rPr>
                <w:color w:val="auto"/>
                <w:sz w:val="21"/>
                <w:szCs w:val="21"/>
              </w:rPr>
            </w:pPr>
            <w:r>
              <w:rPr>
                <w:rFonts w:hint="eastAsia"/>
                <w:b/>
                <w:bCs/>
                <w:color w:val="auto"/>
                <w:sz w:val="21"/>
                <w:szCs w:val="21"/>
              </w:rPr>
              <w:t>山橿</w:t>
            </w:r>
            <w:r>
              <w:rPr>
                <w:rFonts w:hint="eastAsia"/>
                <w:b/>
                <w:bCs/>
                <w:i/>
                <w:iCs/>
                <w:color w:val="auto"/>
                <w:sz w:val="21"/>
                <w:szCs w:val="21"/>
              </w:rPr>
              <w:t>Lindera reflexa Hemsl</w:t>
            </w:r>
          </w:p>
        </w:tc>
        <w:tc>
          <w:tcPr>
            <w:tcW w:w="3711" w:type="dxa"/>
            <w:noWrap w:val="0"/>
            <w:vAlign w:val="top"/>
          </w:tcPr>
          <w:p>
            <w:pPr>
              <w:jc w:val="center"/>
              <w:rPr>
                <w:rFonts w:hint="eastAsia"/>
                <w:color w:val="auto"/>
                <w:szCs w:val="21"/>
              </w:rPr>
            </w:pPr>
            <w:r>
              <w:rPr>
                <w:rFonts w:hint="eastAsia"/>
                <w:color w:val="auto"/>
                <w:szCs w:val="21"/>
              </w:rPr>
              <w:drawing>
                <wp:inline distT="0" distB="0" distL="114300" distR="114300">
                  <wp:extent cx="2270760" cy="2339975"/>
                  <wp:effectExtent l="0" t="0" r="15240" b="3175"/>
                  <wp:docPr id="89" name="图片 16" descr="2022_10_19_11_12_IMG_70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9" name="图片 16" descr="2022_10_19_11_12_IMG_7026"/>
                          <pic:cNvPicPr>
                            <a:picLocks noChangeAspect="true"/>
                          </pic:cNvPicPr>
                        </pic:nvPicPr>
                        <pic:blipFill>
                          <a:blip r:embed="rId51"/>
                          <a:stretch>
                            <a:fillRect/>
                          </a:stretch>
                        </pic:blipFill>
                        <pic:spPr>
                          <a:xfrm>
                            <a:off x="0" y="0"/>
                            <a:ext cx="2270760" cy="2339975"/>
                          </a:xfrm>
                          <a:prstGeom prst="rect">
                            <a:avLst/>
                          </a:prstGeom>
                          <a:noFill/>
                          <a:ln>
                            <a:noFill/>
                          </a:ln>
                        </pic:spPr>
                      </pic:pic>
                    </a:graphicData>
                  </a:graphic>
                </wp:inline>
              </w:drawing>
            </w:r>
          </w:p>
          <w:p>
            <w:pPr>
              <w:pStyle w:val="3655"/>
              <w:adjustRightInd/>
              <w:snapToGrid/>
              <w:spacing w:line="240" w:lineRule="auto"/>
              <w:ind w:firstLine="422"/>
              <w:jc w:val="center"/>
              <w:rPr>
                <w:color w:val="auto"/>
                <w:sz w:val="21"/>
                <w:szCs w:val="21"/>
              </w:rPr>
            </w:pPr>
            <w:r>
              <w:rPr>
                <w:rFonts w:hint="eastAsia" w:cs="Times New Roman"/>
                <w:b/>
                <w:bCs/>
                <w:color w:val="auto"/>
                <w:sz w:val="21"/>
                <w:szCs w:val="21"/>
              </w:rPr>
              <w:t>地棯</w:t>
            </w:r>
            <w:r>
              <w:rPr>
                <w:rFonts w:hint="eastAsia" w:cs="Times New Roman"/>
                <w:b/>
                <w:bCs/>
                <w:i/>
                <w:iCs/>
                <w:color w:val="auto"/>
                <w:sz w:val="21"/>
                <w:szCs w:val="21"/>
              </w:rPr>
              <w:t>Melastoma dodecandrum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1" w:type="dxa"/>
            <w:noWrap w:val="0"/>
            <w:vAlign w:val="top"/>
          </w:tcPr>
          <w:p>
            <w:pPr>
              <w:pStyle w:val="3655"/>
              <w:adjustRightInd/>
              <w:snapToGrid/>
              <w:spacing w:line="240" w:lineRule="auto"/>
              <w:ind w:firstLine="0" w:firstLineChars="0"/>
              <w:jc w:val="center"/>
              <w:rPr>
                <w:rFonts w:hint="eastAsia"/>
                <w:b/>
                <w:bCs/>
                <w:color w:val="auto"/>
                <w:sz w:val="21"/>
                <w:szCs w:val="21"/>
              </w:rPr>
            </w:pPr>
            <w:r>
              <w:rPr>
                <w:rFonts w:hint="eastAsia"/>
                <w:color w:val="auto"/>
                <w:sz w:val="21"/>
                <w:szCs w:val="21"/>
              </w:rPr>
              <w:drawing>
                <wp:inline distT="0" distB="0" distL="114300" distR="114300">
                  <wp:extent cx="2456815" cy="1843405"/>
                  <wp:effectExtent l="0" t="0" r="635" b="4445"/>
                  <wp:docPr id="129" name="图片 17" descr="2022_10_19_11_28_IMG_70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9" name="图片 17" descr="2022_10_19_11_28_IMG_7053"/>
                          <pic:cNvPicPr>
                            <a:picLocks noChangeAspect="true"/>
                          </pic:cNvPicPr>
                        </pic:nvPicPr>
                        <pic:blipFill>
                          <a:blip r:embed="rId52"/>
                          <a:stretch>
                            <a:fillRect/>
                          </a:stretch>
                        </pic:blipFill>
                        <pic:spPr>
                          <a:xfrm>
                            <a:off x="0" y="0"/>
                            <a:ext cx="2456815" cy="1843405"/>
                          </a:xfrm>
                          <a:prstGeom prst="rect">
                            <a:avLst/>
                          </a:prstGeom>
                          <a:noFill/>
                          <a:ln>
                            <a:noFill/>
                          </a:ln>
                        </pic:spPr>
                      </pic:pic>
                    </a:graphicData>
                  </a:graphic>
                </wp:inline>
              </w:drawing>
            </w:r>
          </w:p>
          <w:p>
            <w:pPr>
              <w:pStyle w:val="3655"/>
              <w:adjustRightInd/>
              <w:snapToGrid/>
              <w:spacing w:line="240" w:lineRule="auto"/>
              <w:ind w:firstLine="0" w:firstLineChars="0"/>
              <w:jc w:val="center"/>
              <w:rPr>
                <w:color w:val="auto"/>
                <w:sz w:val="21"/>
                <w:szCs w:val="21"/>
              </w:rPr>
            </w:pPr>
            <w:r>
              <w:rPr>
                <w:rFonts w:hint="eastAsia"/>
                <w:b/>
                <w:bCs/>
                <w:color w:val="auto"/>
                <w:sz w:val="21"/>
                <w:szCs w:val="21"/>
              </w:rPr>
              <w:t>太平莓</w:t>
            </w:r>
            <w:r>
              <w:rPr>
                <w:rFonts w:hint="eastAsia"/>
                <w:b/>
                <w:bCs/>
                <w:i/>
                <w:iCs/>
                <w:color w:val="auto"/>
                <w:sz w:val="21"/>
                <w:szCs w:val="21"/>
              </w:rPr>
              <w:t>Rubus pacificus</w:t>
            </w:r>
          </w:p>
        </w:tc>
        <w:tc>
          <w:tcPr>
            <w:tcW w:w="3711" w:type="dxa"/>
            <w:noWrap w:val="0"/>
            <w:vAlign w:val="top"/>
          </w:tcPr>
          <w:p>
            <w:pPr>
              <w:pStyle w:val="3655"/>
              <w:adjustRightInd/>
              <w:snapToGrid/>
              <w:spacing w:line="240" w:lineRule="auto"/>
              <w:ind w:firstLine="0" w:firstLineChars="0"/>
              <w:jc w:val="center"/>
              <w:rPr>
                <w:rFonts w:hint="eastAsia" w:hAnsi="宋体"/>
                <w:bCs/>
                <w:color w:val="auto"/>
                <w:sz w:val="21"/>
                <w:szCs w:val="21"/>
              </w:rPr>
            </w:pPr>
            <w:r>
              <w:rPr>
                <w:rFonts w:hint="eastAsia" w:hAnsi="宋体"/>
                <w:bCs/>
                <w:color w:val="auto"/>
                <w:sz w:val="21"/>
                <w:szCs w:val="21"/>
              </w:rPr>
              <w:drawing>
                <wp:inline distT="0" distB="0" distL="114300" distR="114300">
                  <wp:extent cx="2214880" cy="1811020"/>
                  <wp:effectExtent l="0" t="0" r="13970" b="17780"/>
                  <wp:docPr id="90" name="图片 18" descr="2022_10_19_11_12_IMG_70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0" name="图片 18" descr="2022_10_19_11_12_IMG_7029"/>
                          <pic:cNvPicPr>
                            <a:picLocks noChangeAspect="true"/>
                          </pic:cNvPicPr>
                        </pic:nvPicPr>
                        <pic:blipFill>
                          <a:blip r:embed="rId53"/>
                          <a:stretch>
                            <a:fillRect/>
                          </a:stretch>
                        </pic:blipFill>
                        <pic:spPr>
                          <a:xfrm>
                            <a:off x="0" y="0"/>
                            <a:ext cx="2214880" cy="1811020"/>
                          </a:xfrm>
                          <a:prstGeom prst="rect">
                            <a:avLst/>
                          </a:prstGeom>
                          <a:noFill/>
                          <a:ln>
                            <a:noFill/>
                          </a:ln>
                        </pic:spPr>
                      </pic:pic>
                    </a:graphicData>
                  </a:graphic>
                </wp:inline>
              </w:drawing>
            </w:r>
          </w:p>
          <w:p>
            <w:pPr>
              <w:pStyle w:val="3655"/>
              <w:adjustRightInd/>
              <w:snapToGrid/>
              <w:spacing w:line="240" w:lineRule="auto"/>
              <w:ind w:firstLine="0" w:firstLineChars="0"/>
              <w:jc w:val="center"/>
              <w:rPr>
                <w:color w:val="auto"/>
                <w:sz w:val="21"/>
                <w:szCs w:val="21"/>
              </w:rPr>
            </w:pPr>
            <w:r>
              <w:rPr>
                <w:rFonts w:hint="eastAsia" w:hAnsi="宋体"/>
                <w:b/>
                <w:color w:val="auto"/>
                <w:sz w:val="21"/>
                <w:szCs w:val="21"/>
              </w:rPr>
              <w:t>雷公鹅耳栎</w:t>
            </w:r>
            <w:r>
              <w:rPr>
                <w:rFonts w:hint="eastAsia" w:hAnsi="宋体"/>
                <w:b/>
                <w:i/>
                <w:iCs/>
                <w:color w:val="auto"/>
                <w:sz w:val="21"/>
                <w:szCs w:val="21"/>
              </w:rPr>
              <w:t>Carpinus viminea Lindley</w:t>
            </w:r>
          </w:p>
        </w:tc>
      </w:tr>
    </w:tbl>
    <w:p>
      <w:pPr>
        <w:bidi w:val="0"/>
        <w:rPr>
          <w:rFonts w:hint="eastAsia"/>
        </w:rPr>
      </w:pPr>
      <w:r>
        <w:rPr>
          <w:rFonts w:hint="eastAsia"/>
        </w:rPr>
        <w:t>2.灌草丛</w:t>
      </w:r>
    </w:p>
    <w:p>
      <w:pPr>
        <w:bidi w:val="0"/>
        <w:rPr>
          <w:rFonts w:hint="eastAsia"/>
        </w:rPr>
      </w:pPr>
      <w:r>
        <w:rPr>
          <w:rFonts w:hint="eastAsia"/>
        </w:rPr>
        <w:t>本项目区域灌草丛主要为温性灌草丛-中山灌草丛，区域内主要优势灌草丛为五节芒灌草丛、蕨灌草丛，草本以五节芒为优势，其他为野古草、野青茅、杜蒿等。五节芒（</w:t>
      </w:r>
      <w:r>
        <w:rPr>
          <w:rFonts w:hint="eastAsia"/>
          <w:i/>
          <w:iCs/>
        </w:rPr>
        <w:t>Miscanthus floridulus</w:t>
      </w:r>
      <w:r>
        <w:rPr>
          <w:rFonts w:hint="eastAsia"/>
        </w:rPr>
        <w:t xml:space="preserve"> ），高2-4米，无毛，节下具白粉，叶鞘无毛，鞘节具微毛，长于或上部者稍短于其节何；叶舌长1-2毫米，顶端具纤毛；叶片披针状线形，长25-60厘米，宽1.5-3厘米，扁平，基部渐窄或呈圆形，顶端长渐尖，中脉粗壮隆起，两面无毛，或上面基部有柔毛，边缘粗糙；</w:t>
      </w:r>
    </w:p>
    <w:tbl>
      <w:tblPr>
        <w:tblStyle w:val="88"/>
        <w:tblW w:w="0" w:type="auto"/>
        <w:jc w:val="center"/>
        <w:tblLayout w:type="autofit"/>
        <w:tblCellMar>
          <w:top w:w="0" w:type="dxa"/>
          <w:left w:w="108" w:type="dxa"/>
          <w:bottom w:w="0" w:type="dxa"/>
          <w:right w:w="108" w:type="dxa"/>
        </w:tblCellMar>
      </w:tblPr>
      <w:tblGrid>
        <w:gridCol w:w="7882"/>
      </w:tblGrid>
      <w:tr>
        <w:tblPrEx>
          <w:tblCellMar>
            <w:top w:w="0" w:type="dxa"/>
            <w:left w:w="108" w:type="dxa"/>
            <w:bottom w:w="0" w:type="dxa"/>
            <w:right w:w="108" w:type="dxa"/>
          </w:tblCellMar>
        </w:tblPrEx>
        <w:trPr>
          <w:jc w:val="center"/>
        </w:trPr>
        <w:tc>
          <w:tcPr>
            <w:tcW w:w="7882" w:type="dxa"/>
            <w:noWrap w:val="0"/>
            <w:vAlign w:val="top"/>
          </w:tcPr>
          <w:p>
            <w:pPr>
              <w:pStyle w:val="3655"/>
              <w:adjustRightInd/>
              <w:snapToGrid/>
              <w:spacing w:line="240" w:lineRule="auto"/>
              <w:ind w:firstLine="0" w:firstLineChars="0"/>
              <w:jc w:val="center"/>
              <w:rPr>
                <w:rFonts w:hint="eastAsia"/>
                <w:b/>
                <w:bCs/>
                <w:color w:val="auto"/>
                <w:sz w:val="21"/>
                <w:szCs w:val="21"/>
              </w:rPr>
            </w:pPr>
            <w:r>
              <w:rPr>
                <w:rFonts w:hint="eastAsia"/>
                <w:color w:val="auto"/>
                <w:sz w:val="21"/>
                <w:szCs w:val="21"/>
              </w:rPr>
              <w:drawing>
                <wp:inline distT="0" distB="0" distL="114300" distR="114300">
                  <wp:extent cx="2538095" cy="3139440"/>
                  <wp:effectExtent l="0" t="0" r="3810" b="14605"/>
                  <wp:docPr id="130" name="图片 19" descr="2022_10_20_09_56_IMG_71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0" name="图片 19" descr="2022_10_20_09_56_IMG_7153"/>
                          <pic:cNvPicPr>
                            <a:picLocks noChangeAspect="true"/>
                          </pic:cNvPicPr>
                        </pic:nvPicPr>
                        <pic:blipFill>
                          <a:blip r:embed="rId54"/>
                          <a:stretch>
                            <a:fillRect/>
                          </a:stretch>
                        </pic:blipFill>
                        <pic:spPr>
                          <a:xfrm rot="5400000">
                            <a:off x="0" y="0"/>
                            <a:ext cx="2538095" cy="3139440"/>
                          </a:xfrm>
                          <a:prstGeom prst="rect">
                            <a:avLst/>
                          </a:prstGeom>
                          <a:noFill/>
                          <a:ln>
                            <a:noFill/>
                          </a:ln>
                        </pic:spPr>
                      </pic:pic>
                    </a:graphicData>
                  </a:graphic>
                </wp:inline>
              </w:drawing>
            </w:r>
          </w:p>
          <w:p>
            <w:pPr>
              <w:pStyle w:val="3655"/>
              <w:adjustRightInd/>
              <w:snapToGrid/>
              <w:spacing w:line="240" w:lineRule="auto"/>
              <w:ind w:firstLine="422"/>
              <w:jc w:val="center"/>
              <w:rPr>
                <w:color w:val="auto"/>
                <w:sz w:val="21"/>
                <w:szCs w:val="21"/>
              </w:rPr>
            </w:pPr>
            <w:r>
              <w:rPr>
                <w:rFonts w:hint="eastAsia"/>
                <w:b/>
                <w:bCs/>
                <w:color w:val="auto"/>
                <w:sz w:val="21"/>
                <w:szCs w:val="21"/>
              </w:rPr>
              <w:t>五节芒</w:t>
            </w:r>
            <w:r>
              <w:rPr>
                <w:rFonts w:hint="eastAsia"/>
                <w:b/>
                <w:bCs/>
                <w:i/>
                <w:iCs/>
                <w:color w:val="auto"/>
                <w:sz w:val="21"/>
                <w:szCs w:val="21"/>
              </w:rPr>
              <w:t xml:space="preserve">Miscanthus floridulus </w:t>
            </w:r>
          </w:p>
        </w:tc>
      </w:tr>
    </w:tbl>
    <w:p>
      <w:pPr>
        <w:bidi w:val="0"/>
      </w:pPr>
      <w:r>
        <w:rPr>
          <w:rFonts w:hint="eastAsia"/>
        </w:rPr>
        <w:t>3.苔藓、蕨类</w:t>
      </w:r>
    </w:p>
    <w:p>
      <w:pPr>
        <w:bidi w:val="0"/>
        <w:rPr>
          <w:rFonts w:hint="eastAsia"/>
        </w:rPr>
      </w:pPr>
      <w:r>
        <w:rPr>
          <w:rFonts w:hint="eastAsia"/>
        </w:rPr>
        <w:t>本项目评价区域林地生有苔藓与蕨类植物，蕨类主要优势物种为毛蕨（</w:t>
      </w:r>
      <w:r>
        <w:rPr>
          <w:rFonts w:hint="eastAsia"/>
          <w:i/>
          <w:iCs/>
        </w:rPr>
        <w:t xml:space="preserve">Cyclosorus interruptus </w:t>
      </w:r>
      <w:r>
        <w:rPr>
          <w:rFonts w:hint="eastAsia"/>
        </w:rPr>
        <w:t>），其余有狗脊（</w:t>
      </w:r>
      <w:r>
        <w:rPr>
          <w:rFonts w:hint="eastAsia"/>
          <w:i/>
          <w:iCs/>
        </w:rPr>
        <w:t>Woodwardia japonica</w:t>
      </w:r>
      <w:r>
        <w:rPr>
          <w:rFonts w:hint="eastAsia"/>
        </w:rPr>
        <w:t>）、芒萁（</w:t>
      </w:r>
      <w:r>
        <w:rPr>
          <w:rFonts w:hint="eastAsia"/>
          <w:i/>
          <w:iCs/>
        </w:rPr>
        <w:t>Dicranopteris pedata</w:t>
      </w:r>
      <w:r>
        <w:rPr>
          <w:rFonts w:hint="eastAsia"/>
        </w:rPr>
        <w:t>）、石松（</w:t>
      </w:r>
      <w:r>
        <w:rPr>
          <w:rFonts w:hint="eastAsia"/>
          <w:i/>
          <w:iCs/>
        </w:rPr>
        <w:t xml:space="preserve">Lycopodium japonicum </w:t>
      </w:r>
      <w:r>
        <w:rPr>
          <w:rFonts w:hint="eastAsia"/>
        </w:rPr>
        <w:t>）、乌毛蕨（</w:t>
      </w:r>
      <w:r>
        <w:rPr>
          <w:rFonts w:hint="eastAsia"/>
          <w:i/>
          <w:iCs/>
        </w:rPr>
        <w:t>Blechnopsis orientalis</w:t>
      </w:r>
      <w:r>
        <w:rPr>
          <w:rFonts w:hint="eastAsia"/>
        </w:rPr>
        <w:t>）、乌蕨（</w:t>
      </w:r>
      <w:r>
        <w:rPr>
          <w:rFonts w:hint="eastAsia"/>
          <w:i/>
          <w:iCs/>
        </w:rPr>
        <w:t>Odontosoria chinensis</w:t>
      </w:r>
      <w:r>
        <w:rPr>
          <w:rFonts w:hint="eastAsia"/>
        </w:rPr>
        <w:t>）等，苔藓类优势物种主要为东亚小金发藓（</w:t>
      </w:r>
      <w:r>
        <w:rPr>
          <w:rFonts w:hint="eastAsia"/>
          <w:i/>
          <w:iCs/>
        </w:rPr>
        <w:t xml:space="preserve">Pogonatum inflexum </w:t>
      </w:r>
      <w:r>
        <w:rPr>
          <w:rFonts w:hint="eastAsia"/>
        </w:rPr>
        <w:t>），其余主要为卷叶牛毛藓（</w:t>
      </w:r>
      <w:r>
        <w:rPr>
          <w:rFonts w:hint="eastAsia"/>
          <w:i/>
          <w:iCs/>
        </w:rPr>
        <w:t>Ditrichum difficile</w:t>
      </w:r>
      <w:r>
        <w:rPr>
          <w:rFonts w:hint="eastAsia"/>
        </w:rPr>
        <w:t>）、云南毛齿藓（</w:t>
      </w:r>
      <w:r>
        <w:rPr>
          <w:rFonts w:hint="eastAsia"/>
          <w:i/>
          <w:iCs/>
        </w:rPr>
        <w:t>Trichodon muricatus</w:t>
      </w:r>
      <w:r>
        <w:rPr>
          <w:rFonts w:hint="eastAsia"/>
          <w:i w:val="0"/>
          <w:iCs w:val="0"/>
        </w:rPr>
        <w:t>）</w:t>
      </w:r>
      <w:r>
        <w:rPr>
          <w:rFonts w:hint="eastAsia"/>
        </w:rPr>
        <w:t>等。</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46"/>
        <w:gridCol w:w="41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46" w:type="dxa"/>
            <w:noWrap w:val="0"/>
            <w:vAlign w:val="top"/>
          </w:tcPr>
          <w:p>
            <w:pPr>
              <w:pStyle w:val="3655"/>
              <w:adjustRightInd/>
              <w:snapToGrid/>
              <w:spacing w:line="240" w:lineRule="auto"/>
              <w:ind w:firstLine="0" w:firstLineChars="0"/>
              <w:jc w:val="center"/>
              <w:rPr>
                <w:rFonts w:hint="eastAsia"/>
                <w:color w:val="auto"/>
                <w:sz w:val="21"/>
                <w:szCs w:val="21"/>
              </w:rPr>
            </w:pPr>
            <w:r>
              <w:rPr>
                <w:rFonts w:hint="eastAsia"/>
                <w:color w:val="auto"/>
                <w:sz w:val="21"/>
                <w:szCs w:val="21"/>
              </w:rPr>
              <w:drawing>
                <wp:inline distT="0" distB="0" distL="114300" distR="114300">
                  <wp:extent cx="2225675" cy="1546225"/>
                  <wp:effectExtent l="0" t="0" r="3175" b="15875"/>
                  <wp:docPr id="92" name="图片 20" descr="2022_10_19_11_25_IMG_70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2" name="图片 20" descr="2022_10_19_11_25_IMG_7047"/>
                          <pic:cNvPicPr>
                            <a:picLocks noChangeAspect="true"/>
                          </pic:cNvPicPr>
                        </pic:nvPicPr>
                        <pic:blipFill>
                          <a:blip r:embed="rId55"/>
                          <a:stretch>
                            <a:fillRect/>
                          </a:stretch>
                        </pic:blipFill>
                        <pic:spPr>
                          <a:xfrm>
                            <a:off x="0" y="0"/>
                            <a:ext cx="2225675" cy="1546225"/>
                          </a:xfrm>
                          <a:prstGeom prst="rect">
                            <a:avLst/>
                          </a:prstGeom>
                          <a:noFill/>
                          <a:ln>
                            <a:noFill/>
                          </a:ln>
                        </pic:spPr>
                      </pic:pic>
                    </a:graphicData>
                  </a:graphic>
                </wp:inline>
              </w:drawing>
            </w:r>
          </w:p>
          <w:p>
            <w:pPr>
              <w:pStyle w:val="3655"/>
              <w:adjustRightInd/>
              <w:snapToGrid/>
              <w:spacing w:line="240" w:lineRule="auto"/>
              <w:ind w:firstLine="0" w:firstLineChars="0"/>
              <w:jc w:val="center"/>
              <w:rPr>
                <w:rFonts w:hint="eastAsia"/>
                <w:color w:val="auto"/>
                <w:sz w:val="21"/>
                <w:szCs w:val="21"/>
              </w:rPr>
            </w:pPr>
            <w:r>
              <w:rPr>
                <w:rFonts w:hint="eastAsia"/>
                <w:b/>
                <w:bCs/>
                <w:color w:val="auto"/>
                <w:sz w:val="21"/>
                <w:szCs w:val="21"/>
              </w:rPr>
              <w:t>石松</w:t>
            </w:r>
            <w:r>
              <w:rPr>
                <w:rFonts w:hint="eastAsia"/>
                <w:b/>
                <w:bCs/>
                <w:i/>
                <w:iCs/>
                <w:color w:val="auto"/>
                <w:sz w:val="21"/>
                <w:szCs w:val="21"/>
              </w:rPr>
              <w:t>Lycopodium japonicum</w:t>
            </w:r>
          </w:p>
        </w:tc>
        <w:tc>
          <w:tcPr>
            <w:tcW w:w="3946" w:type="dxa"/>
            <w:noWrap w:val="0"/>
            <w:vAlign w:val="top"/>
          </w:tcPr>
          <w:p>
            <w:pPr>
              <w:jc w:val="center"/>
              <w:rPr>
                <w:rFonts w:hint="eastAsia" w:cs="宋体"/>
                <w:b/>
                <w:bCs/>
                <w:color w:val="auto"/>
                <w:szCs w:val="21"/>
              </w:rPr>
            </w:pPr>
            <w:r>
              <w:rPr>
                <w:rFonts w:hint="eastAsia" w:cs="宋体"/>
                <w:b/>
                <w:bCs/>
                <w:color w:val="auto"/>
                <w:szCs w:val="21"/>
              </w:rPr>
              <w:drawing>
                <wp:inline distT="0" distB="0" distL="114300" distR="114300">
                  <wp:extent cx="2195195" cy="1557655"/>
                  <wp:effectExtent l="0" t="0" r="14605" b="4445"/>
                  <wp:docPr id="91" name="图片 21" descr="2022_10_19_11_14_IMG_70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1" name="图片 21" descr="2022_10_19_11_14_IMG_7033"/>
                          <pic:cNvPicPr>
                            <a:picLocks noChangeAspect="true"/>
                          </pic:cNvPicPr>
                        </pic:nvPicPr>
                        <pic:blipFill>
                          <a:blip r:embed="rId56"/>
                          <a:stretch>
                            <a:fillRect/>
                          </a:stretch>
                        </pic:blipFill>
                        <pic:spPr>
                          <a:xfrm>
                            <a:off x="0" y="0"/>
                            <a:ext cx="2195195" cy="1557655"/>
                          </a:xfrm>
                          <a:prstGeom prst="rect">
                            <a:avLst/>
                          </a:prstGeom>
                          <a:noFill/>
                          <a:ln>
                            <a:noFill/>
                          </a:ln>
                        </pic:spPr>
                      </pic:pic>
                    </a:graphicData>
                  </a:graphic>
                </wp:inline>
              </w:drawing>
            </w:r>
          </w:p>
          <w:p>
            <w:pPr>
              <w:pStyle w:val="3655"/>
              <w:adjustRightInd/>
              <w:snapToGrid/>
              <w:spacing w:line="240" w:lineRule="auto"/>
              <w:ind w:firstLine="0" w:firstLineChars="0"/>
              <w:jc w:val="center"/>
              <w:rPr>
                <w:color w:val="auto"/>
                <w:sz w:val="21"/>
                <w:szCs w:val="21"/>
              </w:rPr>
            </w:pPr>
            <w:r>
              <w:rPr>
                <w:rFonts w:hint="eastAsia"/>
                <w:b/>
                <w:bCs/>
                <w:color w:val="auto"/>
                <w:sz w:val="21"/>
                <w:szCs w:val="21"/>
              </w:rPr>
              <w:t>东亚小金发藓</w:t>
            </w:r>
            <w:r>
              <w:rPr>
                <w:rFonts w:hint="eastAsia"/>
                <w:b/>
                <w:bCs/>
                <w:i/>
                <w:iCs/>
                <w:color w:val="auto"/>
                <w:sz w:val="21"/>
                <w:szCs w:val="21"/>
              </w:rPr>
              <w:t>Pogonatum inflexum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46" w:type="dxa"/>
            <w:noWrap w:val="0"/>
            <w:vAlign w:val="top"/>
          </w:tcPr>
          <w:p>
            <w:pPr>
              <w:pStyle w:val="3655"/>
              <w:adjustRightInd/>
              <w:snapToGrid/>
              <w:spacing w:line="240" w:lineRule="auto"/>
              <w:ind w:firstLine="0" w:firstLineChars="0"/>
              <w:jc w:val="center"/>
              <w:rPr>
                <w:rFonts w:hint="eastAsia"/>
                <w:b/>
                <w:bCs/>
                <w:color w:val="auto"/>
                <w:sz w:val="21"/>
                <w:szCs w:val="21"/>
              </w:rPr>
            </w:pPr>
            <w:r>
              <w:rPr>
                <w:rFonts w:hint="eastAsia"/>
                <w:b/>
                <w:bCs/>
                <w:color w:val="auto"/>
                <w:sz w:val="21"/>
                <w:szCs w:val="21"/>
              </w:rPr>
              <w:drawing>
                <wp:inline distT="0" distB="0" distL="114300" distR="114300">
                  <wp:extent cx="2266315" cy="1417955"/>
                  <wp:effectExtent l="0" t="0" r="635" b="10795"/>
                  <wp:docPr id="131" name="图片 22" descr="2022_10_19_14_18_IMG_71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1" name="图片 22" descr="2022_10_19_14_18_IMG_7140"/>
                          <pic:cNvPicPr>
                            <a:picLocks noChangeAspect="true"/>
                          </pic:cNvPicPr>
                        </pic:nvPicPr>
                        <pic:blipFill>
                          <a:blip r:embed="rId57"/>
                          <a:stretch>
                            <a:fillRect/>
                          </a:stretch>
                        </pic:blipFill>
                        <pic:spPr>
                          <a:xfrm>
                            <a:off x="0" y="0"/>
                            <a:ext cx="2266315" cy="1417955"/>
                          </a:xfrm>
                          <a:prstGeom prst="rect">
                            <a:avLst/>
                          </a:prstGeom>
                          <a:noFill/>
                          <a:ln>
                            <a:noFill/>
                          </a:ln>
                        </pic:spPr>
                      </pic:pic>
                    </a:graphicData>
                  </a:graphic>
                </wp:inline>
              </w:drawing>
            </w:r>
          </w:p>
          <w:p>
            <w:pPr>
              <w:pStyle w:val="3655"/>
              <w:adjustRightInd/>
              <w:snapToGrid/>
              <w:spacing w:line="240" w:lineRule="auto"/>
              <w:ind w:firstLine="0" w:firstLineChars="0"/>
              <w:jc w:val="center"/>
              <w:rPr>
                <w:rFonts w:hint="eastAsia"/>
                <w:b/>
                <w:bCs/>
                <w:color w:val="auto"/>
                <w:sz w:val="21"/>
                <w:szCs w:val="21"/>
              </w:rPr>
            </w:pPr>
            <w:r>
              <w:rPr>
                <w:rFonts w:hint="eastAsia"/>
                <w:b/>
                <w:bCs/>
                <w:color w:val="auto"/>
                <w:sz w:val="21"/>
                <w:szCs w:val="21"/>
              </w:rPr>
              <w:t>乌毛蕨</w:t>
            </w:r>
            <w:r>
              <w:rPr>
                <w:rFonts w:hint="eastAsia"/>
                <w:b/>
                <w:bCs/>
                <w:i/>
                <w:iCs/>
                <w:color w:val="auto"/>
                <w:sz w:val="21"/>
                <w:szCs w:val="21"/>
              </w:rPr>
              <w:t>Blechnopsis orientalis</w:t>
            </w:r>
          </w:p>
        </w:tc>
        <w:tc>
          <w:tcPr>
            <w:tcW w:w="3946" w:type="dxa"/>
            <w:noWrap w:val="0"/>
            <w:vAlign w:val="top"/>
          </w:tcPr>
          <w:p>
            <w:pPr>
              <w:pStyle w:val="3655"/>
              <w:adjustRightInd/>
              <w:snapToGrid/>
              <w:spacing w:line="240" w:lineRule="auto"/>
              <w:ind w:firstLine="0" w:firstLineChars="0"/>
              <w:jc w:val="center"/>
              <w:rPr>
                <w:rFonts w:hint="eastAsia"/>
                <w:b/>
                <w:bCs/>
                <w:color w:val="auto"/>
                <w:sz w:val="21"/>
                <w:szCs w:val="21"/>
              </w:rPr>
            </w:pPr>
            <w:r>
              <w:rPr>
                <w:rFonts w:hint="eastAsia"/>
                <w:b/>
                <w:bCs/>
                <w:color w:val="auto"/>
                <w:sz w:val="21"/>
                <w:szCs w:val="21"/>
              </w:rPr>
              <w:drawing>
                <wp:inline distT="0" distB="0" distL="114300" distR="114300">
                  <wp:extent cx="2339340" cy="1423035"/>
                  <wp:effectExtent l="0" t="0" r="3810" b="5715"/>
                  <wp:docPr id="86" name="图片 23" descr="2022_10_19_14_19_IMG_71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6" name="图片 23" descr="2022_10_19_14_19_IMG_7142"/>
                          <pic:cNvPicPr>
                            <a:picLocks noChangeAspect="true"/>
                          </pic:cNvPicPr>
                        </pic:nvPicPr>
                        <pic:blipFill>
                          <a:blip r:embed="rId58"/>
                          <a:stretch>
                            <a:fillRect/>
                          </a:stretch>
                        </pic:blipFill>
                        <pic:spPr>
                          <a:xfrm>
                            <a:off x="0" y="0"/>
                            <a:ext cx="2339340" cy="1423035"/>
                          </a:xfrm>
                          <a:prstGeom prst="rect">
                            <a:avLst/>
                          </a:prstGeom>
                          <a:noFill/>
                          <a:ln>
                            <a:noFill/>
                          </a:ln>
                        </pic:spPr>
                      </pic:pic>
                    </a:graphicData>
                  </a:graphic>
                </wp:inline>
              </w:drawing>
            </w:r>
          </w:p>
          <w:p>
            <w:pPr>
              <w:pStyle w:val="3655"/>
              <w:adjustRightInd/>
              <w:snapToGrid/>
              <w:spacing w:line="240" w:lineRule="auto"/>
              <w:ind w:firstLine="0" w:firstLineChars="0"/>
              <w:jc w:val="center"/>
              <w:rPr>
                <w:rFonts w:hint="eastAsia"/>
                <w:b/>
                <w:bCs/>
                <w:color w:val="auto"/>
                <w:sz w:val="21"/>
                <w:szCs w:val="21"/>
              </w:rPr>
            </w:pPr>
            <w:r>
              <w:rPr>
                <w:rFonts w:hint="eastAsia"/>
                <w:b/>
                <w:bCs/>
                <w:color w:val="auto"/>
                <w:sz w:val="21"/>
                <w:szCs w:val="21"/>
              </w:rPr>
              <w:t>芒萁</w:t>
            </w:r>
            <w:r>
              <w:rPr>
                <w:rFonts w:hint="eastAsia"/>
                <w:b/>
                <w:bCs/>
                <w:i/>
                <w:iCs/>
                <w:color w:val="auto"/>
                <w:sz w:val="21"/>
                <w:szCs w:val="21"/>
              </w:rPr>
              <w:t>Dicranopteris pedata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46" w:type="dxa"/>
            <w:noWrap w:val="0"/>
            <w:vAlign w:val="top"/>
          </w:tcPr>
          <w:p>
            <w:pPr>
              <w:pStyle w:val="3655"/>
              <w:adjustRightInd/>
              <w:snapToGrid/>
              <w:spacing w:line="240" w:lineRule="auto"/>
              <w:ind w:firstLine="0" w:firstLineChars="0"/>
              <w:jc w:val="center"/>
              <w:rPr>
                <w:rFonts w:hint="eastAsia"/>
                <w:b/>
                <w:bCs/>
                <w:color w:val="auto"/>
                <w:sz w:val="21"/>
                <w:szCs w:val="21"/>
              </w:rPr>
            </w:pPr>
            <w:r>
              <w:rPr>
                <w:rFonts w:hint="eastAsia"/>
                <w:b/>
                <w:bCs/>
                <w:color w:val="auto"/>
                <w:sz w:val="21"/>
                <w:szCs w:val="21"/>
              </w:rPr>
              <w:drawing>
                <wp:inline distT="0" distB="0" distL="114300" distR="114300">
                  <wp:extent cx="2360930" cy="1688465"/>
                  <wp:effectExtent l="0" t="0" r="1270" b="6985"/>
                  <wp:docPr id="93" name="图片 24" descr="2022_10_19_10_48_IMG_70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3" name="图片 24" descr="2022_10_19_10_48_IMG_7003"/>
                          <pic:cNvPicPr>
                            <a:picLocks noChangeAspect="true"/>
                          </pic:cNvPicPr>
                        </pic:nvPicPr>
                        <pic:blipFill>
                          <a:blip r:embed="rId59"/>
                          <a:stretch>
                            <a:fillRect/>
                          </a:stretch>
                        </pic:blipFill>
                        <pic:spPr>
                          <a:xfrm>
                            <a:off x="0" y="0"/>
                            <a:ext cx="2360930" cy="1688465"/>
                          </a:xfrm>
                          <a:prstGeom prst="rect">
                            <a:avLst/>
                          </a:prstGeom>
                          <a:noFill/>
                          <a:ln>
                            <a:noFill/>
                          </a:ln>
                        </pic:spPr>
                      </pic:pic>
                    </a:graphicData>
                  </a:graphic>
                </wp:inline>
              </w:drawing>
            </w:r>
          </w:p>
          <w:p>
            <w:pPr>
              <w:pStyle w:val="3655"/>
              <w:adjustRightInd/>
              <w:snapToGrid/>
              <w:spacing w:line="240" w:lineRule="auto"/>
              <w:ind w:firstLine="0" w:firstLineChars="0"/>
              <w:jc w:val="center"/>
              <w:rPr>
                <w:rFonts w:hint="eastAsia"/>
                <w:color w:val="auto"/>
                <w:sz w:val="21"/>
                <w:szCs w:val="21"/>
              </w:rPr>
            </w:pPr>
            <w:r>
              <w:rPr>
                <w:rFonts w:hint="eastAsia"/>
                <w:b/>
                <w:bCs/>
                <w:color w:val="auto"/>
                <w:sz w:val="21"/>
                <w:szCs w:val="21"/>
              </w:rPr>
              <w:t>狗脊</w:t>
            </w:r>
            <w:r>
              <w:rPr>
                <w:rFonts w:hint="eastAsia"/>
                <w:b/>
                <w:bCs/>
                <w:i/>
                <w:iCs/>
                <w:color w:val="auto"/>
                <w:sz w:val="21"/>
                <w:szCs w:val="21"/>
              </w:rPr>
              <w:t>Woodwardia japonica</w:t>
            </w:r>
          </w:p>
        </w:tc>
        <w:tc>
          <w:tcPr>
            <w:tcW w:w="3946" w:type="dxa"/>
            <w:noWrap w:val="0"/>
            <w:vAlign w:val="top"/>
          </w:tcPr>
          <w:p>
            <w:pPr>
              <w:pStyle w:val="3655"/>
              <w:adjustRightInd/>
              <w:snapToGrid/>
              <w:spacing w:line="240" w:lineRule="auto"/>
              <w:ind w:firstLine="0" w:firstLineChars="0"/>
              <w:jc w:val="center"/>
              <w:rPr>
                <w:rFonts w:hint="eastAsia"/>
                <w:b/>
                <w:bCs/>
                <w:color w:val="auto"/>
                <w:sz w:val="21"/>
                <w:szCs w:val="21"/>
              </w:rPr>
            </w:pPr>
            <w:r>
              <w:rPr>
                <w:rFonts w:hint="eastAsia"/>
                <w:color w:val="auto"/>
                <w:sz w:val="21"/>
                <w:szCs w:val="21"/>
              </w:rPr>
              <w:drawing>
                <wp:inline distT="0" distB="0" distL="114300" distR="114300">
                  <wp:extent cx="2271395" cy="1704340"/>
                  <wp:effectExtent l="0" t="0" r="14605" b="10160"/>
                  <wp:docPr id="94" name="图片 25" descr="2022_10_19_14_17_IMG_71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4" name="图片 25" descr="2022_10_19_14_17_IMG_7138"/>
                          <pic:cNvPicPr>
                            <a:picLocks noChangeAspect="true"/>
                          </pic:cNvPicPr>
                        </pic:nvPicPr>
                        <pic:blipFill>
                          <a:blip r:embed="rId60"/>
                          <a:stretch>
                            <a:fillRect/>
                          </a:stretch>
                        </pic:blipFill>
                        <pic:spPr>
                          <a:xfrm>
                            <a:off x="0" y="0"/>
                            <a:ext cx="2271395" cy="1704340"/>
                          </a:xfrm>
                          <a:prstGeom prst="rect">
                            <a:avLst/>
                          </a:prstGeom>
                          <a:noFill/>
                          <a:ln>
                            <a:noFill/>
                          </a:ln>
                        </pic:spPr>
                      </pic:pic>
                    </a:graphicData>
                  </a:graphic>
                </wp:inline>
              </w:drawing>
            </w:r>
          </w:p>
          <w:p>
            <w:pPr>
              <w:pStyle w:val="3655"/>
              <w:adjustRightInd/>
              <w:snapToGrid/>
              <w:spacing w:line="240" w:lineRule="auto"/>
              <w:ind w:firstLine="0" w:firstLineChars="0"/>
              <w:jc w:val="center"/>
              <w:rPr>
                <w:rFonts w:hint="eastAsia"/>
                <w:color w:val="auto"/>
                <w:sz w:val="21"/>
                <w:szCs w:val="21"/>
              </w:rPr>
            </w:pPr>
            <w:r>
              <w:rPr>
                <w:rFonts w:hint="eastAsia"/>
                <w:b/>
                <w:bCs/>
                <w:color w:val="auto"/>
                <w:sz w:val="21"/>
                <w:szCs w:val="21"/>
              </w:rPr>
              <w:t>乌蕨</w:t>
            </w:r>
            <w:r>
              <w:rPr>
                <w:rFonts w:hint="eastAsia"/>
                <w:b/>
                <w:bCs/>
                <w:i/>
                <w:iCs/>
                <w:color w:val="auto"/>
                <w:sz w:val="21"/>
                <w:szCs w:val="21"/>
              </w:rPr>
              <w:t>Odontosoria chinensis</w:t>
            </w:r>
          </w:p>
        </w:tc>
      </w:tr>
    </w:tbl>
    <w:p>
      <w:pPr>
        <w:bidi w:val="0"/>
        <w:rPr>
          <w:rFonts w:hint="eastAsia"/>
          <w:b/>
          <w:bCs/>
        </w:rPr>
      </w:pPr>
    </w:p>
    <w:p>
      <w:pPr>
        <w:bidi w:val="0"/>
        <w:rPr>
          <w:rFonts w:hint="eastAsia"/>
          <w:b/>
          <w:bCs/>
        </w:rPr>
      </w:pPr>
      <w:r>
        <w:rPr>
          <w:rFonts w:hint="eastAsia"/>
          <w:b/>
          <w:bCs/>
        </w:rPr>
        <w:t>3.</w:t>
      </w:r>
      <w:r>
        <w:rPr>
          <w:rFonts w:hint="eastAsia"/>
          <w:b/>
          <w:bCs/>
          <w:lang w:val="en-US" w:eastAsia="zh-CN"/>
        </w:rPr>
        <w:t>4.2</w:t>
      </w:r>
      <w:r>
        <w:rPr>
          <w:rFonts w:hint="eastAsia"/>
          <w:b/>
          <w:bCs/>
        </w:rPr>
        <w:t>.2重点保护野生植物及古树名木</w:t>
      </w:r>
    </w:p>
    <w:p>
      <w:pPr>
        <w:bidi w:val="0"/>
      </w:pPr>
      <w:r>
        <w:t>1、国家重点保护野生植物</w:t>
      </w:r>
    </w:p>
    <w:p>
      <w:pPr>
        <w:bidi w:val="0"/>
      </w:pPr>
      <w:r>
        <w:t>根据本工程所在行政区内关于国家重点保护野生植物的相关资料，结合现场调查，评价区内未发现国家或湖南省级重点保护野生植物。</w:t>
      </w:r>
    </w:p>
    <w:p>
      <w:pPr>
        <w:bidi w:val="0"/>
      </w:pPr>
      <w:r>
        <w:t>2、古树名木</w:t>
      </w:r>
    </w:p>
    <w:p>
      <w:pPr>
        <w:bidi w:val="0"/>
      </w:pPr>
      <w:r>
        <w:t>根据本工程所在行政区内关于古树名木及其分布资料，同时对项目所在区域的林业局</w:t>
      </w:r>
      <w:r>
        <w:rPr>
          <w:rFonts w:hint="eastAsia"/>
        </w:rPr>
        <w:t>收集资料</w:t>
      </w:r>
      <w:r>
        <w:t>、附近村民进行访问调查及现场实地调查，在评价区未发现古树名木分布。</w:t>
      </w:r>
    </w:p>
    <w:p>
      <w:pPr>
        <w:bidi w:val="0"/>
        <w:rPr>
          <w:rFonts w:hint="eastAsia" w:ascii="Times New Roman" w:hAnsi="Times New Roman" w:eastAsia="宋体" w:cs="Times New Roman"/>
          <w:b/>
          <w:bCs/>
        </w:rPr>
      </w:pPr>
      <w:bookmarkStart w:id="91" w:name="_Toc484687246"/>
      <w:r>
        <w:rPr>
          <w:rFonts w:hint="eastAsia" w:ascii="Times New Roman" w:hAnsi="Times New Roman" w:eastAsia="宋体" w:cs="Times New Roman"/>
          <w:b/>
          <w:bCs/>
        </w:rPr>
        <w:t>3.</w:t>
      </w:r>
      <w:r>
        <w:rPr>
          <w:rFonts w:hint="eastAsia" w:ascii="Times New Roman" w:hAnsi="Times New Roman" w:eastAsia="宋体" w:cs="Times New Roman"/>
          <w:b/>
          <w:bCs/>
          <w:lang w:val="en-US" w:eastAsia="zh-CN"/>
        </w:rPr>
        <w:t>4.2.</w:t>
      </w:r>
      <w:r>
        <w:rPr>
          <w:rFonts w:hint="eastAsia" w:ascii="Times New Roman" w:hAnsi="Times New Roman" w:eastAsia="宋体" w:cs="Times New Roman"/>
          <w:b/>
          <w:bCs/>
        </w:rPr>
        <w:t>3外来入侵物种</w:t>
      </w:r>
      <w:bookmarkEnd w:id="91"/>
    </w:p>
    <w:p>
      <w:pPr>
        <w:bidi w:val="0"/>
        <w:rPr>
          <w:rFonts w:hint="eastAsia"/>
        </w:rPr>
      </w:pPr>
      <w:r>
        <w:t>根据本工程所在行政区内关于外来入侵植物的相关资料，通过现场实地调查，在评价区发现有外来入侵种小蓬草分布，其多零星分布于评价区人为活动较多的村落及道路旁，危害程度较小</w:t>
      </w:r>
      <w:r>
        <w:rPr>
          <w:rFonts w:hint="eastAsia"/>
        </w:rPr>
        <w:t>。</w:t>
      </w:r>
    </w:p>
    <w:p>
      <w:pPr>
        <w:bidi w:val="0"/>
        <w:rPr>
          <w:b/>
          <w:bCs/>
        </w:rPr>
      </w:pPr>
      <w:r>
        <w:rPr>
          <w:rFonts w:hint="eastAsia"/>
          <w:b/>
          <w:bCs/>
        </w:rPr>
        <w:t>3.</w:t>
      </w:r>
      <w:r>
        <w:rPr>
          <w:rFonts w:hint="eastAsia"/>
          <w:b/>
          <w:bCs/>
          <w:lang w:val="en-US" w:eastAsia="zh-CN"/>
        </w:rPr>
        <w:t>4.2</w:t>
      </w:r>
      <w:r>
        <w:rPr>
          <w:rFonts w:hint="eastAsia"/>
          <w:b/>
          <w:bCs/>
        </w:rPr>
        <w:t>.4</w:t>
      </w:r>
      <w:r>
        <w:rPr>
          <w:b/>
          <w:bCs/>
        </w:rPr>
        <w:t>生态</w:t>
      </w:r>
      <w:r>
        <w:rPr>
          <w:rFonts w:hint="eastAsia"/>
          <w:b/>
          <w:bCs/>
        </w:rPr>
        <w:t>公益林</w:t>
      </w:r>
    </w:p>
    <w:p>
      <w:pPr>
        <w:bidi w:val="0"/>
      </w:pPr>
      <w:r>
        <w:t>生态公益林是指生态区位极为重要，或生态状况极为脆弱，对国土生态安全、生物多样性保护和经济社会可持续发展具有重要作用，以提供森林生态和社会服务产品为主要经营目的的重点的防护林和特种用途林。生态公益林包括水源涵养林、水土保持林、防风固沙林和护岸林、自然保护区的森林和国防林等。</w:t>
      </w:r>
    </w:p>
    <w:p>
      <w:pPr>
        <w:bidi w:val="0"/>
      </w:pPr>
      <w:r>
        <w:t>评价区内生态公益林主要为水土保持林等。通过现场调查，评价区生态公益林内植被以林地为主，主要为针叶林、阔叶林</w:t>
      </w:r>
      <w:r>
        <w:rPr>
          <w:rFonts w:hint="eastAsia"/>
        </w:rPr>
        <w:t>、油茶林</w:t>
      </w:r>
      <w:r>
        <w:t>和竹林等，区域林地覆盖率较高，森林群落郁闭度约0.</w:t>
      </w:r>
      <w:r>
        <w:rPr>
          <w:rFonts w:hint="eastAsia"/>
        </w:rPr>
        <w:t>6</w:t>
      </w:r>
      <w:r>
        <w:t>-0.</w:t>
      </w:r>
      <w:r>
        <w:rPr>
          <w:rFonts w:hint="eastAsia"/>
        </w:rPr>
        <w:t>7</w:t>
      </w:r>
      <w:r>
        <w:t>。</w:t>
      </w:r>
    </w:p>
    <w:p>
      <w:pPr>
        <w:bidi w:val="0"/>
      </w:pPr>
      <w:r>
        <w:t>根据《湖南省生态公益林管理办法》第二章保护管理第十一条及第三章经营管理第十六条、第十八条：禁止在国家级公益林地开垦、采石、采沙、取土，严格控制勘查、开采矿藏和工程建设占用、征收公益林地。除国务院有关部门和省级人民政府批准的基础设施建设项目外，不得占用、征收一级国家级公益林地。一级国家级公益林原则上不得进行生产经营活动，人工林、母树林、种子园经营，应当组织专家评审后，报省级林业主管部门备案同意。在不破坏森林生态系统功能的前提下，可以合理利用二级、三级国家级公益林和省县级公益林的林地资源，适度开展林下种植养殖和森林游憩等非木质资源开发和利用，科学发展林下经济。公益林实施禁止、限制采伐保护措施。</w:t>
      </w:r>
    </w:p>
    <w:p>
      <w:pPr>
        <w:bidi w:val="0"/>
      </w:pPr>
      <w:r>
        <w:t>根据</w:t>
      </w:r>
      <w:r>
        <w:rPr>
          <w:rFonts w:hint="eastAsia"/>
        </w:rPr>
        <w:t>蓝山县林业局选址意见</w:t>
      </w:r>
      <w:r>
        <w:t>，本工程本</w:t>
      </w:r>
      <w:r>
        <w:rPr>
          <w:rFonts w:hint="eastAsia"/>
        </w:rPr>
        <w:t>不</w:t>
      </w:r>
      <w:r>
        <w:t>占用国家一级</w:t>
      </w:r>
      <w:r>
        <w:rPr>
          <w:rFonts w:hint="eastAsia"/>
        </w:rPr>
        <w:t>公益林和二级</w:t>
      </w:r>
      <w:r>
        <w:t>公益林地</w:t>
      </w:r>
      <w:r>
        <w:rPr>
          <w:rFonts w:hint="eastAsia"/>
        </w:rPr>
        <w:t>中的有林地</w:t>
      </w:r>
      <w:r>
        <w:t>。工程建设对评价区生态公益林的影响较小，对评价区森林生态系统结构和功能的影响较小，符合生态公益林的规定。本工程征用公益林地需办理征占用公益林林地相关手续，本工程占用公益林面积需以</w:t>
      </w:r>
      <w:r>
        <w:rPr>
          <w:rFonts w:hint="eastAsia"/>
        </w:rPr>
        <w:t>蓝山县林业局</w:t>
      </w:r>
      <w:r>
        <w:t>核实为准。</w:t>
      </w:r>
    </w:p>
    <w:p>
      <w:pPr>
        <w:bidi w:val="0"/>
        <w:rPr>
          <w:b/>
          <w:bCs/>
        </w:rPr>
      </w:pPr>
      <w:bookmarkStart w:id="92" w:name="_Toc484687248"/>
      <w:r>
        <w:rPr>
          <w:rFonts w:hint="eastAsia"/>
          <w:b/>
          <w:bCs/>
        </w:rPr>
        <w:t>3.</w:t>
      </w:r>
      <w:r>
        <w:rPr>
          <w:rFonts w:hint="eastAsia"/>
          <w:b/>
          <w:bCs/>
          <w:lang w:val="en-US" w:eastAsia="zh-CN"/>
        </w:rPr>
        <w:t>4</w:t>
      </w:r>
      <w:r>
        <w:rPr>
          <w:rFonts w:hint="eastAsia"/>
          <w:b/>
          <w:bCs/>
        </w:rPr>
        <w:t>.2.5</w:t>
      </w:r>
      <w:r>
        <w:rPr>
          <w:b/>
          <w:bCs/>
        </w:rPr>
        <w:t>基本</w:t>
      </w:r>
      <w:r>
        <w:rPr>
          <w:rFonts w:hint="eastAsia"/>
          <w:b/>
          <w:bCs/>
        </w:rPr>
        <w:t>农田</w:t>
      </w:r>
      <w:bookmarkEnd w:id="92"/>
    </w:p>
    <w:p>
      <w:pPr>
        <w:bidi w:val="0"/>
      </w:pPr>
      <w:r>
        <w:t>根据</w:t>
      </w:r>
      <w:r>
        <w:rPr>
          <w:rFonts w:hint="eastAsia"/>
        </w:rPr>
        <w:t>调查</w:t>
      </w:r>
      <w:r>
        <w:t>，本工程</w:t>
      </w:r>
      <w:r>
        <w:rPr>
          <w:rFonts w:hint="eastAsia"/>
        </w:rPr>
        <w:t>主要占地类型</w:t>
      </w:r>
      <w:r>
        <w:t>林地</w:t>
      </w:r>
      <w:r>
        <w:rPr>
          <w:rFonts w:hint="eastAsia"/>
        </w:rPr>
        <w:t>、草地及其它未利用地为主</w:t>
      </w:r>
      <w:r>
        <w:t>，不占用基本农田。</w:t>
      </w:r>
    </w:p>
    <w:p>
      <w:pPr>
        <w:pStyle w:val="458"/>
        <w:ind w:firstLine="602"/>
        <w:rPr>
          <w:rFonts w:ascii="Times New Roman" w:hAnsi="Times New Roman" w:eastAsia="宋体" w:cs="Times New Roman"/>
          <w:color w:val="000000" w:themeColor="text1"/>
          <w:u w:val="none" w:color="auto"/>
          <w14:textFill>
            <w14:solidFill>
              <w14:schemeClr w14:val="tx1"/>
            </w14:solidFill>
          </w14:textFill>
        </w:rPr>
      </w:pPr>
      <w:r>
        <w:rPr>
          <w:rFonts w:ascii="Times New Roman" w:hAnsi="Times New Roman" w:eastAsia="宋体" w:cs="Times New Roman"/>
          <w:color w:val="000000" w:themeColor="text1"/>
          <w:u w:val="none" w:color="auto"/>
          <w14:textFill>
            <w14:solidFill>
              <w14:schemeClr w14:val="tx1"/>
            </w14:solidFill>
          </w14:textFill>
        </w:rPr>
        <w:t>工程占地生态环境现状</w:t>
      </w:r>
    </w:p>
    <w:p>
      <w:pPr>
        <w:bidi w:val="0"/>
        <w:rPr>
          <w:rFonts w:hint="eastAsia" w:hAnsi="宋体"/>
          <w:color w:val="auto"/>
          <w:szCs w:val="21"/>
        </w:rPr>
      </w:pPr>
      <w:r>
        <w:t>本工程占地区主要由风机基础及箱变基础区、集电线路区、</w:t>
      </w:r>
      <w:r>
        <w:rPr>
          <w:rFonts w:hint="eastAsia"/>
        </w:rPr>
        <w:t>汇集</w:t>
      </w:r>
      <w:r>
        <w:t>站区、施工道路区、施工生产区、弃渣场区等组成。</w:t>
      </w:r>
      <w:r>
        <w:rPr>
          <w:rFonts w:hint="eastAsia"/>
        </w:rPr>
        <w:t>工程</w:t>
      </w:r>
      <w:r>
        <w:rPr>
          <w:rFonts w:hint="eastAsia"/>
          <w:lang w:val="en-US" w:eastAsia="zh-CN"/>
        </w:rPr>
        <w:t>永久</w:t>
      </w:r>
      <w:r>
        <w:rPr>
          <w:rFonts w:hint="eastAsia"/>
        </w:rPr>
        <w:t>占地</w:t>
      </w:r>
      <w:r>
        <w:rPr>
          <w:rFonts w:hint="eastAsia"/>
          <w:lang w:val="en-US" w:eastAsia="zh-CN"/>
        </w:rPr>
        <w:t>区植被已被破坏，临时占地区正在进行生态恢复，现状情况</w:t>
      </w:r>
      <w:r>
        <w:rPr>
          <w:rFonts w:hint="eastAsia"/>
        </w:rPr>
        <w:t>见下</w:t>
      </w:r>
      <w:r>
        <w:rPr>
          <w:rFonts w:hint="eastAsia"/>
          <w:lang w:val="en-US" w:eastAsia="zh-CN"/>
        </w:rPr>
        <w:t>图</w:t>
      </w:r>
      <w:r>
        <w:rPr>
          <w:rFonts w:hint="eastAsia"/>
        </w:rPr>
        <w:t>。</w:t>
      </w:r>
    </w:p>
    <w:p>
      <w:pPr>
        <w:pStyle w:val="3587"/>
        <w:bidi w:val="0"/>
        <w:rPr>
          <w:rFonts w:hint="eastAsia" w:ascii="Times New Roman" w:hAnsi="Times New Roman" w:eastAsia="宋体" w:cs="Times New Roman"/>
          <w:u w:val="none" w:color="auto"/>
          <w:lang w:eastAsia="zh-CN"/>
        </w:rPr>
      </w:pPr>
      <w:r>
        <w:rPr>
          <w:rFonts w:hint="eastAsia" w:ascii="Times New Roman" w:hAnsi="Times New Roman" w:eastAsia="宋体" w:cs="Times New Roman"/>
          <w:u w:val="none" w:color="auto"/>
          <w:lang w:eastAsia="zh-CN"/>
        </w:rPr>
        <w:t>工程占地</w:t>
      </w:r>
      <w:r>
        <w:rPr>
          <w:rFonts w:hint="eastAsia" w:cs="Times New Roman"/>
          <w:u w:val="none" w:color="auto"/>
          <w:lang w:val="en-US" w:eastAsia="zh-CN"/>
        </w:rPr>
        <w:t>生态现状图</w:t>
      </w:r>
    </w:p>
    <w:tbl>
      <w:tblPr>
        <w:tblStyle w:val="88"/>
        <w:tblW w:w="93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29"/>
        <w:gridCol w:w="48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4529" w:type="dxa"/>
            <w:noWrap w:val="0"/>
            <w:vAlign w:val="center"/>
          </w:tcPr>
          <w:p>
            <w:pPr>
              <w:pStyle w:val="165"/>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drawing>
                <wp:inline distT="0" distB="0" distL="114300" distR="114300">
                  <wp:extent cx="2896870" cy="2212340"/>
                  <wp:effectExtent l="0" t="0" r="17780" b="16510"/>
                  <wp:docPr id="136"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6" name="图片 15"/>
                          <pic:cNvPicPr>
                            <a:picLocks noChangeAspect="true"/>
                          </pic:cNvPicPr>
                        </pic:nvPicPr>
                        <pic:blipFill>
                          <a:blip r:embed="rId61"/>
                          <a:srcRect t="38306"/>
                          <a:stretch>
                            <a:fillRect/>
                          </a:stretch>
                        </pic:blipFill>
                        <pic:spPr>
                          <a:xfrm>
                            <a:off x="0" y="0"/>
                            <a:ext cx="2896870" cy="2212340"/>
                          </a:xfrm>
                          <a:prstGeom prst="rect">
                            <a:avLst/>
                          </a:prstGeom>
                          <a:noFill/>
                          <a:ln>
                            <a:noFill/>
                          </a:ln>
                        </pic:spPr>
                      </pic:pic>
                    </a:graphicData>
                  </a:graphic>
                </wp:inline>
              </w:drawing>
            </w:r>
            <w:r>
              <w:rPr>
                <w:rFonts w:hint="eastAsia" w:ascii="Times New Roman" w:hAnsi="Times New Roman" w:eastAsia="宋体" w:cs="Times New Roman"/>
                <w:color w:val="auto"/>
                <w:sz w:val="21"/>
                <w:szCs w:val="21"/>
                <w:lang w:val="en-US" w:eastAsia="zh-CN"/>
              </w:rPr>
              <w:t>L</w:t>
            </w:r>
            <w:r>
              <w:rPr>
                <w:rFonts w:hint="default" w:ascii="Times New Roman" w:hAnsi="Times New Roman" w:eastAsia="宋体" w:cs="Times New Roman"/>
                <w:color w:val="auto"/>
                <w:sz w:val="21"/>
                <w:szCs w:val="21"/>
              </w:rPr>
              <w:t>1风机</w:t>
            </w:r>
          </w:p>
        </w:tc>
        <w:tc>
          <w:tcPr>
            <w:tcW w:w="4869" w:type="dxa"/>
            <w:noWrap w:val="0"/>
            <w:vAlign w:val="center"/>
          </w:tcPr>
          <w:p>
            <w:pPr>
              <w:pStyle w:val="165"/>
              <w:keepNext w:val="0"/>
              <w:keepLines w:val="0"/>
              <w:pageBreakBefore w:val="0"/>
              <w:widowControl w:val="0"/>
              <w:kinsoku/>
              <w:wordWrap/>
              <w:overflowPunct/>
              <w:topLinePunct w:val="0"/>
              <w:autoSpaceDE/>
              <w:autoSpaceDN/>
              <w:bidi w:val="0"/>
              <w:snapToGrid w:val="0"/>
              <w:spacing w:line="240" w:lineRule="auto"/>
              <w:ind w:firstLine="0" w:firstLineChars="0"/>
              <w:jc w:val="center"/>
            </w:pPr>
            <w:r>
              <w:drawing>
                <wp:inline distT="0" distB="0" distL="114300" distR="114300">
                  <wp:extent cx="2711450" cy="2423160"/>
                  <wp:effectExtent l="0" t="0" r="12700" b="15240"/>
                  <wp:docPr id="137"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7" name="图片 16"/>
                          <pic:cNvPicPr>
                            <a:picLocks noChangeAspect="true"/>
                          </pic:cNvPicPr>
                        </pic:nvPicPr>
                        <pic:blipFill>
                          <a:blip r:embed="rId62"/>
                          <a:srcRect t="11379"/>
                          <a:stretch>
                            <a:fillRect/>
                          </a:stretch>
                        </pic:blipFill>
                        <pic:spPr>
                          <a:xfrm>
                            <a:off x="0" y="0"/>
                            <a:ext cx="2711450" cy="24231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rPr>
            </w:pPr>
            <w:r>
              <w:rPr>
                <w:rFonts w:hint="eastAsia" w:ascii="Times New Roman" w:hAnsi="Times New Roman" w:eastAsia="宋体" w:cs="Times New Roman"/>
                <w:color w:val="auto"/>
                <w:sz w:val="21"/>
                <w:szCs w:val="21"/>
                <w:lang w:val="en-US" w:eastAsia="zh-CN"/>
              </w:rPr>
              <w:t>L</w:t>
            </w:r>
            <w:r>
              <w:rPr>
                <w:rFonts w:hint="default" w:ascii="Times New Roman" w:hAnsi="Times New Roman" w:eastAsia="宋体" w:cs="Times New Roman"/>
                <w:color w:val="auto"/>
                <w:sz w:val="21"/>
                <w:szCs w:val="21"/>
              </w:rPr>
              <w:t>2</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L3</w:t>
            </w:r>
            <w:r>
              <w:rPr>
                <w:rFonts w:hint="default" w:ascii="Times New Roman" w:hAnsi="Times New Roman" w:eastAsia="宋体" w:cs="Times New Roman"/>
                <w:color w:val="auto"/>
                <w:sz w:val="21"/>
                <w:szCs w:val="21"/>
              </w:rPr>
              <w:t>风机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29" w:type="dxa"/>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pPr>
            <w:r>
              <w:drawing>
                <wp:inline distT="0" distB="0" distL="114300" distR="114300">
                  <wp:extent cx="3107055" cy="2907665"/>
                  <wp:effectExtent l="0" t="0" r="17145" b="6985"/>
                  <wp:docPr id="138"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8" name="图片 17"/>
                          <pic:cNvPicPr>
                            <a:picLocks noChangeAspect="true"/>
                          </pic:cNvPicPr>
                        </pic:nvPicPr>
                        <pic:blipFill>
                          <a:blip r:embed="rId63"/>
                          <a:srcRect t="3964"/>
                          <a:stretch>
                            <a:fillRect/>
                          </a:stretch>
                        </pic:blipFill>
                        <pic:spPr>
                          <a:xfrm>
                            <a:off x="0" y="0"/>
                            <a:ext cx="3107055" cy="2907665"/>
                          </a:xfrm>
                          <a:prstGeom prst="rect">
                            <a:avLst/>
                          </a:prstGeom>
                          <a:noFill/>
                          <a:ln>
                            <a:noFill/>
                          </a:ln>
                        </pic:spPr>
                      </pic:pic>
                    </a:graphicData>
                  </a:graphic>
                </wp:inline>
              </w:drawing>
            </w:r>
          </w:p>
          <w:p>
            <w:pPr>
              <w:pStyle w:val="33"/>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rPr>
            </w:pPr>
            <w:r>
              <w:rPr>
                <w:rFonts w:hint="eastAsia" w:ascii="Times New Roman" w:hAnsi="Times New Roman" w:eastAsia="宋体" w:cs="Times New Roman"/>
                <w:color w:val="auto"/>
                <w:sz w:val="21"/>
                <w:szCs w:val="21"/>
                <w:lang w:val="en-US" w:eastAsia="zh-CN"/>
              </w:rPr>
              <w:t>L</w:t>
            </w:r>
            <w:r>
              <w:rPr>
                <w:rFonts w:hint="default" w:ascii="Times New Roman" w:hAnsi="Times New Roman" w:eastAsia="宋体" w:cs="Times New Roman"/>
                <w:color w:val="auto"/>
                <w:sz w:val="21"/>
                <w:szCs w:val="21"/>
              </w:rPr>
              <w:t>4</w:t>
            </w:r>
            <w:r>
              <w:rPr>
                <w:rFonts w:hint="eastAsia" w:ascii="Times New Roman" w:hAnsi="Times New Roman" w:eastAsia="宋体" w:cs="Times New Roman"/>
                <w:color w:val="auto"/>
                <w:sz w:val="21"/>
                <w:szCs w:val="21"/>
                <w:lang w:val="en-US" w:eastAsia="zh-CN"/>
              </w:rPr>
              <w:t>、L5</w:t>
            </w:r>
            <w:r>
              <w:rPr>
                <w:rFonts w:hint="default" w:ascii="Times New Roman" w:hAnsi="Times New Roman" w:eastAsia="宋体" w:cs="Times New Roman"/>
                <w:color w:val="auto"/>
                <w:sz w:val="21"/>
                <w:szCs w:val="21"/>
              </w:rPr>
              <w:t>风机</w:t>
            </w:r>
          </w:p>
        </w:tc>
        <w:tc>
          <w:tcPr>
            <w:tcW w:w="4869" w:type="dxa"/>
            <w:noWrap w:val="0"/>
            <w:vAlign w:val="center"/>
          </w:tcPr>
          <w:p>
            <w:pPr>
              <w:pStyle w:val="165"/>
              <w:keepNext w:val="0"/>
              <w:keepLines w:val="0"/>
              <w:pageBreakBefore w:val="0"/>
              <w:widowControl w:val="0"/>
              <w:kinsoku/>
              <w:wordWrap/>
              <w:overflowPunct/>
              <w:topLinePunct w:val="0"/>
              <w:autoSpaceDE/>
              <w:autoSpaceDN/>
              <w:bidi w:val="0"/>
              <w:snapToGrid w:val="0"/>
              <w:spacing w:line="240" w:lineRule="auto"/>
              <w:ind w:firstLine="0" w:firstLineChars="0"/>
              <w:jc w:val="center"/>
            </w:pPr>
            <w:r>
              <w:drawing>
                <wp:inline distT="0" distB="0" distL="114300" distR="114300">
                  <wp:extent cx="3034665" cy="2113915"/>
                  <wp:effectExtent l="0" t="0" r="13335" b="635"/>
                  <wp:docPr id="134"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4" name="图片 13"/>
                          <pic:cNvPicPr>
                            <a:picLocks noChangeAspect="true"/>
                          </pic:cNvPicPr>
                        </pic:nvPicPr>
                        <pic:blipFill>
                          <a:blip r:embed="rId64"/>
                          <a:srcRect t="45805"/>
                          <a:stretch>
                            <a:fillRect/>
                          </a:stretch>
                        </pic:blipFill>
                        <pic:spPr>
                          <a:xfrm>
                            <a:off x="0" y="0"/>
                            <a:ext cx="3034665" cy="21139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rPr>
            </w:pPr>
            <w:r>
              <w:rPr>
                <w:rFonts w:hint="eastAsia" w:ascii="Times New Roman" w:hAnsi="Times New Roman" w:eastAsia="宋体" w:cs="Times New Roman"/>
                <w:color w:val="auto"/>
                <w:sz w:val="21"/>
                <w:szCs w:val="21"/>
                <w:lang w:val="en-US" w:eastAsia="zh-CN"/>
              </w:rPr>
              <w:t>L</w:t>
            </w:r>
            <w:r>
              <w:rPr>
                <w:rFonts w:hint="default" w:ascii="Times New Roman" w:hAnsi="Times New Roman" w:eastAsia="宋体" w:cs="Times New Roman"/>
                <w:color w:val="auto"/>
                <w:sz w:val="21"/>
                <w:szCs w:val="21"/>
              </w:rPr>
              <w:t>6风机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29" w:type="dxa"/>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pPr>
            <w:r>
              <w:drawing>
                <wp:inline distT="0" distB="0" distL="114300" distR="114300">
                  <wp:extent cx="2823845" cy="2063750"/>
                  <wp:effectExtent l="0" t="0" r="14605" b="12700"/>
                  <wp:docPr id="135"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5" name="图片 14"/>
                          <pic:cNvPicPr>
                            <a:picLocks noChangeAspect="true"/>
                          </pic:cNvPicPr>
                        </pic:nvPicPr>
                        <pic:blipFill>
                          <a:blip r:embed="rId65"/>
                          <a:srcRect t="36568" b="6825"/>
                          <a:stretch>
                            <a:fillRect/>
                          </a:stretch>
                        </pic:blipFill>
                        <pic:spPr>
                          <a:xfrm>
                            <a:off x="0" y="0"/>
                            <a:ext cx="2823845" cy="2063750"/>
                          </a:xfrm>
                          <a:prstGeom prst="rect">
                            <a:avLst/>
                          </a:prstGeom>
                          <a:noFill/>
                          <a:ln>
                            <a:noFill/>
                          </a:ln>
                        </pic:spPr>
                      </pic:pic>
                    </a:graphicData>
                  </a:graphic>
                </wp:inline>
              </w:drawing>
            </w:r>
          </w:p>
          <w:p>
            <w:pPr>
              <w:pStyle w:val="33"/>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rPr>
            </w:pPr>
            <w:r>
              <w:rPr>
                <w:rFonts w:hint="eastAsia" w:ascii="Times New Roman" w:hAnsi="Times New Roman" w:eastAsia="宋体" w:cs="Times New Roman"/>
                <w:color w:val="auto"/>
                <w:sz w:val="21"/>
                <w:szCs w:val="21"/>
                <w:lang w:val="en-US" w:eastAsia="zh-CN"/>
              </w:rPr>
              <w:t>L</w:t>
            </w:r>
            <w:r>
              <w:rPr>
                <w:rFonts w:hint="default" w:ascii="Times New Roman" w:hAnsi="Times New Roman" w:eastAsia="宋体" w:cs="Times New Roman"/>
                <w:color w:val="auto"/>
                <w:sz w:val="21"/>
                <w:szCs w:val="21"/>
              </w:rPr>
              <w:t>7风机</w:t>
            </w:r>
          </w:p>
        </w:tc>
        <w:tc>
          <w:tcPr>
            <w:tcW w:w="4869" w:type="dxa"/>
            <w:noWrap w:val="0"/>
            <w:vAlign w:val="center"/>
          </w:tcPr>
          <w:p>
            <w:pPr>
              <w:pStyle w:val="165"/>
              <w:keepNext w:val="0"/>
              <w:keepLines w:val="0"/>
              <w:pageBreakBefore w:val="0"/>
              <w:widowControl w:val="0"/>
              <w:kinsoku/>
              <w:wordWrap/>
              <w:overflowPunct/>
              <w:topLinePunct w:val="0"/>
              <w:autoSpaceDE/>
              <w:autoSpaceDN/>
              <w:bidi w:val="0"/>
              <w:snapToGrid w:val="0"/>
              <w:spacing w:line="240" w:lineRule="auto"/>
              <w:ind w:firstLine="0" w:firstLineChars="0"/>
              <w:jc w:val="center"/>
            </w:pPr>
            <w:r>
              <w:drawing>
                <wp:inline distT="0" distB="0" distL="114300" distR="114300">
                  <wp:extent cx="2818765" cy="2094230"/>
                  <wp:effectExtent l="0" t="0" r="635" b="1270"/>
                  <wp:docPr id="139"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9" name="图片 10"/>
                          <pic:cNvPicPr>
                            <a:picLocks noChangeAspect="true"/>
                          </pic:cNvPicPr>
                        </pic:nvPicPr>
                        <pic:blipFill>
                          <a:blip r:embed="rId66"/>
                          <a:srcRect t="31320" b="11021"/>
                          <a:stretch>
                            <a:fillRect/>
                          </a:stretch>
                        </pic:blipFill>
                        <pic:spPr>
                          <a:xfrm>
                            <a:off x="0" y="0"/>
                            <a:ext cx="2818765" cy="20942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rPr>
            </w:pPr>
            <w:r>
              <w:rPr>
                <w:rFonts w:hint="eastAsia" w:ascii="Times New Roman" w:hAnsi="Times New Roman" w:eastAsia="宋体" w:cs="Times New Roman"/>
                <w:color w:val="auto"/>
                <w:sz w:val="21"/>
                <w:szCs w:val="21"/>
                <w:lang w:val="en-US" w:eastAsia="zh-CN"/>
              </w:rPr>
              <w:t>L</w:t>
            </w:r>
            <w:r>
              <w:rPr>
                <w:rFonts w:hint="default" w:ascii="Times New Roman" w:hAnsi="Times New Roman" w:eastAsia="宋体" w:cs="Times New Roman"/>
                <w:color w:val="auto"/>
                <w:sz w:val="21"/>
                <w:szCs w:val="21"/>
              </w:rPr>
              <w:t>8风机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29" w:type="dxa"/>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pPr>
            <w:r>
              <w:drawing>
                <wp:inline distT="0" distB="0" distL="114300" distR="114300">
                  <wp:extent cx="2764790" cy="2529840"/>
                  <wp:effectExtent l="0" t="0" r="16510" b="3810"/>
                  <wp:docPr id="141"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1" name="图片 8"/>
                          <pic:cNvPicPr>
                            <a:picLocks noChangeAspect="true"/>
                          </pic:cNvPicPr>
                        </pic:nvPicPr>
                        <pic:blipFill>
                          <a:blip r:embed="rId67"/>
                          <a:srcRect t="35477"/>
                          <a:stretch>
                            <a:fillRect/>
                          </a:stretch>
                        </pic:blipFill>
                        <pic:spPr>
                          <a:xfrm>
                            <a:off x="0" y="0"/>
                            <a:ext cx="2764790" cy="2529840"/>
                          </a:xfrm>
                          <a:prstGeom prst="rect">
                            <a:avLst/>
                          </a:prstGeom>
                          <a:noFill/>
                          <a:ln>
                            <a:noFill/>
                          </a:ln>
                        </pic:spPr>
                      </pic:pic>
                    </a:graphicData>
                  </a:graphic>
                </wp:inline>
              </w:drawing>
            </w:r>
          </w:p>
          <w:p>
            <w:pPr>
              <w:pStyle w:val="33"/>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rPr>
            </w:pPr>
            <w:r>
              <w:rPr>
                <w:rFonts w:hint="eastAsia" w:ascii="Times New Roman" w:hAnsi="Times New Roman" w:eastAsia="宋体" w:cs="Times New Roman"/>
                <w:color w:val="auto"/>
                <w:sz w:val="21"/>
                <w:szCs w:val="21"/>
                <w:lang w:val="en-US" w:eastAsia="zh-CN"/>
              </w:rPr>
              <w:t>L</w:t>
            </w:r>
            <w:r>
              <w:rPr>
                <w:rFonts w:hint="default" w:ascii="Times New Roman" w:hAnsi="Times New Roman" w:eastAsia="宋体" w:cs="Times New Roman"/>
                <w:color w:val="auto"/>
                <w:sz w:val="21"/>
                <w:szCs w:val="21"/>
              </w:rPr>
              <w:t>9风机</w:t>
            </w:r>
          </w:p>
        </w:tc>
        <w:tc>
          <w:tcPr>
            <w:tcW w:w="4869" w:type="dxa"/>
            <w:noWrap w:val="0"/>
            <w:vAlign w:val="center"/>
          </w:tcPr>
          <w:p>
            <w:pPr>
              <w:pStyle w:val="165"/>
              <w:keepNext w:val="0"/>
              <w:keepLines w:val="0"/>
              <w:pageBreakBefore w:val="0"/>
              <w:widowControl w:val="0"/>
              <w:kinsoku/>
              <w:wordWrap/>
              <w:overflowPunct/>
              <w:topLinePunct w:val="0"/>
              <w:autoSpaceDE/>
              <w:autoSpaceDN/>
              <w:bidi w:val="0"/>
              <w:snapToGrid w:val="0"/>
              <w:spacing w:line="240" w:lineRule="auto"/>
              <w:ind w:firstLine="0" w:firstLineChars="0"/>
              <w:jc w:val="center"/>
            </w:pPr>
            <w:r>
              <w:drawing>
                <wp:inline distT="0" distB="0" distL="114300" distR="114300">
                  <wp:extent cx="2687955" cy="2494280"/>
                  <wp:effectExtent l="0" t="0" r="17145" b="1270"/>
                  <wp:docPr id="146"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6" name="图片 9"/>
                          <pic:cNvPicPr>
                            <a:picLocks noChangeAspect="true"/>
                          </pic:cNvPicPr>
                        </pic:nvPicPr>
                        <pic:blipFill>
                          <a:blip r:embed="rId68"/>
                          <a:srcRect t="15288" b="660"/>
                          <a:stretch>
                            <a:fillRect/>
                          </a:stretch>
                        </pic:blipFill>
                        <pic:spPr>
                          <a:xfrm>
                            <a:off x="0" y="0"/>
                            <a:ext cx="2687955" cy="24942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rPr>
            </w:pPr>
            <w:r>
              <w:rPr>
                <w:rFonts w:hint="eastAsia" w:ascii="Times New Roman" w:hAnsi="Times New Roman" w:eastAsia="宋体" w:cs="Times New Roman"/>
                <w:color w:val="auto"/>
                <w:sz w:val="21"/>
                <w:szCs w:val="21"/>
                <w:lang w:val="en-US" w:eastAsia="zh-CN"/>
              </w:rPr>
              <w:t>L</w:t>
            </w:r>
            <w:r>
              <w:rPr>
                <w:rFonts w:hint="default" w:ascii="Times New Roman" w:hAnsi="Times New Roman" w:eastAsia="宋体" w:cs="Times New Roman"/>
                <w:color w:val="auto"/>
                <w:sz w:val="21"/>
                <w:szCs w:val="21"/>
              </w:rPr>
              <w:t>10</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L11</w:t>
            </w:r>
            <w:r>
              <w:rPr>
                <w:rFonts w:hint="default" w:ascii="Times New Roman" w:hAnsi="Times New Roman" w:eastAsia="宋体" w:cs="Times New Roman"/>
                <w:color w:val="auto"/>
                <w:sz w:val="21"/>
                <w:szCs w:val="21"/>
              </w:rPr>
              <w:t>风机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29" w:type="dxa"/>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pPr>
            <w:r>
              <w:drawing>
                <wp:inline distT="0" distB="0" distL="114300" distR="114300">
                  <wp:extent cx="2564130" cy="2761615"/>
                  <wp:effectExtent l="0" t="0" r="7620" b="635"/>
                  <wp:docPr id="73"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3" name="图片 4"/>
                          <pic:cNvPicPr>
                            <a:picLocks noChangeAspect="true"/>
                          </pic:cNvPicPr>
                        </pic:nvPicPr>
                        <pic:blipFill>
                          <a:blip r:embed="rId69"/>
                          <a:srcRect t="9074"/>
                          <a:stretch>
                            <a:fillRect/>
                          </a:stretch>
                        </pic:blipFill>
                        <pic:spPr>
                          <a:xfrm>
                            <a:off x="0" y="0"/>
                            <a:ext cx="2564130" cy="2761615"/>
                          </a:xfrm>
                          <a:prstGeom prst="rect">
                            <a:avLst/>
                          </a:prstGeom>
                          <a:noFill/>
                          <a:ln>
                            <a:noFill/>
                          </a:ln>
                        </pic:spPr>
                      </pic:pic>
                    </a:graphicData>
                  </a:graphic>
                </wp:inline>
              </w:drawing>
            </w:r>
          </w:p>
          <w:p>
            <w:pPr>
              <w:pStyle w:val="33"/>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rPr>
            </w:pPr>
            <w:r>
              <w:rPr>
                <w:rFonts w:hint="eastAsia" w:ascii="Times New Roman" w:hAnsi="Times New Roman" w:eastAsia="宋体" w:cs="Times New Roman"/>
                <w:color w:val="auto"/>
                <w:sz w:val="21"/>
                <w:szCs w:val="21"/>
                <w:lang w:val="en-US" w:eastAsia="zh-CN"/>
              </w:rPr>
              <w:t>L</w:t>
            </w:r>
            <w:r>
              <w:rPr>
                <w:rFonts w:hint="default" w:ascii="Times New Roman" w:hAnsi="Times New Roman" w:eastAsia="宋体" w:cs="Times New Roman"/>
                <w:color w:val="auto"/>
                <w:sz w:val="21"/>
                <w:szCs w:val="21"/>
              </w:rPr>
              <w:t>12</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L13</w:t>
            </w:r>
            <w:r>
              <w:rPr>
                <w:rFonts w:hint="default" w:ascii="Times New Roman" w:hAnsi="Times New Roman" w:eastAsia="宋体" w:cs="Times New Roman"/>
                <w:color w:val="auto"/>
                <w:sz w:val="21"/>
                <w:szCs w:val="21"/>
              </w:rPr>
              <w:t>风机</w:t>
            </w:r>
          </w:p>
        </w:tc>
        <w:tc>
          <w:tcPr>
            <w:tcW w:w="4869" w:type="dxa"/>
            <w:noWrap w:val="0"/>
            <w:vAlign w:val="center"/>
          </w:tcPr>
          <w:p>
            <w:pPr>
              <w:pStyle w:val="165"/>
              <w:keepNext w:val="0"/>
              <w:keepLines w:val="0"/>
              <w:pageBreakBefore w:val="0"/>
              <w:widowControl w:val="0"/>
              <w:kinsoku/>
              <w:wordWrap/>
              <w:overflowPunct/>
              <w:topLinePunct w:val="0"/>
              <w:autoSpaceDE/>
              <w:autoSpaceDN/>
              <w:bidi w:val="0"/>
              <w:snapToGrid w:val="0"/>
              <w:spacing w:line="240" w:lineRule="auto"/>
              <w:ind w:firstLine="0" w:firstLineChars="0"/>
              <w:jc w:val="center"/>
            </w:pPr>
            <w:r>
              <w:drawing>
                <wp:inline distT="0" distB="0" distL="114300" distR="114300">
                  <wp:extent cx="3012440" cy="2776220"/>
                  <wp:effectExtent l="0" t="0" r="16510" b="5080"/>
                  <wp:docPr id="69"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9" name="图片 3"/>
                          <pic:cNvPicPr>
                            <a:picLocks noChangeAspect="true"/>
                          </pic:cNvPicPr>
                        </pic:nvPicPr>
                        <pic:blipFill>
                          <a:blip r:embed="rId70"/>
                          <a:srcRect t="19909"/>
                          <a:stretch>
                            <a:fillRect/>
                          </a:stretch>
                        </pic:blipFill>
                        <pic:spPr>
                          <a:xfrm>
                            <a:off x="0" y="0"/>
                            <a:ext cx="3012440" cy="27762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rPr>
            </w:pPr>
            <w:r>
              <w:rPr>
                <w:rFonts w:hint="eastAsia" w:ascii="Times New Roman" w:hAnsi="Times New Roman" w:eastAsia="宋体" w:cs="Times New Roman"/>
                <w:color w:val="auto"/>
                <w:sz w:val="21"/>
                <w:szCs w:val="21"/>
                <w:lang w:val="en-US" w:eastAsia="zh-CN"/>
              </w:rPr>
              <w:t>L</w:t>
            </w:r>
            <w:r>
              <w:rPr>
                <w:rFonts w:hint="default" w:ascii="Times New Roman" w:hAnsi="Times New Roman" w:eastAsia="宋体" w:cs="Times New Roman"/>
                <w:color w:val="auto"/>
                <w:sz w:val="21"/>
                <w:szCs w:val="21"/>
              </w:rPr>
              <w:t>14风机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29" w:type="dxa"/>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both"/>
            </w:pPr>
            <w:r>
              <w:drawing>
                <wp:inline distT="0" distB="0" distL="114300" distR="114300">
                  <wp:extent cx="2893695" cy="2028190"/>
                  <wp:effectExtent l="0" t="0" r="1905" b="10160"/>
                  <wp:docPr id="65"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 name="图片 1"/>
                          <pic:cNvPicPr>
                            <a:picLocks noChangeAspect="true"/>
                          </pic:cNvPicPr>
                        </pic:nvPicPr>
                        <pic:blipFill>
                          <a:blip r:embed="rId71"/>
                          <a:srcRect l="7997" t="50010" r="3958"/>
                          <a:stretch>
                            <a:fillRect/>
                          </a:stretch>
                        </pic:blipFill>
                        <pic:spPr>
                          <a:xfrm>
                            <a:off x="0" y="0"/>
                            <a:ext cx="2893695" cy="2028190"/>
                          </a:xfrm>
                          <a:prstGeom prst="rect">
                            <a:avLst/>
                          </a:prstGeom>
                          <a:noFill/>
                          <a:ln>
                            <a:noFill/>
                          </a:ln>
                        </pic:spPr>
                      </pic:pic>
                    </a:graphicData>
                  </a:graphic>
                </wp:inline>
              </w:drawing>
            </w:r>
          </w:p>
          <w:p>
            <w:pPr>
              <w:pStyle w:val="33"/>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rPr>
            </w:pPr>
            <w:r>
              <w:rPr>
                <w:rFonts w:hint="eastAsia" w:ascii="Times New Roman" w:hAnsi="Times New Roman" w:eastAsia="宋体" w:cs="Times New Roman"/>
                <w:color w:val="auto"/>
                <w:sz w:val="21"/>
                <w:szCs w:val="21"/>
                <w:lang w:val="en-US" w:eastAsia="zh-CN"/>
              </w:rPr>
              <w:t>L</w:t>
            </w:r>
            <w:r>
              <w:rPr>
                <w:rFonts w:hint="default" w:ascii="Times New Roman" w:hAnsi="Times New Roman" w:eastAsia="宋体" w:cs="Times New Roman"/>
                <w:color w:val="auto"/>
                <w:sz w:val="21"/>
                <w:szCs w:val="21"/>
              </w:rPr>
              <w:t>15风机</w:t>
            </w:r>
          </w:p>
        </w:tc>
        <w:tc>
          <w:tcPr>
            <w:tcW w:w="4869" w:type="dxa"/>
            <w:noWrap w:val="0"/>
            <w:vAlign w:val="center"/>
          </w:tcPr>
          <w:p>
            <w:pPr>
              <w:pStyle w:val="165"/>
              <w:keepNext w:val="0"/>
              <w:keepLines w:val="0"/>
              <w:pageBreakBefore w:val="0"/>
              <w:widowControl w:val="0"/>
              <w:kinsoku/>
              <w:wordWrap/>
              <w:overflowPunct/>
              <w:topLinePunct w:val="0"/>
              <w:autoSpaceDE/>
              <w:autoSpaceDN/>
              <w:bidi w:val="0"/>
              <w:snapToGrid w:val="0"/>
              <w:spacing w:line="240" w:lineRule="auto"/>
              <w:ind w:firstLine="0" w:firstLineChars="0"/>
              <w:jc w:val="center"/>
            </w:pPr>
            <w:r>
              <w:drawing>
                <wp:inline distT="0" distB="0" distL="114300" distR="114300">
                  <wp:extent cx="2713355" cy="2082800"/>
                  <wp:effectExtent l="0" t="0" r="10795" b="12700"/>
                  <wp:docPr id="161" name="图片 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1" name="图片 54"/>
                          <pic:cNvPicPr>
                            <a:picLocks noChangeAspect="true"/>
                          </pic:cNvPicPr>
                        </pic:nvPicPr>
                        <pic:blipFill>
                          <a:blip r:embed="rId72"/>
                          <a:srcRect b="8358"/>
                          <a:stretch>
                            <a:fillRect/>
                          </a:stretch>
                        </pic:blipFill>
                        <pic:spPr>
                          <a:xfrm>
                            <a:off x="0" y="0"/>
                            <a:ext cx="2713355" cy="20828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rPr>
            </w:pPr>
            <w:r>
              <w:rPr>
                <w:rFonts w:hint="default" w:ascii="Times New Roman" w:hAnsi="Times New Roman" w:eastAsia="宋体" w:cs="Times New Roman"/>
                <w:color w:val="auto"/>
                <w:sz w:val="21"/>
                <w:szCs w:val="21"/>
              </w:rPr>
              <w:t>汇集站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29" w:type="dxa"/>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drawing>
                <wp:inline distT="0" distB="0" distL="114300" distR="114300">
                  <wp:extent cx="3025140" cy="2015490"/>
                  <wp:effectExtent l="0" t="0" r="3810" b="3810"/>
                  <wp:docPr id="164" name="图片 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4" name="图片 36"/>
                          <pic:cNvPicPr>
                            <a:picLocks noChangeAspect="true"/>
                          </pic:cNvPicPr>
                        </pic:nvPicPr>
                        <pic:blipFill>
                          <a:blip r:embed="rId28"/>
                          <a:stretch>
                            <a:fillRect/>
                          </a:stretch>
                        </pic:blipFill>
                        <pic:spPr>
                          <a:xfrm>
                            <a:off x="0" y="0"/>
                            <a:ext cx="3025140" cy="20154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弃渣场</w:t>
            </w:r>
          </w:p>
        </w:tc>
        <w:tc>
          <w:tcPr>
            <w:tcW w:w="4869" w:type="dxa"/>
            <w:noWrap w:val="0"/>
            <w:vAlign w:val="center"/>
          </w:tcPr>
          <w:p>
            <w:pPr>
              <w:pStyle w:val="165"/>
              <w:keepNext w:val="0"/>
              <w:keepLines w:val="0"/>
              <w:pageBreakBefore w:val="0"/>
              <w:widowControl w:val="0"/>
              <w:kinsoku/>
              <w:wordWrap/>
              <w:overflowPunct/>
              <w:topLinePunct w:val="0"/>
              <w:autoSpaceDE/>
              <w:autoSpaceDN/>
              <w:bidi w:val="0"/>
              <w:snapToGrid w:val="0"/>
              <w:spacing w:line="240" w:lineRule="auto"/>
              <w:ind w:firstLine="0" w:firstLineChars="0"/>
              <w:jc w:val="center"/>
            </w:pPr>
            <w:r>
              <w:drawing>
                <wp:inline distT="0" distB="0" distL="114300" distR="114300">
                  <wp:extent cx="2809240" cy="2025015"/>
                  <wp:effectExtent l="0" t="0" r="10160" b="13335"/>
                  <wp:docPr id="165" name="图片 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5" name="图片 37"/>
                          <pic:cNvPicPr>
                            <a:picLocks noChangeAspect="true"/>
                          </pic:cNvPicPr>
                        </pic:nvPicPr>
                        <pic:blipFill>
                          <a:blip r:embed="rId29"/>
                          <a:stretch>
                            <a:fillRect/>
                          </a:stretch>
                        </pic:blipFill>
                        <pic:spPr>
                          <a:xfrm>
                            <a:off x="0" y="0"/>
                            <a:ext cx="2809240" cy="20250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rPr>
            </w:pPr>
            <w:r>
              <w:rPr>
                <w:rFonts w:hint="default" w:ascii="Times New Roman" w:hAnsi="Times New Roman" w:eastAsia="宋体" w:cs="Times New Roman"/>
                <w:color w:val="auto"/>
                <w:sz w:val="21"/>
                <w:szCs w:val="21"/>
              </w:rPr>
              <w:t>弃渣场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29" w:type="dxa"/>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p>
        </w:tc>
        <w:tc>
          <w:tcPr>
            <w:tcW w:w="4869" w:type="dxa"/>
            <w:noWrap w:val="0"/>
            <w:vAlign w:val="center"/>
          </w:tcPr>
          <w:p>
            <w:pPr>
              <w:pStyle w:val="165"/>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29" w:type="dxa"/>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pPr>
            <w:r>
              <w:drawing>
                <wp:inline distT="0" distB="0" distL="114300" distR="114300">
                  <wp:extent cx="2832735" cy="2116455"/>
                  <wp:effectExtent l="0" t="0" r="5715" b="17145"/>
                  <wp:docPr id="162" name="图片 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2" name="图片 55"/>
                          <pic:cNvPicPr>
                            <a:picLocks noChangeAspect="true"/>
                          </pic:cNvPicPr>
                        </pic:nvPicPr>
                        <pic:blipFill>
                          <a:blip r:embed="rId73"/>
                          <a:stretch>
                            <a:fillRect/>
                          </a:stretch>
                        </pic:blipFill>
                        <pic:spPr>
                          <a:xfrm>
                            <a:off x="0" y="0"/>
                            <a:ext cx="2832735" cy="21164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弃渣场</w:t>
            </w:r>
          </w:p>
        </w:tc>
        <w:tc>
          <w:tcPr>
            <w:tcW w:w="4869" w:type="dxa"/>
            <w:noWrap w:val="0"/>
            <w:vAlign w:val="center"/>
          </w:tcPr>
          <w:p>
            <w:pPr>
              <w:pStyle w:val="165"/>
              <w:keepNext w:val="0"/>
              <w:keepLines w:val="0"/>
              <w:pageBreakBefore w:val="0"/>
              <w:widowControl w:val="0"/>
              <w:kinsoku/>
              <w:wordWrap/>
              <w:overflowPunct/>
              <w:topLinePunct w:val="0"/>
              <w:autoSpaceDE/>
              <w:autoSpaceDN/>
              <w:bidi w:val="0"/>
              <w:snapToGrid w:val="0"/>
              <w:spacing w:line="240" w:lineRule="auto"/>
              <w:ind w:firstLine="0" w:firstLineChars="0"/>
              <w:jc w:val="center"/>
            </w:pPr>
            <w:r>
              <w:drawing>
                <wp:inline distT="0" distB="0" distL="114300" distR="114300">
                  <wp:extent cx="2839720" cy="2195195"/>
                  <wp:effectExtent l="0" t="0" r="17780" b="14605"/>
                  <wp:docPr id="163" name="图片 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3" name="图片 56"/>
                          <pic:cNvPicPr>
                            <a:picLocks noChangeAspect="true"/>
                          </pic:cNvPicPr>
                        </pic:nvPicPr>
                        <pic:blipFill>
                          <a:blip r:embed="rId74"/>
                          <a:stretch>
                            <a:fillRect/>
                          </a:stretch>
                        </pic:blipFill>
                        <pic:spPr>
                          <a:xfrm>
                            <a:off x="0" y="0"/>
                            <a:ext cx="2839720" cy="21951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rPr>
            </w:pPr>
            <w:r>
              <w:rPr>
                <w:rFonts w:hint="default" w:ascii="Times New Roman" w:hAnsi="Times New Roman" w:eastAsia="宋体" w:cs="Times New Roman"/>
                <w:color w:val="auto"/>
                <w:sz w:val="21"/>
                <w:szCs w:val="21"/>
              </w:rPr>
              <w:t>弃渣场</w:t>
            </w:r>
          </w:p>
        </w:tc>
      </w:tr>
    </w:tbl>
    <w:p>
      <w:pPr>
        <w:widowControl/>
        <w:jc w:val="center"/>
        <w:rPr>
          <w:rFonts w:hAnsi="宋体"/>
          <w:b/>
          <w:color w:val="auto"/>
          <w:szCs w:val="21"/>
        </w:rPr>
      </w:pPr>
    </w:p>
    <w:p>
      <w:pPr>
        <w:pStyle w:val="3587"/>
        <w:bidi w:val="0"/>
        <w:rPr>
          <w:rFonts w:hint="eastAsia" w:ascii="Times New Roman" w:hAnsi="Times New Roman" w:eastAsia="宋体" w:cs="Times New Roman"/>
          <w:u w:val="none" w:color="auto"/>
          <w:lang w:eastAsia="zh-CN"/>
        </w:rPr>
      </w:pPr>
      <w:r>
        <w:rPr>
          <w:rFonts w:hint="eastAsia" w:ascii="Times New Roman" w:hAnsi="Times New Roman" w:eastAsia="宋体" w:cs="Times New Roman"/>
          <w:u w:val="none" w:color="auto"/>
          <w:lang w:eastAsia="zh-CN"/>
        </w:rPr>
        <w:t>工程占地区植被生态指标一览表</w:t>
      </w:r>
    </w:p>
    <w:tbl>
      <w:tblPr>
        <w:tblStyle w:val="88"/>
        <w:tblW w:w="501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45"/>
        <w:gridCol w:w="784"/>
        <w:gridCol w:w="885"/>
        <w:gridCol w:w="1007"/>
        <w:gridCol w:w="1047"/>
        <w:gridCol w:w="1338"/>
        <w:gridCol w:w="1108"/>
        <w:gridCol w:w="1061"/>
        <w:gridCol w:w="11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507" w:type="pct"/>
            <w:vMerge w:val="restar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工程占地区</w:t>
            </w:r>
          </w:p>
        </w:tc>
        <w:tc>
          <w:tcPr>
            <w:tcW w:w="421" w:type="pct"/>
            <w:vMerge w:val="restar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植被覆盖率</w:t>
            </w:r>
            <w:r>
              <w:rPr>
                <w:rFonts w:hint="eastAsia" w:eastAsia="宋体" w:cs="Times New Roman"/>
                <w:color w:val="auto"/>
                <w:sz w:val="21"/>
                <w:szCs w:val="21"/>
                <w:lang w:eastAsia="zh-CN"/>
              </w:rPr>
              <w:t>（</w:t>
            </w:r>
            <w:r>
              <w:rPr>
                <w:rFonts w:hint="eastAsia" w:eastAsia="宋体" w:cs="Times New Roman"/>
                <w:color w:val="auto"/>
                <w:sz w:val="21"/>
                <w:szCs w:val="21"/>
                <w:lang w:val="en-US" w:eastAsia="zh-CN"/>
              </w:rPr>
              <w:t>建设前</w:t>
            </w:r>
            <w:r>
              <w:rPr>
                <w:rFonts w:hint="eastAsia" w:eastAsia="宋体" w:cs="Times New Roman"/>
                <w:color w:val="auto"/>
                <w:sz w:val="21"/>
                <w:szCs w:val="21"/>
                <w:lang w:eastAsia="zh-CN"/>
              </w:rPr>
              <w:t>）</w:t>
            </w:r>
          </w:p>
        </w:tc>
        <w:tc>
          <w:tcPr>
            <w:tcW w:w="475" w:type="pct"/>
            <w:vMerge w:val="restar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植被覆盖率</w:t>
            </w:r>
            <w:r>
              <w:rPr>
                <w:rFonts w:hint="eastAsia" w:eastAsia="宋体" w:cs="Times New Roman"/>
                <w:color w:val="auto"/>
                <w:sz w:val="21"/>
                <w:szCs w:val="21"/>
                <w:lang w:eastAsia="zh-CN"/>
              </w:rPr>
              <w:t>（</w:t>
            </w:r>
            <w:r>
              <w:rPr>
                <w:rFonts w:hint="eastAsia" w:eastAsia="宋体" w:cs="Times New Roman"/>
                <w:color w:val="auto"/>
                <w:sz w:val="21"/>
                <w:szCs w:val="21"/>
                <w:lang w:val="en-US" w:eastAsia="zh-CN"/>
              </w:rPr>
              <w:t>现状</w:t>
            </w:r>
            <w:r>
              <w:rPr>
                <w:rFonts w:hint="eastAsia" w:eastAsia="宋体" w:cs="Times New Roman"/>
                <w:color w:val="auto"/>
                <w:sz w:val="21"/>
                <w:szCs w:val="21"/>
                <w:lang w:eastAsia="zh-CN"/>
              </w:rPr>
              <w:t>）</w:t>
            </w:r>
          </w:p>
        </w:tc>
        <w:tc>
          <w:tcPr>
            <w:tcW w:w="541" w:type="pct"/>
            <w:vMerge w:val="restar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平均生物量（</w:t>
            </w:r>
            <w:r>
              <w:rPr>
                <w:rFonts w:hint="eastAsia" w:eastAsia="宋体" w:cs="Times New Roman"/>
                <w:color w:val="auto"/>
                <w:sz w:val="21"/>
                <w:szCs w:val="21"/>
                <w:lang w:val="en-US" w:eastAsia="zh-CN"/>
              </w:rPr>
              <w:t>建设前，</w:t>
            </w:r>
            <w:r>
              <w:rPr>
                <w:rFonts w:hint="default" w:ascii="Times New Roman" w:hAnsi="Times New Roman" w:eastAsia="宋体" w:cs="Times New Roman"/>
                <w:color w:val="auto"/>
                <w:sz w:val="21"/>
                <w:szCs w:val="21"/>
              </w:rPr>
              <w:t>t/hm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c>
          <w:tcPr>
            <w:tcW w:w="562" w:type="pct"/>
            <w:vMerge w:val="restart"/>
            <w:tcBorders>
              <w:tl2br w:val="nil"/>
              <w:tr2bl w:val="nil"/>
            </w:tcBorders>
            <w:shd w:val="clear" w:color="auto" w:fill="auto"/>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rPr>
              <w:t>平均生物量（</w:t>
            </w:r>
            <w:r>
              <w:rPr>
                <w:rFonts w:hint="eastAsia" w:ascii="Times New Roman" w:hAnsi="Times New Roman" w:eastAsia="宋体" w:cs="Times New Roman"/>
                <w:color w:val="auto"/>
                <w:sz w:val="21"/>
                <w:szCs w:val="21"/>
                <w:lang w:val="en-US" w:eastAsia="zh-CN"/>
              </w:rPr>
              <w:t>现状</w:t>
            </w:r>
            <w:r>
              <w:rPr>
                <w:rFonts w:hint="eastAsia" w:eastAsia="宋体" w:cs="Times New Roman"/>
                <w:color w:val="auto"/>
                <w:sz w:val="21"/>
                <w:szCs w:val="21"/>
                <w:lang w:val="en-US" w:eastAsia="zh-CN"/>
              </w:rPr>
              <w:t>，</w:t>
            </w:r>
            <w:r>
              <w:rPr>
                <w:rFonts w:hint="default" w:ascii="Times New Roman" w:hAnsi="Times New Roman" w:eastAsia="宋体" w:cs="Times New Roman"/>
                <w:color w:val="auto"/>
                <w:sz w:val="21"/>
                <w:szCs w:val="21"/>
              </w:rPr>
              <w:t>t/hm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c>
          <w:tcPr>
            <w:tcW w:w="1314" w:type="pct"/>
            <w:gridSpan w:val="2"/>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w:t>
            </w:r>
          </w:p>
        </w:tc>
        <w:tc>
          <w:tcPr>
            <w:tcW w:w="1177" w:type="pct"/>
            <w:gridSpan w:val="2"/>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生物量损失（t）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5" w:hRule="atLeast"/>
        </w:trPr>
        <w:tc>
          <w:tcPr>
            <w:tcW w:w="507" w:type="pct"/>
            <w:vMerge w:val="continue"/>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p>
        </w:tc>
        <w:tc>
          <w:tcPr>
            <w:tcW w:w="421" w:type="pct"/>
            <w:vMerge w:val="continue"/>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p>
        </w:tc>
        <w:tc>
          <w:tcPr>
            <w:tcW w:w="475" w:type="pct"/>
            <w:vMerge w:val="continue"/>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p>
        </w:tc>
        <w:tc>
          <w:tcPr>
            <w:tcW w:w="541" w:type="pct"/>
            <w:vMerge w:val="continue"/>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p>
        </w:tc>
        <w:tc>
          <w:tcPr>
            <w:tcW w:w="562" w:type="pct"/>
            <w:vMerge w:val="continue"/>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永久占地（hm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临时占地（hm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永久占地损失量</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临时占地损失量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1#风机</w:t>
            </w:r>
          </w:p>
        </w:tc>
        <w:tc>
          <w:tcPr>
            <w:tcW w:w="42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90</w:t>
            </w:r>
            <w:r>
              <w:rPr>
                <w:rFonts w:hint="default" w:ascii="Times New Roman" w:hAnsi="Times New Roman" w:eastAsia="宋体" w:cs="Times New Roman"/>
                <w:color w:val="auto"/>
                <w:sz w:val="21"/>
                <w:szCs w:val="21"/>
              </w:rPr>
              <w:t>%</w:t>
            </w:r>
          </w:p>
        </w:tc>
        <w:tc>
          <w:tcPr>
            <w:tcW w:w="47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c>
          <w:tcPr>
            <w:tcW w:w="54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33.7</w:t>
            </w:r>
          </w:p>
        </w:tc>
        <w:tc>
          <w:tcPr>
            <w:tcW w:w="562"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0.03613</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0.14393</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1.2176 </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4.8504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2#风机</w:t>
            </w:r>
          </w:p>
        </w:tc>
        <w:tc>
          <w:tcPr>
            <w:tcW w:w="42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92</w:t>
            </w:r>
            <w:r>
              <w:rPr>
                <w:rFonts w:hint="default" w:ascii="Times New Roman" w:hAnsi="Times New Roman" w:eastAsia="宋体" w:cs="Times New Roman"/>
                <w:color w:val="auto"/>
                <w:sz w:val="21"/>
                <w:szCs w:val="21"/>
              </w:rPr>
              <w:t>%</w:t>
            </w:r>
          </w:p>
        </w:tc>
        <w:tc>
          <w:tcPr>
            <w:tcW w:w="47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c>
          <w:tcPr>
            <w:tcW w:w="54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33.53</w:t>
            </w:r>
          </w:p>
        </w:tc>
        <w:tc>
          <w:tcPr>
            <w:tcW w:w="562"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val="en-US" w:eastAsia="zh-CN"/>
              </w:rPr>
              <w:t>0</w:t>
            </w: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0.03613</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0.14393</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1.2114 </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4.8260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3#风机</w:t>
            </w:r>
          </w:p>
        </w:tc>
        <w:tc>
          <w:tcPr>
            <w:tcW w:w="42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90</w:t>
            </w:r>
            <w:r>
              <w:rPr>
                <w:rFonts w:hint="default" w:ascii="Times New Roman" w:hAnsi="Times New Roman" w:eastAsia="宋体" w:cs="Times New Roman"/>
                <w:color w:val="auto"/>
                <w:sz w:val="21"/>
                <w:szCs w:val="21"/>
              </w:rPr>
              <w:t>%</w:t>
            </w:r>
          </w:p>
        </w:tc>
        <w:tc>
          <w:tcPr>
            <w:tcW w:w="47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c>
          <w:tcPr>
            <w:tcW w:w="54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32.84</w:t>
            </w:r>
          </w:p>
        </w:tc>
        <w:tc>
          <w:tcPr>
            <w:tcW w:w="562"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val="en-US" w:eastAsia="zh-CN"/>
              </w:rPr>
              <w:t>0</w:t>
            </w: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0.03613</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0.14393</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1.1865 </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4.7267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4#风机</w:t>
            </w:r>
          </w:p>
        </w:tc>
        <w:tc>
          <w:tcPr>
            <w:tcW w:w="42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95</w:t>
            </w:r>
            <w:r>
              <w:rPr>
                <w:rFonts w:hint="default" w:ascii="Times New Roman" w:hAnsi="Times New Roman" w:eastAsia="宋体" w:cs="Times New Roman"/>
                <w:color w:val="auto"/>
                <w:sz w:val="21"/>
                <w:szCs w:val="21"/>
              </w:rPr>
              <w:t>%</w:t>
            </w:r>
          </w:p>
        </w:tc>
        <w:tc>
          <w:tcPr>
            <w:tcW w:w="47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c>
          <w:tcPr>
            <w:tcW w:w="54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33.36</w:t>
            </w:r>
          </w:p>
        </w:tc>
        <w:tc>
          <w:tcPr>
            <w:tcW w:w="562"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val="en-US" w:eastAsia="zh-CN"/>
              </w:rPr>
              <w:t>0</w:t>
            </w: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0.03613</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0.14393</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1.2053 </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4.8015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5#风机</w:t>
            </w:r>
          </w:p>
        </w:tc>
        <w:tc>
          <w:tcPr>
            <w:tcW w:w="42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w:t>
            </w:r>
            <w:r>
              <w:rPr>
                <w:rFonts w:hint="default" w:ascii="Times New Roman" w:hAnsi="Times New Roman" w:eastAsia="宋体" w:cs="Times New Roman"/>
                <w:color w:val="auto"/>
                <w:sz w:val="21"/>
                <w:szCs w:val="21"/>
              </w:rPr>
              <w:t>0%</w:t>
            </w:r>
          </w:p>
        </w:tc>
        <w:tc>
          <w:tcPr>
            <w:tcW w:w="47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c>
          <w:tcPr>
            <w:tcW w:w="54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33.7</w:t>
            </w:r>
          </w:p>
        </w:tc>
        <w:tc>
          <w:tcPr>
            <w:tcW w:w="562"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val="en-US" w:eastAsia="zh-CN"/>
              </w:rPr>
              <w:t>0</w:t>
            </w: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0.03613</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0.14393</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1.2176 </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4.8504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6#风机</w:t>
            </w:r>
          </w:p>
        </w:tc>
        <w:tc>
          <w:tcPr>
            <w:tcW w:w="42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w:t>
            </w:r>
            <w:r>
              <w:rPr>
                <w:rFonts w:hint="default" w:ascii="Times New Roman" w:hAnsi="Times New Roman" w:eastAsia="宋体" w:cs="Times New Roman"/>
                <w:color w:val="auto"/>
                <w:sz w:val="21"/>
                <w:szCs w:val="21"/>
              </w:rPr>
              <w:t>0%</w:t>
            </w:r>
          </w:p>
        </w:tc>
        <w:tc>
          <w:tcPr>
            <w:tcW w:w="47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c>
          <w:tcPr>
            <w:tcW w:w="54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33.19</w:t>
            </w:r>
          </w:p>
        </w:tc>
        <w:tc>
          <w:tcPr>
            <w:tcW w:w="562"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val="en-US" w:eastAsia="zh-CN"/>
              </w:rPr>
              <w:t>0</w:t>
            </w: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0.03613</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0.14393</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1.1992 </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4.7770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7#风机</w:t>
            </w:r>
          </w:p>
        </w:tc>
        <w:tc>
          <w:tcPr>
            <w:tcW w:w="42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93</w:t>
            </w:r>
            <w:r>
              <w:rPr>
                <w:rFonts w:hint="default" w:ascii="Times New Roman" w:hAnsi="Times New Roman" w:eastAsia="宋体" w:cs="Times New Roman"/>
                <w:color w:val="auto"/>
                <w:sz w:val="21"/>
                <w:szCs w:val="21"/>
              </w:rPr>
              <w:t>%</w:t>
            </w:r>
          </w:p>
        </w:tc>
        <w:tc>
          <w:tcPr>
            <w:tcW w:w="47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c>
          <w:tcPr>
            <w:tcW w:w="54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33.01</w:t>
            </w:r>
          </w:p>
        </w:tc>
        <w:tc>
          <w:tcPr>
            <w:tcW w:w="562"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val="en-US" w:eastAsia="zh-CN"/>
              </w:rPr>
              <w:t>0</w:t>
            </w: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0.03613</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0.14393</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1.1927 </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4.7511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8#风机</w:t>
            </w:r>
          </w:p>
        </w:tc>
        <w:tc>
          <w:tcPr>
            <w:tcW w:w="42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95</w:t>
            </w:r>
            <w:r>
              <w:rPr>
                <w:rFonts w:hint="default" w:ascii="Times New Roman" w:hAnsi="Times New Roman" w:eastAsia="宋体" w:cs="Times New Roman"/>
                <w:color w:val="auto"/>
                <w:sz w:val="21"/>
                <w:szCs w:val="21"/>
              </w:rPr>
              <w:t>%</w:t>
            </w:r>
          </w:p>
        </w:tc>
        <w:tc>
          <w:tcPr>
            <w:tcW w:w="47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c>
          <w:tcPr>
            <w:tcW w:w="54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32.67</w:t>
            </w:r>
          </w:p>
        </w:tc>
        <w:tc>
          <w:tcPr>
            <w:tcW w:w="562"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val="en-US" w:eastAsia="zh-CN"/>
              </w:rPr>
              <w:t>0</w:t>
            </w: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0.03613</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0.14393</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1.1804 </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4.7022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9#风机</w:t>
            </w:r>
          </w:p>
        </w:tc>
        <w:tc>
          <w:tcPr>
            <w:tcW w:w="42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97</w:t>
            </w:r>
            <w:r>
              <w:rPr>
                <w:rFonts w:hint="default" w:ascii="Times New Roman" w:hAnsi="Times New Roman" w:eastAsia="宋体" w:cs="Times New Roman"/>
                <w:color w:val="auto"/>
                <w:sz w:val="21"/>
                <w:szCs w:val="21"/>
              </w:rPr>
              <w:t>%</w:t>
            </w:r>
          </w:p>
        </w:tc>
        <w:tc>
          <w:tcPr>
            <w:tcW w:w="47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c>
          <w:tcPr>
            <w:tcW w:w="54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33.53</w:t>
            </w:r>
          </w:p>
        </w:tc>
        <w:tc>
          <w:tcPr>
            <w:tcW w:w="562"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val="en-US" w:eastAsia="zh-CN"/>
              </w:rPr>
              <w:t>0</w:t>
            </w: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0.03613</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0.14393</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1.2114 </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4.8260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10#风机</w:t>
            </w:r>
          </w:p>
        </w:tc>
        <w:tc>
          <w:tcPr>
            <w:tcW w:w="42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96</w:t>
            </w:r>
            <w:r>
              <w:rPr>
                <w:rFonts w:hint="default" w:ascii="Times New Roman" w:hAnsi="Times New Roman" w:eastAsia="宋体" w:cs="Times New Roman"/>
                <w:color w:val="auto"/>
                <w:sz w:val="21"/>
                <w:szCs w:val="21"/>
              </w:rPr>
              <w:t>%</w:t>
            </w:r>
          </w:p>
        </w:tc>
        <w:tc>
          <w:tcPr>
            <w:tcW w:w="47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c>
          <w:tcPr>
            <w:tcW w:w="54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33.53</w:t>
            </w:r>
          </w:p>
        </w:tc>
        <w:tc>
          <w:tcPr>
            <w:tcW w:w="562"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val="en-US" w:eastAsia="zh-CN"/>
              </w:rPr>
              <w:t>0</w:t>
            </w: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0.03613</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0.14393</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1.2114 </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4.8260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11#风机</w:t>
            </w:r>
          </w:p>
        </w:tc>
        <w:tc>
          <w:tcPr>
            <w:tcW w:w="42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97</w:t>
            </w:r>
            <w:r>
              <w:rPr>
                <w:rFonts w:hint="default" w:ascii="Times New Roman" w:hAnsi="Times New Roman" w:eastAsia="宋体" w:cs="Times New Roman"/>
                <w:color w:val="auto"/>
                <w:sz w:val="21"/>
                <w:szCs w:val="21"/>
              </w:rPr>
              <w:t>%</w:t>
            </w:r>
          </w:p>
        </w:tc>
        <w:tc>
          <w:tcPr>
            <w:tcW w:w="47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c>
          <w:tcPr>
            <w:tcW w:w="54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32.67</w:t>
            </w:r>
          </w:p>
        </w:tc>
        <w:tc>
          <w:tcPr>
            <w:tcW w:w="562"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val="en-US" w:eastAsia="zh-CN"/>
              </w:rPr>
              <w:t>0</w:t>
            </w: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0.03613</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0.14393</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1.1804 </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4.7022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12#风机</w:t>
            </w:r>
          </w:p>
        </w:tc>
        <w:tc>
          <w:tcPr>
            <w:tcW w:w="42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98</w:t>
            </w:r>
            <w:r>
              <w:rPr>
                <w:rFonts w:hint="default" w:ascii="Times New Roman" w:hAnsi="Times New Roman" w:eastAsia="宋体" w:cs="Times New Roman"/>
                <w:color w:val="auto"/>
                <w:sz w:val="21"/>
                <w:szCs w:val="21"/>
              </w:rPr>
              <w:t>%</w:t>
            </w:r>
          </w:p>
        </w:tc>
        <w:tc>
          <w:tcPr>
            <w:tcW w:w="47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c>
          <w:tcPr>
            <w:tcW w:w="54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32.84</w:t>
            </w:r>
          </w:p>
        </w:tc>
        <w:tc>
          <w:tcPr>
            <w:tcW w:w="562"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val="en-US" w:eastAsia="zh-CN"/>
              </w:rPr>
              <w:t>0</w:t>
            </w: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0.03613</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0.14393</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1.1865 </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4.7267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13#风机</w:t>
            </w:r>
          </w:p>
        </w:tc>
        <w:tc>
          <w:tcPr>
            <w:tcW w:w="42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90</w:t>
            </w:r>
            <w:r>
              <w:rPr>
                <w:rFonts w:hint="default" w:ascii="Times New Roman" w:hAnsi="Times New Roman" w:eastAsia="宋体" w:cs="Times New Roman"/>
                <w:color w:val="auto"/>
                <w:sz w:val="21"/>
                <w:szCs w:val="21"/>
              </w:rPr>
              <w:t>%</w:t>
            </w:r>
          </w:p>
        </w:tc>
        <w:tc>
          <w:tcPr>
            <w:tcW w:w="47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c>
          <w:tcPr>
            <w:tcW w:w="54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32.84</w:t>
            </w:r>
          </w:p>
        </w:tc>
        <w:tc>
          <w:tcPr>
            <w:tcW w:w="562"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val="en-US" w:eastAsia="zh-CN"/>
              </w:rPr>
              <w:t>0</w:t>
            </w: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0.03613</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0.14393</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1.1865 </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4.7267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14#风机</w:t>
            </w:r>
          </w:p>
        </w:tc>
        <w:tc>
          <w:tcPr>
            <w:tcW w:w="42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97</w:t>
            </w:r>
            <w:r>
              <w:rPr>
                <w:rFonts w:hint="default" w:ascii="Times New Roman" w:hAnsi="Times New Roman" w:eastAsia="宋体" w:cs="Times New Roman"/>
                <w:color w:val="auto"/>
                <w:sz w:val="21"/>
                <w:szCs w:val="21"/>
              </w:rPr>
              <w:t>%</w:t>
            </w:r>
          </w:p>
        </w:tc>
        <w:tc>
          <w:tcPr>
            <w:tcW w:w="47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c>
          <w:tcPr>
            <w:tcW w:w="54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32.84</w:t>
            </w:r>
          </w:p>
        </w:tc>
        <w:tc>
          <w:tcPr>
            <w:tcW w:w="562"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val="en-US" w:eastAsia="zh-CN"/>
              </w:rPr>
              <w:t>0</w:t>
            </w: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0.03613</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0.14393</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1.1865 </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4.7267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15#风机</w:t>
            </w:r>
          </w:p>
        </w:tc>
        <w:tc>
          <w:tcPr>
            <w:tcW w:w="42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96</w:t>
            </w:r>
            <w:r>
              <w:rPr>
                <w:rFonts w:hint="default" w:ascii="Times New Roman" w:hAnsi="Times New Roman" w:eastAsia="宋体" w:cs="Times New Roman"/>
                <w:color w:val="auto"/>
                <w:sz w:val="21"/>
                <w:szCs w:val="21"/>
              </w:rPr>
              <w:t>%</w:t>
            </w:r>
          </w:p>
        </w:tc>
        <w:tc>
          <w:tcPr>
            <w:tcW w:w="47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c>
          <w:tcPr>
            <w:tcW w:w="54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33.7</w:t>
            </w:r>
          </w:p>
        </w:tc>
        <w:tc>
          <w:tcPr>
            <w:tcW w:w="562"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val="en-US" w:eastAsia="zh-CN"/>
              </w:rPr>
              <w:t>0</w:t>
            </w: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0.03613</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0.14393</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1.2176 </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4.8504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汇集站</w:t>
            </w:r>
          </w:p>
        </w:tc>
        <w:tc>
          <w:tcPr>
            <w:tcW w:w="42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50</w:t>
            </w:r>
            <w:r>
              <w:rPr>
                <w:rFonts w:hint="default" w:ascii="Times New Roman" w:hAnsi="Times New Roman" w:eastAsia="宋体" w:cs="Times New Roman"/>
                <w:color w:val="auto"/>
                <w:sz w:val="21"/>
                <w:szCs w:val="21"/>
              </w:rPr>
              <w:t>%</w:t>
            </w:r>
          </w:p>
        </w:tc>
        <w:tc>
          <w:tcPr>
            <w:tcW w:w="47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c>
          <w:tcPr>
            <w:tcW w:w="54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33.7</w:t>
            </w:r>
          </w:p>
        </w:tc>
        <w:tc>
          <w:tcPr>
            <w:tcW w:w="562"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val="en-US" w:eastAsia="zh-CN"/>
              </w:rPr>
              <w:t>0</w:t>
            </w: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1.588</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53.5156 </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0.0000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5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施工生产区</w:t>
            </w:r>
          </w:p>
        </w:tc>
        <w:tc>
          <w:tcPr>
            <w:tcW w:w="42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50</w:t>
            </w:r>
            <w:r>
              <w:rPr>
                <w:rFonts w:hint="default" w:ascii="Times New Roman" w:hAnsi="Times New Roman" w:eastAsia="宋体" w:cs="Times New Roman"/>
                <w:color w:val="auto"/>
                <w:sz w:val="21"/>
                <w:szCs w:val="21"/>
              </w:rPr>
              <w:t>%</w:t>
            </w:r>
          </w:p>
        </w:tc>
        <w:tc>
          <w:tcPr>
            <w:tcW w:w="47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c>
          <w:tcPr>
            <w:tcW w:w="54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32.67</w:t>
            </w:r>
          </w:p>
        </w:tc>
        <w:tc>
          <w:tcPr>
            <w:tcW w:w="562"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val="en-US" w:eastAsia="zh-CN"/>
              </w:rPr>
              <w:t>0</w:t>
            </w: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0.54</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17.6418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5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施工道路区</w:t>
            </w:r>
          </w:p>
        </w:tc>
        <w:tc>
          <w:tcPr>
            <w:tcW w:w="42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47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val="en-US" w:eastAsia="zh-CN"/>
              </w:rPr>
              <w:t>0</w:t>
            </w:r>
          </w:p>
        </w:tc>
        <w:tc>
          <w:tcPr>
            <w:tcW w:w="54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33.53</w:t>
            </w:r>
          </w:p>
        </w:tc>
        <w:tc>
          <w:tcPr>
            <w:tcW w:w="562"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val="en-US" w:eastAsia="zh-CN"/>
              </w:rPr>
              <w:t>0</w:t>
            </w: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32.52</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1090.3956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5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集电线路区</w:t>
            </w:r>
          </w:p>
        </w:tc>
        <w:tc>
          <w:tcPr>
            <w:tcW w:w="42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80</w:t>
            </w:r>
            <w:r>
              <w:rPr>
                <w:rFonts w:hint="default" w:ascii="Times New Roman" w:hAnsi="Times New Roman" w:eastAsia="宋体" w:cs="Times New Roman"/>
                <w:color w:val="auto"/>
                <w:sz w:val="21"/>
                <w:szCs w:val="21"/>
              </w:rPr>
              <w:t>%</w:t>
            </w:r>
          </w:p>
        </w:tc>
        <w:tc>
          <w:tcPr>
            <w:tcW w:w="47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c>
          <w:tcPr>
            <w:tcW w:w="54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33.53</w:t>
            </w:r>
          </w:p>
        </w:tc>
        <w:tc>
          <w:tcPr>
            <w:tcW w:w="562"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val="en-US" w:eastAsia="zh-CN"/>
              </w:rPr>
              <w:t>0</w:t>
            </w: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0</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2.76</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92.5428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弃渣场</w:t>
            </w:r>
          </w:p>
        </w:tc>
        <w:tc>
          <w:tcPr>
            <w:tcW w:w="42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90</w:t>
            </w:r>
            <w:r>
              <w:rPr>
                <w:rFonts w:hint="default" w:ascii="Times New Roman" w:hAnsi="Times New Roman" w:eastAsia="宋体" w:cs="Times New Roman"/>
                <w:color w:val="auto"/>
                <w:sz w:val="21"/>
                <w:szCs w:val="21"/>
              </w:rPr>
              <w:t>%</w:t>
            </w:r>
          </w:p>
        </w:tc>
        <w:tc>
          <w:tcPr>
            <w:tcW w:w="47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c>
          <w:tcPr>
            <w:tcW w:w="54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33.53</w:t>
            </w:r>
          </w:p>
        </w:tc>
        <w:tc>
          <w:tcPr>
            <w:tcW w:w="562"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val="en-US" w:eastAsia="zh-CN"/>
              </w:rPr>
              <w:t>0</w:t>
            </w:r>
          </w:p>
        </w:tc>
        <w:tc>
          <w:tcPr>
            <w:tcW w:w="718"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95" w:type="pct"/>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3.13</w:t>
            </w:r>
          </w:p>
        </w:tc>
        <w:tc>
          <w:tcPr>
            <w:tcW w:w="57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607"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104.9489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508" w:type="pct"/>
            <w:gridSpan w:val="5"/>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合计</w:t>
            </w:r>
          </w:p>
        </w:tc>
        <w:tc>
          <w:tcPr>
            <w:tcW w:w="1338" w:type="dxa"/>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2.13 </w:t>
            </w:r>
          </w:p>
        </w:tc>
        <w:tc>
          <w:tcPr>
            <w:tcW w:w="1108" w:type="dxa"/>
            <w:tcBorders>
              <w:tl2br w:val="nil"/>
              <w:tr2bl w:val="nil"/>
            </w:tcBorders>
            <w:noWrap/>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41.109 </w:t>
            </w:r>
          </w:p>
        </w:tc>
        <w:tc>
          <w:tcPr>
            <w:tcW w:w="1061" w:type="dxa"/>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71.5065 </w:t>
            </w:r>
          </w:p>
        </w:tc>
        <w:tc>
          <w:tcPr>
            <w:tcW w:w="1131" w:type="dxa"/>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1377.1990 </w:t>
            </w:r>
          </w:p>
        </w:tc>
      </w:tr>
    </w:tbl>
    <w:p>
      <w:pPr>
        <w:pStyle w:val="458"/>
        <w:ind w:firstLine="602"/>
        <w:rPr>
          <w:rFonts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14:textFill>
            <w14:solidFill>
              <w14:schemeClr w14:val="tx1"/>
            </w14:solidFill>
          </w14:textFill>
        </w:rPr>
        <w:t>生态环境质量</w:t>
      </w:r>
      <w:r>
        <w:rPr>
          <w:rFonts w:ascii="Times New Roman" w:hAnsi="Times New Roman" w:eastAsia="宋体" w:cs="Times New Roman"/>
          <w:color w:val="000000" w:themeColor="text1"/>
          <w:u w:val="none" w:color="auto"/>
          <w14:textFill>
            <w14:solidFill>
              <w14:schemeClr w14:val="tx1"/>
            </w14:solidFill>
          </w14:textFill>
        </w:rPr>
        <w:t>现状</w:t>
      </w:r>
    </w:p>
    <w:p>
      <w:pPr>
        <w:bidi w:val="0"/>
      </w:pPr>
      <w:r>
        <w:t>评价区植被类型分为5类。评价区自然体系生物量现状见表</w:t>
      </w:r>
      <w:r>
        <w:rPr>
          <w:rFonts w:hint="eastAsia"/>
        </w:rPr>
        <w:t>3-</w:t>
      </w:r>
      <w:r>
        <w:rPr>
          <w:rFonts w:hint="eastAsia"/>
          <w:lang w:val="en-US" w:eastAsia="zh-CN"/>
        </w:rPr>
        <w:t>1</w:t>
      </w:r>
      <w:r>
        <w:rPr>
          <w:rFonts w:hint="eastAsia"/>
        </w:rPr>
        <w:t>5</w:t>
      </w:r>
      <w:r>
        <w:t>。</w:t>
      </w:r>
    </w:p>
    <w:p>
      <w:pPr>
        <w:pStyle w:val="3587"/>
        <w:bidi w:val="0"/>
        <w:rPr>
          <w:rFonts w:hint="eastAsia" w:ascii="Times New Roman" w:hAnsi="Times New Roman" w:eastAsia="宋体" w:cs="Times New Roman"/>
          <w:u w:val="none" w:color="auto"/>
          <w:lang w:eastAsia="zh-CN"/>
        </w:rPr>
      </w:pPr>
      <w:r>
        <w:rPr>
          <w:rFonts w:hint="eastAsia" w:ascii="Times New Roman" w:hAnsi="Times New Roman" w:eastAsia="宋体" w:cs="Times New Roman"/>
          <w:u w:val="none" w:color="auto"/>
          <w:lang w:eastAsia="zh-CN"/>
        </w:rPr>
        <w:t>评价区自然体系生物量现状表</w:t>
      </w:r>
    </w:p>
    <w:tbl>
      <w:tblPr>
        <w:tblStyle w:val="88"/>
        <w:tblW w:w="867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9"/>
        <w:gridCol w:w="1678"/>
        <w:gridCol w:w="1051"/>
        <w:gridCol w:w="1110"/>
        <w:gridCol w:w="1301"/>
        <w:gridCol w:w="1309"/>
        <w:gridCol w:w="13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889" w:type="dxa"/>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植被</w:t>
            </w:r>
          </w:p>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类型</w:t>
            </w:r>
          </w:p>
        </w:tc>
        <w:tc>
          <w:tcPr>
            <w:tcW w:w="1678" w:type="dxa"/>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代表植物</w:t>
            </w:r>
          </w:p>
        </w:tc>
        <w:tc>
          <w:tcPr>
            <w:tcW w:w="1051" w:type="dxa"/>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面积（hm</w:t>
            </w:r>
            <w:r>
              <w:rPr>
                <w:rFonts w:hint="eastAsia" w:ascii="Times New Roman" w:hAnsi="Times New Roman" w:eastAsia="宋体" w:cs="Times New Roman"/>
                <w:color w:val="auto"/>
                <w:sz w:val="21"/>
                <w:szCs w:val="21"/>
                <w:vertAlign w:val="superscript"/>
                <w:lang w:eastAsia="zh-CN"/>
              </w:rPr>
              <w:t>2</w:t>
            </w:r>
            <w:r>
              <w:rPr>
                <w:rFonts w:hint="eastAsia" w:ascii="Times New Roman" w:hAnsi="Times New Roman" w:eastAsia="宋体" w:cs="Times New Roman"/>
                <w:color w:val="auto"/>
                <w:sz w:val="21"/>
                <w:szCs w:val="21"/>
                <w:lang w:eastAsia="zh-CN"/>
              </w:rPr>
              <w:t>）</w:t>
            </w:r>
          </w:p>
        </w:tc>
        <w:tc>
          <w:tcPr>
            <w:tcW w:w="1110" w:type="dxa"/>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占评价范围比例%</w:t>
            </w:r>
          </w:p>
        </w:tc>
        <w:tc>
          <w:tcPr>
            <w:tcW w:w="1301" w:type="dxa"/>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val="de-DE" w:eastAsia="zh-CN"/>
              </w:rPr>
            </w:pPr>
            <w:r>
              <w:rPr>
                <w:rFonts w:hint="eastAsia" w:ascii="Times New Roman" w:hAnsi="Times New Roman" w:eastAsia="宋体" w:cs="Times New Roman"/>
                <w:color w:val="auto"/>
                <w:sz w:val="21"/>
                <w:szCs w:val="21"/>
                <w:lang w:eastAsia="zh-CN"/>
              </w:rPr>
              <w:t>平均生物量</w:t>
            </w:r>
            <w:r>
              <w:rPr>
                <w:rFonts w:hint="eastAsia" w:ascii="Times New Roman" w:hAnsi="Times New Roman" w:eastAsia="宋体" w:cs="Times New Roman"/>
                <w:color w:val="auto"/>
                <w:sz w:val="21"/>
                <w:szCs w:val="21"/>
                <w:lang w:val="de-DE" w:eastAsia="zh-CN"/>
              </w:rPr>
              <w:t>（t / hm</w:t>
            </w:r>
            <w:r>
              <w:rPr>
                <w:rFonts w:hint="eastAsia" w:ascii="Times New Roman" w:hAnsi="Times New Roman" w:eastAsia="宋体" w:cs="Times New Roman"/>
                <w:color w:val="auto"/>
                <w:sz w:val="21"/>
                <w:szCs w:val="21"/>
                <w:vertAlign w:val="superscript"/>
                <w:lang w:val="de-DE" w:eastAsia="zh-CN"/>
              </w:rPr>
              <w:t>2</w:t>
            </w:r>
            <w:r>
              <w:rPr>
                <w:rFonts w:hint="eastAsia" w:ascii="Times New Roman" w:hAnsi="Times New Roman" w:eastAsia="宋体" w:cs="Times New Roman"/>
                <w:color w:val="auto"/>
                <w:sz w:val="21"/>
                <w:szCs w:val="21"/>
                <w:lang w:val="de-DE" w:eastAsia="zh-CN"/>
              </w:rPr>
              <w:t>）</w:t>
            </w:r>
          </w:p>
        </w:tc>
        <w:tc>
          <w:tcPr>
            <w:tcW w:w="1309" w:type="dxa"/>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总生物量（t）</w:t>
            </w:r>
          </w:p>
        </w:tc>
        <w:tc>
          <w:tcPr>
            <w:tcW w:w="1340" w:type="dxa"/>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占评价区总生物量比例%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889" w:type="dxa"/>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针叶林</w:t>
            </w:r>
          </w:p>
        </w:tc>
        <w:tc>
          <w:tcPr>
            <w:tcW w:w="1678" w:type="dxa"/>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eastAsia="zh-CN"/>
              </w:rPr>
              <w:t>杉木</w:t>
            </w:r>
            <w:r>
              <w:rPr>
                <w:rFonts w:hint="eastAsia" w:eastAsia="宋体" w:cs="Times New Roman"/>
                <w:color w:val="auto"/>
                <w:sz w:val="21"/>
                <w:szCs w:val="21"/>
                <w:lang w:eastAsia="zh-CN"/>
              </w:rPr>
              <w:t>、</w:t>
            </w:r>
            <w:r>
              <w:rPr>
                <w:rFonts w:hint="eastAsia" w:eastAsia="宋体" w:cs="Times New Roman"/>
                <w:color w:val="auto"/>
                <w:sz w:val="21"/>
                <w:szCs w:val="21"/>
                <w:lang w:val="en-US" w:eastAsia="zh-CN"/>
              </w:rPr>
              <w:t>马尾松</w:t>
            </w:r>
          </w:p>
        </w:tc>
        <w:tc>
          <w:tcPr>
            <w:tcW w:w="105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 xml:space="preserve">315.94 </w:t>
            </w:r>
          </w:p>
        </w:tc>
        <w:tc>
          <w:tcPr>
            <w:tcW w:w="111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 xml:space="preserve">24.50 </w:t>
            </w:r>
          </w:p>
        </w:tc>
        <w:tc>
          <w:tcPr>
            <w:tcW w:w="130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28.56</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 xml:space="preserve">9023.25 </w:t>
            </w:r>
          </w:p>
        </w:tc>
        <w:tc>
          <w:tcPr>
            <w:tcW w:w="13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 xml:space="preserve">30.82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889" w:type="dxa"/>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阔叶林</w:t>
            </w:r>
          </w:p>
        </w:tc>
        <w:tc>
          <w:tcPr>
            <w:tcW w:w="1678" w:type="dxa"/>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毛竹</w:t>
            </w:r>
          </w:p>
        </w:tc>
        <w:tc>
          <w:tcPr>
            <w:tcW w:w="105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 xml:space="preserve">164.94 </w:t>
            </w:r>
          </w:p>
        </w:tc>
        <w:tc>
          <w:tcPr>
            <w:tcW w:w="111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 xml:space="preserve">12.79 </w:t>
            </w:r>
          </w:p>
        </w:tc>
        <w:tc>
          <w:tcPr>
            <w:tcW w:w="130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45.69</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 xml:space="preserve">7536.11 </w:t>
            </w:r>
          </w:p>
        </w:tc>
        <w:tc>
          <w:tcPr>
            <w:tcW w:w="13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 xml:space="preserve">25.74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50" w:hRule="atLeast"/>
          <w:jc w:val="center"/>
        </w:trPr>
        <w:tc>
          <w:tcPr>
            <w:tcW w:w="889" w:type="dxa"/>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灌丛及灌草丛</w:t>
            </w:r>
          </w:p>
        </w:tc>
        <w:tc>
          <w:tcPr>
            <w:tcW w:w="1678" w:type="dxa"/>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大叶胡枝子、锐齿槲栎灌丛、油茶、橙香海桐、五节芒、蕨灌</w:t>
            </w:r>
          </w:p>
        </w:tc>
        <w:tc>
          <w:tcPr>
            <w:tcW w:w="105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 xml:space="preserve">769.44 </w:t>
            </w:r>
          </w:p>
        </w:tc>
        <w:tc>
          <w:tcPr>
            <w:tcW w:w="111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 xml:space="preserve">59.68 </w:t>
            </w:r>
          </w:p>
        </w:tc>
        <w:tc>
          <w:tcPr>
            <w:tcW w:w="130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16.41</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 xml:space="preserve">12626.51 </w:t>
            </w:r>
          </w:p>
        </w:tc>
        <w:tc>
          <w:tcPr>
            <w:tcW w:w="13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 xml:space="preserve">43.13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889" w:type="dxa"/>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农作物</w:t>
            </w:r>
          </w:p>
        </w:tc>
        <w:tc>
          <w:tcPr>
            <w:tcW w:w="1678" w:type="dxa"/>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水稻、玉米</w:t>
            </w:r>
          </w:p>
        </w:tc>
        <w:tc>
          <w:tcPr>
            <w:tcW w:w="105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13.54</w:t>
            </w:r>
          </w:p>
        </w:tc>
        <w:tc>
          <w:tcPr>
            <w:tcW w:w="111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 xml:space="preserve">1.05 </w:t>
            </w:r>
          </w:p>
        </w:tc>
        <w:tc>
          <w:tcPr>
            <w:tcW w:w="130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6</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 xml:space="preserve">81.24 </w:t>
            </w:r>
          </w:p>
        </w:tc>
        <w:tc>
          <w:tcPr>
            <w:tcW w:w="13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 xml:space="preserve">0.28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889" w:type="dxa"/>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水域</w:t>
            </w:r>
          </w:p>
        </w:tc>
        <w:tc>
          <w:tcPr>
            <w:tcW w:w="1678" w:type="dxa"/>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藻类及水生植物</w:t>
            </w:r>
          </w:p>
        </w:tc>
        <w:tc>
          <w:tcPr>
            <w:tcW w:w="105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7.79</w:t>
            </w:r>
          </w:p>
        </w:tc>
        <w:tc>
          <w:tcPr>
            <w:tcW w:w="111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 xml:space="preserve">0.60 </w:t>
            </w:r>
          </w:p>
        </w:tc>
        <w:tc>
          <w:tcPr>
            <w:tcW w:w="130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1.2</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 xml:space="preserve">9.35 </w:t>
            </w:r>
          </w:p>
        </w:tc>
        <w:tc>
          <w:tcPr>
            <w:tcW w:w="13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 xml:space="preserve">0.03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2567" w:type="dxa"/>
            <w:gridSpan w:val="2"/>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合  计</w:t>
            </w:r>
          </w:p>
        </w:tc>
        <w:tc>
          <w:tcPr>
            <w:tcW w:w="105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1271.65</w:t>
            </w:r>
          </w:p>
        </w:tc>
        <w:tc>
          <w:tcPr>
            <w:tcW w:w="111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 xml:space="preserve">98.63 </w:t>
            </w:r>
          </w:p>
        </w:tc>
        <w:tc>
          <w:tcPr>
            <w:tcW w:w="130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 xml:space="preserve">29276.45 </w:t>
            </w:r>
          </w:p>
        </w:tc>
        <w:tc>
          <w:tcPr>
            <w:tcW w:w="13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 xml:space="preserve">100.00 </w:t>
            </w:r>
          </w:p>
        </w:tc>
      </w:tr>
    </w:tbl>
    <w:p>
      <w:pPr>
        <w:spacing w:line="360" w:lineRule="auto"/>
        <w:rPr>
          <w:bCs/>
          <w:color w:val="auto"/>
          <w:sz w:val="21"/>
          <w:szCs w:val="16"/>
        </w:rPr>
      </w:pPr>
      <w:r>
        <w:rPr>
          <w:bCs/>
          <w:color w:val="auto"/>
          <w:sz w:val="21"/>
          <w:szCs w:val="16"/>
        </w:rPr>
        <w:t>*</w:t>
      </w:r>
      <w:r>
        <w:rPr>
          <w:rFonts w:hAnsi="宋体"/>
          <w:bCs/>
          <w:color w:val="auto"/>
          <w:sz w:val="21"/>
          <w:szCs w:val="16"/>
        </w:rPr>
        <w:t>注：未包括建设及其他用地</w:t>
      </w:r>
      <w:r>
        <w:rPr>
          <w:rFonts w:hint="eastAsia"/>
          <w:bCs/>
          <w:color w:val="auto"/>
          <w:sz w:val="21"/>
          <w:szCs w:val="16"/>
          <w:lang w:val="en-US" w:eastAsia="zh-CN"/>
        </w:rPr>
        <w:t>17.68</w:t>
      </w:r>
      <w:r>
        <w:rPr>
          <w:bCs/>
          <w:color w:val="auto"/>
          <w:sz w:val="21"/>
          <w:szCs w:val="16"/>
        </w:rPr>
        <w:t>hm</w:t>
      </w:r>
      <w:r>
        <w:rPr>
          <w:bCs/>
          <w:color w:val="auto"/>
          <w:sz w:val="21"/>
          <w:szCs w:val="16"/>
          <w:vertAlign w:val="superscript"/>
        </w:rPr>
        <w:t>2</w:t>
      </w:r>
      <w:r>
        <w:rPr>
          <w:rFonts w:hAnsi="宋体"/>
          <w:bCs/>
          <w:color w:val="auto"/>
          <w:sz w:val="21"/>
          <w:szCs w:val="16"/>
        </w:rPr>
        <w:t>，所占比例为</w:t>
      </w:r>
      <w:r>
        <w:rPr>
          <w:rFonts w:hint="eastAsia"/>
          <w:bCs/>
          <w:color w:val="auto"/>
          <w:sz w:val="21"/>
          <w:szCs w:val="16"/>
          <w:lang w:val="en-US" w:eastAsia="zh-CN"/>
        </w:rPr>
        <w:t>1.37</w:t>
      </w:r>
      <w:r>
        <w:rPr>
          <w:bCs/>
          <w:color w:val="auto"/>
          <w:sz w:val="21"/>
          <w:szCs w:val="16"/>
        </w:rPr>
        <w:t>%</w:t>
      </w:r>
      <w:r>
        <w:rPr>
          <w:rFonts w:hAnsi="宋体"/>
          <w:bCs/>
          <w:color w:val="auto"/>
          <w:sz w:val="21"/>
          <w:szCs w:val="16"/>
        </w:rPr>
        <w:t>。</w:t>
      </w:r>
    </w:p>
    <w:p>
      <w:pPr>
        <w:bidi w:val="0"/>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经计算，评价区总生物量约为</w:t>
      </w:r>
      <w:r>
        <w:rPr>
          <w:rFonts w:hint="eastAsia" w:ascii="Times New Roman" w:hAnsi="Times New Roman" w:eastAsia="宋体" w:cs="Times New Roman"/>
          <w:i w:val="0"/>
          <w:iCs w:val="0"/>
          <w:color w:val="000000"/>
          <w:kern w:val="0"/>
          <w:sz w:val="24"/>
          <w:szCs w:val="24"/>
          <w:u w:val="none" w:color="auto"/>
          <w:lang w:val="en-US" w:eastAsia="zh-CN" w:bidi="ar"/>
        </w:rPr>
        <w:t>29276.45</w:t>
      </w:r>
      <w:r>
        <w:rPr>
          <w:rFonts w:hint="eastAsia" w:ascii="Times New Roman" w:hAnsi="Times New Roman" w:eastAsia="宋体" w:cs="Times New Roman"/>
          <w:sz w:val="24"/>
          <w:szCs w:val="24"/>
        </w:rPr>
        <w:t>t，以灌丛和灌草丛为主，其次是针叶林和阔叶林，农作物和河流水域占比较小。针叶林的总生物量为</w:t>
      </w:r>
      <w:r>
        <w:rPr>
          <w:rFonts w:hint="eastAsia" w:ascii="Times New Roman" w:hAnsi="Times New Roman" w:eastAsia="宋体" w:cs="Times New Roman"/>
          <w:i w:val="0"/>
          <w:iCs w:val="0"/>
          <w:color w:val="000000"/>
          <w:kern w:val="0"/>
          <w:sz w:val="24"/>
          <w:szCs w:val="24"/>
          <w:u w:val="none" w:color="auto"/>
          <w:lang w:val="en-US" w:eastAsia="zh-CN" w:bidi="ar"/>
        </w:rPr>
        <w:t>9023.25</w:t>
      </w:r>
      <w:r>
        <w:rPr>
          <w:rFonts w:hint="eastAsia" w:ascii="Times New Roman" w:hAnsi="Times New Roman" w:eastAsia="宋体" w:cs="Times New Roman"/>
          <w:sz w:val="24"/>
          <w:szCs w:val="24"/>
        </w:rPr>
        <w:t>t，占评价区总生物量的</w:t>
      </w:r>
      <w:r>
        <w:rPr>
          <w:rFonts w:hint="eastAsia" w:cs="Times New Roman"/>
          <w:sz w:val="24"/>
          <w:szCs w:val="24"/>
          <w:lang w:val="en-US" w:eastAsia="zh-CN"/>
        </w:rPr>
        <w:t>90.82</w:t>
      </w:r>
      <w:r>
        <w:rPr>
          <w:rFonts w:hint="eastAsia" w:ascii="Times New Roman" w:hAnsi="Times New Roman" w:eastAsia="宋体" w:cs="Times New Roman"/>
          <w:sz w:val="24"/>
          <w:szCs w:val="24"/>
        </w:rPr>
        <w:t>%；阔叶林的总生物量，为</w:t>
      </w:r>
      <w:r>
        <w:rPr>
          <w:rFonts w:hint="eastAsia" w:ascii="Times New Roman" w:hAnsi="Times New Roman" w:eastAsia="宋体" w:cs="Times New Roman"/>
          <w:i w:val="0"/>
          <w:iCs w:val="0"/>
          <w:color w:val="000000"/>
          <w:kern w:val="0"/>
          <w:sz w:val="24"/>
          <w:szCs w:val="24"/>
          <w:u w:val="none" w:color="auto"/>
          <w:lang w:val="en-US" w:eastAsia="zh-CN" w:bidi="ar"/>
        </w:rPr>
        <w:t>7536.11</w:t>
      </w:r>
      <w:r>
        <w:rPr>
          <w:rFonts w:hint="eastAsia" w:ascii="Times New Roman" w:hAnsi="Times New Roman" w:eastAsia="宋体" w:cs="Times New Roman"/>
          <w:sz w:val="24"/>
          <w:szCs w:val="24"/>
        </w:rPr>
        <w:t>t，占评价区总生物量的</w:t>
      </w:r>
      <w:r>
        <w:rPr>
          <w:rFonts w:hint="eastAsia" w:cs="Times New Roman"/>
          <w:sz w:val="24"/>
          <w:szCs w:val="24"/>
          <w:lang w:val="en-US" w:eastAsia="zh-CN"/>
        </w:rPr>
        <w:t>25.74</w:t>
      </w:r>
      <w:r>
        <w:rPr>
          <w:rFonts w:hint="eastAsia" w:ascii="Times New Roman" w:hAnsi="Times New Roman" w:eastAsia="宋体" w:cs="Times New Roman"/>
          <w:sz w:val="24"/>
          <w:szCs w:val="24"/>
        </w:rPr>
        <w:t>%；灌丛及灌草丛生物量为</w:t>
      </w:r>
      <w:r>
        <w:rPr>
          <w:rFonts w:hint="eastAsia" w:ascii="Times New Roman" w:hAnsi="Times New Roman" w:eastAsia="宋体" w:cs="Times New Roman"/>
          <w:i w:val="0"/>
          <w:iCs w:val="0"/>
          <w:color w:val="000000"/>
          <w:kern w:val="0"/>
          <w:sz w:val="24"/>
          <w:szCs w:val="24"/>
          <w:u w:val="none" w:color="auto"/>
          <w:lang w:val="en-US" w:eastAsia="zh-CN" w:bidi="ar"/>
        </w:rPr>
        <w:t>12626.51</w:t>
      </w:r>
      <w:r>
        <w:rPr>
          <w:rFonts w:hint="eastAsia" w:ascii="Times New Roman" w:hAnsi="Times New Roman" w:eastAsia="宋体" w:cs="Times New Roman"/>
          <w:sz w:val="24"/>
          <w:szCs w:val="24"/>
        </w:rPr>
        <w:t>t，占评价区总生物量的</w:t>
      </w:r>
      <w:r>
        <w:rPr>
          <w:rFonts w:hint="eastAsia" w:ascii="Times New Roman" w:hAnsi="Times New Roman" w:eastAsia="宋体" w:cs="Times New Roman"/>
          <w:i w:val="0"/>
          <w:iCs w:val="0"/>
          <w:color w:val="000000"/>
          <w:kern w:val="0"/>
          <w:sz w:val="24"/>
          <w:szCs w:val="24"/>
          <w:u w:val="none" w:color="auto"/>
          <w:lang w:val="en-US" w:eastAsia="zh-CN" w:bidi="ar"/>
        </w:rPr>
        <w:t>43.13</w:t>
      </w:r>
      <w:r>
        <w:rPr>
          <w:rFonts w:hint="eastAsia" w:ascii="Times New Roman" w:hAnsi="Times New Roman" w:eastAsia="宋体" w:cs="Times New Roman"/>
          <w:sz w:val="24"/>
          <w:szCs w:val="24"/>
        </w:rPr>
        <w:t>%。农作物和河流水域生物量比例均较小，不足1%。</w:t>
      </w:r>
    </w:p>
    <w:p>
      <w:pPr>
        <w:pStyle w:val="458"/>
        <w:ind w:firstLine="602"/>
        <w:rPr>
          <w:rFonts w:hint="eastAsia"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14:textFill>
            <w14:solidFill>
              <w14:schemeClr w14:val="tx1"/>
            </w14:solidFill>
          </w14:textFill>
        </w:rPr>
        <w:t>陆生动物资源现状</w:t>
      </w:r>
    </w:p>
    <w:p>
      <w:pPr>
        <w:bidi w:val="0"/>
        <w:rPr>
          <w:b/>
          <w:bCs/>
        </w:rPr>
      </w:pPr>
      <w:bookmarkStart w:id="93" w:name="_Toc484687250"/>
      <w:bookmarkStart w:id="94" w:name="_Toc448490614"/>
      <w:r>
        <w:rPr>
          <w:rFonts w:hint="eastAsia"/>
          <w:b/>
          <w:bCs/>
        </w:rPr>
        <w:t>3.5.5.1</w:t>
      </w:r>
      <w:r>
        <w:rPr>
          <w:b/>
          <w:bCs/>
        </w:rPr>
        <w:t>物种组成</w:t>
      </w:r>
      <w:bookmarkEnd w:id="93"/>
      <w:bookmarkEnd w:id="94"/>
    </w:p>
    <w:p>
      <w:pPr>
        <w:bidi w:val="0"/>
        <w:rPr>
          <w:rFonts w:hint="eastAsia"/>
        </w:rPr>
      </w:pPr>
      <w:r>
        <w:t>根据实地考察及对相关资料的综合分析，评价区范围内共有陆生野生脊椎动物4纲</w:t>
      </w:r>
      <w:r>
        <w:rPr>
          <w:rFonts w:hint="eastAsia"/>
        </w:rPr>
        <w:t>11</w:t>
      </w:r>
      <w:r>
        <w:t>目</w:t>
      </w:r>
      <w:r>
        <w:rPr>
          <w:rFonts w:hint="eastAsia"/>
        </w:rPr>
        <w:t>36</w:t>
      </w:r>
      <w:r>
        <w:t>科</w:t>
      </w:r>
      <w:r>
        <w:rPr>
          <w:rFonts w:hint="eastAsia"/>
        </w:rPr>
        <w:t>84</w:t>
      </w:r>
      <w:r>
        <w:t>种。评价区内无国家Ⅰ级重点保护野生动物，有国家Ⅱ级重点保护野生动物</w:t>
      </w:r>
      <w:r>
        <w:rPr>
          <w:rFonts w:hint="eastAsia"/>
          <w:lang w:val="en-US" w:eastAsia="zh-CN"/>
        </w:rPr>
        <w:t>7</w:t>
      </w:r>
      <w:r>
        <w:t>种，有湖南省级重点保护野生动物</w:t>
      </w:r>
      <w:r>
        <w:rPr>
          <w:rFonts w:hint="eastAsia"/>
          <w:lang w:val="en-US" w:eastAsia="zh-CN"/>
        </w:rPr>
        <w:t>56</w:t>
      </w:r>
      <w:r>
        <w:t>种。评价区两栖类、爬行类、鸟类、兽类各纲的种类组成、保护等级参见表</w:t>
      </w:r>
      <w:r>
        <w:rPr>
          <w:rFonts w:hint="eastAsia"/>
        </w:rPr>
        <w:t>3-</w:t>
      </w:r>
      <w:r>
        <w:rPr>
          <w:rFonts w:hint="eastAsia"/>
          <w:lang w:val="en-US" w:eastAsia="zh-CN"/>
        </w:rPr>
        <w:t>1</w:t>
      </w:r>
      <w:r>
        <w:rPr>
          <w:rFonts w:hint="eastAsia"/>
        </w:rPr>
        <w:t>6。</w:t>
      </w:r>
    </w:p>
    <w:p>
      <w:pPr>
        <w:pStyle w:val="3587"/>
        <w:bidi w:val="0"/>
        <w:rPr>
          <w:rFonts w:hint="eastAsia" w:ascii="Times New Roman" w:hAnsi="Times New Roman" w:eastAsia="宋体" w:cs="Times New Roman"/>
          <w:u w:val="none" w:color="auto"/>
          <w:lang w:eastAsia="zh-CN"/>
        </w:rPr>
      </w:pPr>
      <w:r>
        <w:rPr>
          <w:rFonts w:hint="eastAsia" w:ascii="Times New Roman" w:hAnsi="Times New Roman" w:eastAsia="宋体" w:cs="Times New Roman"/>
          <w:u w:val="none" w:color="auto"/>
          <w:lang w:eastAsia="zh-CN"/>
        </w:rPr>
        <w:t>评价区陆生脊椎动物种类组成、区系和保护等级</w:t>
      </w:r>
    </w:p>
    <w:tbl>
      <w:tblPr>
        <w:tblStyle w:val="88"/>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7" w:type="dxa"/>
          <w:bottom w:w="0" w:type="dxa"/>
          <w:right w:w="57" w:type="dxa"/>
        </w:tblCellMar>
      </w:tblPr>
      <w:tblGrid>
        <w:gridCol w:w="1785"/>
        <w:gridCol w:w="1073"/>
        <w:gridCol w:w="1076"/>
        <w:gridCol w:w="1354"/>
        <w:gridCol w:w="1405"/>
        <w:gridCol w:w="1268"/>
        <w:gridCol w:w="12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2879" w:type="pct"/>
            <w:gridSpan w:val="4"/>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种类组成</w:t>
            </w:r>
          </w:p>
        </w:tc>
        <w:tc>
          <w:tcPr>
            <w:tcW w:w="2120" w:type="pct"/>
            <w:gridSpan w:val="3"/>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保护级别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972"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纲</w:t>
            </w:r>
          </w:p>
        </w:tc>
        <w:tc>
          <w:tcPr>
            <w:tcW w:w="584"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目</w:t>
            </w:r>
          </w:p>
        </w:tc>
        <w:tc>
          <w:tcPr>
            <w:tcW w:w="586"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科</w:t>
            </w:r>
          </w:p>
        </w:tc>
        <w:tc>
          <w:tcPr>
            <w:tcW w:w="73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种</w:t>
            </w:r>
          </w:p>
        </w:tc>
        <w:tc>
          <w:tcPr>
            <w:tcW w:w="76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国家I级</w:t>
            </w:r>
          </w:p>
        </w:tc>
        <w:tc>
          <w:tcPr>
            <w:tcW w:w="69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国家Ⅱ级</w:t>
            </w:r>
          </w:p>
        </w:tc>
        <w:tc>
          <w:tcPr>
            <w:tcW w:w="664"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湖南省级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972"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两栖纲</w:t>
            </w:r>
          </w:p>
        </w:tc>
        <w:tc>
          <w:tcPr>
            <w:tcW w:w="584"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1</w:t>
            </w:r>
          </w:p>
        </w:tc>
        <w:tc>
          <w:tcPr>
            <w:tcW w:w="586"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4</w:t>
            </w:r>
          </w:p>
        </w:tc>
        <w:tc>
          <w:tcPr>
            <w:tcW w:w="73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8</w:t>
            </w:r>
          </w:p>
        </w:tc>
        <w:tc>
          <w:tcPr>
            <w:tcW w:w="76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0</w:t>
            </w:r>
          </w:p>
        </w:tc>
        <w:tc>
          <w:tcPr>
            <w:tcW w:w="69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1</w:t>
            </w:r>
          </w:p>
        </w:tc>
        <w:tc>
          <w:tcPr>
            <w:tcW w:w="664"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972"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爬行纲</w:t>
            </w:r>
          </w:p>
        </w:tc>
        <w:tc>
          <w:tcPr>
            <w:tcW w:w="584"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1</w:t>
            </w:r>
          </w:p>
        </w:tc>
        <w:tc>
          <w:tcPr>
            <w:tcW w:w="586"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4</w:t>
            </w:r>
          </w:p>
        </w:tc>
        <w:tc>
          <w:tcPr>
            <w:tcW w:w="73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10</w:t>
            </w:r>
          </w:p>
        </w:tc>
        <w:tc>
          <w:tcPr>
            <w:tcW w:w="76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0</w:t>
            </w:r>
          </w:p>
        </w:tc>
        <w:tc>
          <w:tcPr>
            <w:tcW w:w="69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0</w:t>
            </w:r>
          </w:p>
        </w:tc>
        <w:tc>
          <w:tcPr>
            <w:tcW w:w="664"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972"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鸟纲</w:t>
            </w:r>
          </w:p>
        </w:tc>
        <w:tc>
          <w:tcPr>
            <w:tcW w:w="584"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5</w:t>
            </w:r>
          </w:p>
        </w:tc>
        <w:tc>
          <w:tcPr>
            <w:tcW w:w="586"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20</w:t>
            </w:r>
          </w:p>
        </w:tc>
        <w:tc>
          <w:tcPr>
            <w:tcW w:w="73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52</w:t>
            </w:r>
          </w:p>
        </w:tc>
        <w:tc>
          <w:tcPr>
            <w:tcW w:w="76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0</w:t>
            </w:r>
          </w:p>
        </w:tc>
        <w:tc>
          <w:tcPr>
            <w:tcW w:w="69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eastAsia="宋体" w:cs="Times New Roman"/>
                <w:color w:val="auto"/>
                <w:sz w:val="21"/>
                <w:szCs w:val="21"/>
                <w:lang w:val="en-US" w:eastAsia="zh-CN"/>
              </w:rPr>
              <w:t>6</w:t>
            </w:r>
          </w:p>
        </w:tc>
        <w:tc>
          <w:tcPr>
            <w:tcW w:w="664"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972"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兽纲</w:t>
            </w:r>
          </w:p>
        </w:tc>
        <w:tc>
          <w:tcPr>
            <w:tcW w:w="584"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4</w:t>
            </w:r>
          </w:p>
        </w:tc>
        <w:tc>
          <w:tcPr>
            <w:tcW w:w="586"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8</w:t>
            </w:r>
          </w:p>
        </w:tc>
        <w:tc>
          <w:tcPr>
            <w:tcW w:w="73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14</w:t>
            </w:r>
          </w:p>
        </w:tc>
        <w:tc>
          <w:tcPr>
            <w:tcW w:w="76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0</w:t>
            </w:r>
          </w:p>
        </w:tc>
        <w:tc>
          <w:tcPr>
            <w:tcW w:w="69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0</w:t>
            </w:r>
          </w:p>
        </w:tc>
        <w:tc>
          <w:tcPr>
            <w:tcW w:w="664"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972"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合计</w:t>
            </w:r>
          </w:p>
        </w:tc>
        <w:tc>
          <w:tcPr>
            <w:tcW w:w="584"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11</w:t>
            </w:r>
          </w:p>
        </w:tc>
        <w:tc>
          <w:tcPr>
            <w:tcW w:w="586"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36</w:t>
            </w:r>
          </w:p>
        </w:tc>
        <w:tc>
          <w:tcPr>
            <w:tcW w:w="73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84</w:t>
            </w:r>
          </w:p>
        </w:tc>
        <w:tc>
          <w:tcPr>
            <w:tcW w:w="765"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0</w:t>
            </w:r>
          </w:p>
        </w:tc>
        <w:tc>
          <w:tcPr>
            <w:tcW w:w="690"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eastAsia="宋体" w:cs="Times New Roman"/>
                <w:color w:val="auto"/>
                <w:sz w:val="21"/>
                <w:szCs w:val="21"/>
                <w:lang w:val="en-US" w:eastAsia="zh-CN"/>
              </w:rPr>
              <w:t>7</w:t>
            </w:r>
          </w:p>
        </w:tc>
        <w:tc>
          <w:tcPr>
            <w:tcW w:w="664"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fldChar w:fldCharType="begin"/>
            </w:r>
            <w:r>
              <w:rPr>
                <w:rFonts w:hint="eastAsia" w:ascii="Times New Roman" w:hAnsi="Times New Roman" w:eastAsia="宋体" w:cs="Times New Roman"/>
                <w:color w:val="auto"/>
                <w:sz w:val="21"/>
                <w:szCs w:val="21"/>
                <w:lang w:eastAsia="zh-CN"/>
              </w:rPr>
              <w:instrText xml:space="preserve"> = sum(G3:G6) \* MERGEFORMAT </w:instrText>
            </w:r>
            <w:r>
              <w:rPr>
                <w:rFonts w:hint="eastAsia" w:ascii="Times New Roman" w:hAnsi="Times New Roman" w:eastAsia="宋体" w:cs="Times New Roman"/>
                <w:color w:val="auto"/>
                <w:sz w:val="21"/>
                <w:szCs w:val="21"/>
                <w:lang w:eastAsia="zh-CN"/>
              </w:rPr>
              <w:fldChar w:fldCharType="separate"/>
            </w:r>
            <w:r>
              <w:rPr>
                <w:rFonts w:hint="eastAsia" w:ascii="Times New Roman" w:hAnsi="Times New Roman" w:eastAsia="宋体" w:cs="Times New Roman"/>
                <w:color w:val="auto"/>
                <w:sz w:val="21"/>
                <w:szCs w:val="21"/>
                <w:lang w:eastAsia="zh-CN"/>
              </w:rPr>
              <w:t>56</w:t>
            </w:r>
            <w:r>
              <w:rPr>
                <w:rFonts w:hint="eastAsia" w:ascii="Times New Roman" w:hAnsi="Times New Roman" w:eastAsia="宋体" w:cs="Times New Roman"/>
                <w:color w:val="auto"/>
                <w:sz w:val="21"/>
                <w:szCs w:val="21"/>
                <w:lang w:eastAsia="zh-CN"/>
              </w:rPr>
              <w:fldChar w:fldCharType="end"/>
            </w:r>
          </w:p>
        </w:tc>
      </w:tr>
    </w:tbl>
    <w:p>
      <w:pPr>
        <w:bidi w:val="0"/>
        <w:rPr>
          <w:b/>
          <w:bCs/>
        </w:rPr>
      </w:pPr>
      <w:bookmarkStart w:id="95" w:name="_Toc484687251"/>
      <w:bookmarkStart w:id="96" w:name="_Toc448490615"/>
      <w:r>
        <w:rPr>
          <w:rFonts w:hint="eastAsia"/>
          <w:b/>
          <w:bCs/>
        </w:rPr>
        <w:t>3.5.5.2</w:t>
      </w:r>
      <w:r>
        <w:rPr>
          <w:b/>
          <w:bCs/>
        </w:rPr>
        <w:t>动物多样性</w:t>
      </w:r>
      <w:bookmarkEnd w:id="95"/>
      <w:bookmarkEnd w:id="96"/>
    </w:p>
    <w:p>
      <w:pPr>
        <w:bidi w:val="0"/>
      </w:pPr>
      <w:bookmarkStart w:id="97" w:name="_Toc443555135"/>
      <w:r>
        <w:t>为表示各类动物种类数量的丰富度，采用数量等级方法：对某动物种群在单位面积内其数量占所调查动物总数的10%以上，用“+++”表示，该种群为当地优势种；对某动物种群占调查总数的1~10%，用“++”表示，该动物种为当地普通种；对某动物种群占调查总数的1%以下，用“+”表示，该物种为当地稀有种。数量等级评价标准见表</w:t>
      </w:r>
      <w:r>
        <w:rPr>
          <w:rFonts w:hint="eastAsia"/>
        </w:rPr>
        <w:t>3</w:t>
      </w:r>
      <w:r>
        <w:rPr>
          <w:rFonts w:hint="eastAsia"/>
          <w:lang w:val="en-US" w:eastAsia="zh-CN"/>
        </w:rPr>
        <w:t>-1</w:t>
      </w:r>
      <w:r>
        <w:rPr>
          <w:rFonts w:hint="eastAsia"/>
        </w:rPr>
        <w:t>7</w:t>
      </w:r>
      <w:r>
        <w:t>。</w:t>
      </w:r>
    </w:p>
    <w:p>
      <w:pPr>
        <w:pStyle w:val="3587"/>
        <w:bidi w:val="0"/>
        <w:rPr>
          <w:rFonts w:hint="eastAsia" w:ascii="Times New Roman" w:hAnsi="Times New Roman" w:eastAsia="宋体" w:cs="Times New Roman"/>
          <w:u w:val="none" w:color="auto"/>
          <w:lang w:eastAsia="zh-CN"/>
        </w:rPr>
      </w:pPr>
      <w:r>
        <w:rPr>
          <w:rFonts w:hint="eastAsia" w:ascii="Times New Roman" w:hAnsi="Times New Roman" w:eastAsia="宋体" w:cs="Times New Roman"/>
          <w:u w:val="none" w:color="auto"/>
          <w:lang w:eastAsia="zh-CN"/>
        </w:rPr>
        <w:t>动物资源数量等级评价标准</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7"/>
        <w:gridCol w:w="1012"/>
        <w:gridCol w:w="6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7" w:type="dxa"/>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种群状况</w:t>
            </w:r>
          </w:p>
        </w:tc>
        <w:tc>
          <w:tcPr>
            <w:tcW w:w="1012" w:type="dxa"/>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数量级</w:t>
            </w:r>
          </w:p>
        </w:tc>
        <w:tc>
          <w:tcPr>
            <w:tcW w:w="6243" w:type="dxa"/>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7" w:type="dxa"/>
            <w:noWrap w:val="0"/>
            <w:vAlign w:val="top"/>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优势种</w:t>
            </w:r>
          </w:p>
        </w:tc>
        <w:tc>
          <w:tcPr>
            <w:tcW w:w="1012" w:type="dxa"/>
            <w:noWrap w:val="0"/>
            <w:vAlign w:val="top"/>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w:t>
            </w:r>
          </w:p>
        </w:tc>
        <w:tc>
          <w:tcPr>
            <w:tcW w:w="6243" w:type="dxa"/>
            <w:noWrap w:val="0"/>
            <w:vAlign w:val="top"/>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单位面积内其数量占所调查动物总数的10%以上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7" w:type="dxa"/>
            <w:noWrap w:val="0"/>
            <w:vAlign w:val="top"/>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普通种</w:t>
            </w:r>
          </w:p>
        </w:tc>
        <w:tc>
          <w:tcPr>
            <w:tcW w:w="1012" w:type="dxa"/>
            <w:noWrap w:val="0"/>
            <w:vAlign w:val="top"/>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w:t>
            </w:r>
          </w:p>
        </w:tc>
        <w:tc>
          <w:tcPr>
            <w:tcW w:w="6243" w:type="dxa"/>
            <w:noWrap w:val="0"/>
            <w:vAlign w:val="top"/>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单位面积内其数量占所调查动物总数的1~10%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67" w:type="dxa"/>
            <w:noWrap w:val="0"/>
            <w:vAlign w:val="top"/>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稀有种</w:t>
            </w:r>
          </w:p>
        </w:tc>
        <w:tc>
          <w:tcPr>
            <w:tcW w:w="1012" w:type="dxa"/>
            <w:noWrap w:val="0"/>
            <w:vAlign w:val="top"/>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w:t>
            </w:r>
          </w:p>
        </w:tc>
        <w:tc>
          <w:tcPr>
            <w:tcW w:w="6243" w:type="dxa"/>
            <w:noWrap w:val="0"/>
            <w:vAlign w:val="top"/>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单位面积内其数量占所调查动物总数的1%以下</w:t>
            </w:r>
          </w:p>
        </w:tc>
      </w:tr>
    </w:tbl>
    <w:p>
      <w:pPr>
        <w:bidi w:val="0"/>
        <w:rPr>
          <w:rFonts w:hint="eastAsia"/>
        </w:rPr>
      </w:pPr>
      <w:r>
        <w:rPr>
          <w:rFonts w:hint="eastAsia"/>
        </w:rPr>
        <w:t>1、两栖类</w:t>
      </w:r>
      <w:bookmarkEnd w:id="97"/>
    </w:p>
    <w:p>
      <w:pPr>
        <w:bidi w:val="0"/>
        <w:rPr>
          <w:lang w:val="zh-CN"/>
        </w:rPr>
      </w:pPr>
      <w:r>
        <w:t>主要通过</w:t>
      </w:r>
      <w:r>
        <w:rPr>
          <w:lang w:val="zh-CN"/>
        </w:rPr>
        <w:t>座谈访问和查阅已发表的评价区及其附近的相关文献资料，得出评价区野生</w:t>
      </w:r>
      <w:r>
        <w:t>两栖类种类、数量及分布</w:t>
      </w:r>
      <w:r>
        <w:rPr>
          <w:lang w:val="zh-CN"/>
        </w:rPr>
        <w:t>现状如下：</w:t>
      </w:r>
    </w:p>
    <w:p>
      <w:pPr>
        <w:bidi w:val="0"/>
        <w:rPr>
          <w:lang w:val="zh-CN"/>
        </w:rPr>
      </w:pPr>
      <w:r>
        <w:rPr>
          <w:lang w:val="zh-CN"/>
        </w:rPr>
        <w:t>（1）种类、数量及分布</w:t>
      </w:r>
    </w:p>
    <w:p>
      <w:pPr>
        <w:bidi w:val="0"/>
        <w:rPr>
          <w:lang w:val="zh-CN"/>
        </w:rPr>
      </w:pPr>
      <w:r>
        <w:rPr>
          <w:lang w:val="zh-CN"/>
        </w:rPr>
        <w:t>评价区内野生两栖动物种类有</w:t>
      </w:r>
      <w:r>
        <w:t>1</w:t>
      </w:r>
      <w:r>
        <w:rPr>
          <w:lang w:val="zh-CN"/>
        </w:rPr>
        <w:t>目4科</w:t>
      </w:r>
      <w:r>
        <w:rPr>
          <w:rFonts w:hint="eastAsia"/>
        </w:rPr>
        <w:t>8</w:t>
      </w:r>
      <w:r>
        <w:rPr>
          <w:lang w:val="zh-CN"/>
        </w:rPr>
        <w:t>种。其中蛙科种类最多，有5种，占评价区野生两栖类总数的</w:t>
      </w:r>
      <w:r>
        <w:rPr>
          <w:rFonts w:hint="eastAsia"/>
        </w:rPr>
        <w:t>62.5</w:t>
      </w:r>
      <w:r>
        <w:rPr>
          <w:lang w:val="zh-CN"/>
        </w:rPr>
        <w:t>%，</w:t>
      </w:r>
      <w:r>
        <w:t>评价区内未发现国家Ⅰ级重点保护野生两栖类分布；有国家Ⅱ级重点保护野生两栖类1种，为虎纹蛙（</w:t>
      </w:r>
      <w:r>
        <w:rPr>
          <w:i/>
          <w:iCs/>
        </w:rPr>
        <w:t>Hoplobatrachus chinensis</w:t>
      </w:r>
      <w:r>
        <w:t>）；其余</w:t>
      </w:r>
      <w:r>
        <w:rPr>
          <w:rFonts w:hint="eastAsia"/>
        </w:rPr>
        <w:t>6</w:t>
      </w:r>
      <w:r>
        <w:t>种均为湖南省级重点保护野生两栖类。其中</w:t>
      </w:r>
      <w:r>
        <w:rPr>
          <w:lang w:val="zh-CN"/>
        </w:rPr>
        <w:t>中华蟾蜍、小弧斑姬蛙、泽陆蛙等适应能力强，分布广，为评价范围常见种。</w:t>
      </w:r>
    </w:p>
    <w:p>
      <w:pPr>
        <w:bidi w:val="0"/>
        <w:rPr>
          <w:lang w:val="zh-CN"/>
        </w:rPr>
      </w:pPr>
      <w:r>
        <w:rPr>
          <w:lang w:val="zh-CN"/>
        </w:rPr>
        <w:t>（2）生态类型</w:t>
      </w:r>
    </w:p>
    <w:p>
      <w:pPr>
        <w:bidi w:val="0"/>
      </w:pPr>
      <w:r>
        <w:t>根据两栖动物生活习性的不同，将评价区内的</w:t>
      </w:r>
      <w:r>
        <w:rPr>
          <w:rFonts w:hint="eastAsia"/>
          <w:lang w:val="en-US" w:eastAsia="zh-CN"/>
        </w:rPr>
        <w:t>8</w:t>
      </w:r>
      <w:r>
        <w:t>种两栖动物分为以下4种生态类型：</w:t>
      </w:r>
    </w:p>
    <w:p>
      <w:pPr>
        <w:bidi w:val="0"/>
      </w:pPr>
      <w:r>
        <w:t>静水型（在静水或缓流中觅食）：有黑斑侧褶蛙</w:t>
      </w:r>
      <w:r>
        <w:rPr>
          <w:rFonts w:hint="eastAsia"/>
        </w:rPr>
        <w:t>（主要生活在海拔2000m以下的区域）</w:t>
      </w:r>
      <w:r>
        <w:t>、沼水蛙</w:t>
      </w:r>
      <w:r>
        <w:rPr>
          <w:rFonts w:hint="eastAsia"/>
        </w:rPr>
        <w:t>（主要生活在海拔1100m以下的区域）</w:t>
      </w:r>
      <w:r>
        <w:t>和虎纹蛙</w:t>
      </w:r>
      <w:r>
        <w:rPr>
          <w:rFonts w:hint="eastAsia"/>
        </w:rPr>
        <w:t>（主要生活在海拔900m以下的区域）</w:t>
      </w:r>
      <w:r>
        <w:t>共</w:t>
      </w:r>
      <w:r>
        <w:rPr>
          <w:rFonts w:hint="eastAsia"/>
          <w:lang w:val="en-US" w:eastAsia="zh-CN"/>
        </w:rPr>
        <w:t>3</w:t>
      </w:r>
      <w:r>
        <w:t>种。主要在</w:t>
      </w:r>
      <w:r>
        <w:rPr>
          <w:rFonts w:hint="eastAsia"/>
        </w:rPr>
        <w:t>汇集站评价区域</w:t>
      </w:r>
      <w:r>
        <w:t>内水流较缓的水域，如水田、水洼等处生活，与人类活动关系较密切。</w:t>
      </w:r>
    </w:p>
    <w:p>
      <w:pPr>
        <w:bidi w:val="0"/>
      </w:pPr>
      <w:r>
        <w:t>溪流型（在流水中活动觅食）：仅华南湍蛙（</w:t>
      </w:r>
      <w:r>
        <w:rPr>
          <w:i/>
          <w:iCs/>
        </w:rPr>
        <w:t>Amolops ricketti</w:t>
      </w:r>
      <w:r>
        <w:t>）1种。主要分布在评价范围内的山涧溪流</w:t>
      </w:r>
      <w:r>
        <w:rPr>
          <w:rFonts w:hint="eastAsia"/>
        </w:rPr>
        <w:t>，主要生活在海拔400m-1500m的区域</w:t>
      </w:r>
      <w:r>
        <w:t>。</w:t>
      </w:r>
    </w:p>
    <w:p>
      <w:pPr>
        <w:bidi w:val="0"/>
      </w:pPr>
      <w:r>
        <w:t>陆栖型（在陆地上活动觅食）：有中华蟾蜍、泽陆蛙共</w:t>
      </w:r>
      <w:r>
        <w:rPr>
          <w:rFonts w:hint="eastAsia"/>
        </w:rPr>
        <w:t>2</w:t>
      </w:r>
      <w:r>
        <w:t>种。它们主要是在评价区内离水源不远处或较潮湿的陆地上活动，分布较广泛。</w:t>
      </w:r>
    </w:p>
    <w:p>
      <w:pPr>
        <w:bidi w:val="0"/>
      </w:pPr>
      <w:r>
        <w:t>树栖型（在树上活动觅食，离水源较近的林子）：包括大树蛙和斑腿泛树蛙2种，主要分布在评价范围内离水源不远的林地。</w:t>
      </w:r>
    </w:p>
    <w:p>
      <w:pPr>
        <w:bidi w:val="0"/>
        <w:rPr>
          <w:rFonts w:hint="eastAsia"/>
        </w:rPr>
      </w:pPr>
      <w:r>
        <w:rPr>
          <w:rFonts w:hint="eastAsia"/>
        </w:rPr>
        <w:t>2、爬行类</w:t>
      </w:r>
    </w:p>
    <w:p>
      <w:pPr>
        <w:bidi w:val="0"/>
        <w:rPr>
          <w:lang w:val="zh-CN"/>
        </w:rPr>
      </w:pPr>
      <w:r>
        <w:t>主要通过</w:t>
      </w:r>
      <w:r>
        <w:rPr>
          <w:lang w:val="zh-CN"/>
        </w:rPr>
        <w:t>调查访问和查阅已发表的与在评价区及附近的相关的文献资料，得出评价区野生</w:t>
      </w:r>
      <w:r>
        <w:t>爬行类种类、数量及分布</w:t>
      </w:r>
      <w:r>
        <w:rPr>
          <w:lang w:val="zh-CN"/>
        </w:rPr>
        <w:t>现状如下：</w:t>
      </w:r>
    </w:p>
    <w:p>
      <w:pPr>
        <w:bidi w:val="0"/>
        <w:rPr>
          <w:lang w:val="zh-CN"/>
        </w:rPr>
      </w:pPr>
      <w:r>
        <w:rPr>
          <w:lang w:val="zh-CN"/>
        </w:rPr>
        <w:t>（1）种类、数量及分布</w:t>
      </w:r>
    </w:p>
    <w:p>
      <w:pPr>
        <w:bidi w:val="0"/>
      </w:pPr>
      <w:r>
        <w:t>评价区内爬行类共有1目</w:t>
      </w:r>
      <w:r>
        <w:rPr>
          <w:rFonts w:hint="eastAsia"/>
        </w:rPr>
        <w:t>4</w:t>
      </w:r>
      <w:r>
        <w:t>科</w:t>
      </w:r>
      <w:r>
        <w:rPr>
          <w:rFonts w:hint="eastAsia"/>
          <w:lang w:val="en-US" w:eastAsia="zh-CN"/>
        </w:rPr>
        <w:t>10</w:t>
      </w:r>
      <w:r>
        <w:t>种。其中游蛇科的种类最多，有</w:t>
      </w:r>
      <w:r>
        <w:rPr>
          <w:rFonts w:hint="eastAsia"/>
        </w:rPr>
        <w:t>6</w:t>
      </w:r>
      <w:r>
        <w:t>种，占评价区内野生爬行类总数的</w:t>
      </w:r>
      <w:r>
        <w:rPr>
          <w:rFonts w:hint="eastAsia"/>
        </w:rPr>
        <w:t>60</w:t>
      </w:r>
      <w:r>
        <w:t>%；其次为石龙子科，</w:t>
      </w:r>
      <w:r>
        <w:rPr>
          <w:rFonts w:hint="eastAsia"/>
        </w:rPr>
        <w:t>4</w:t>
      </w:r>
      <w:r>
        <w:t>种，占评价区内野生爬行类总数的</w:t>
      </w:r>
      <w:r>
        <w:rPr>
          <w:rFonts w:hint="eastAsia"/>
        </w:rPr>
        <w:t>40</w:t>
      </w:r>
      <w:r>
        <w:t>%。评价区内无国家级重点保护野生爬行类分布；除蓝尾石龙子（Eumeces elegans）外其他均为湖南省级重点保护野生动物。</w:t>
      </w:r>
    </w:p>
    <w:p>
      <w:pPr>
        <w:bidi w:val="0"/>
        <w:rPr>
          <w:lang w:val="zh-CN"/>
        </w:rPr>
      </w:pPr>
      <w:r>
        <w:rPr>
          <w:lang w:val="zh-CN"/>
        </w:rPr>
        <w:t>（2）生态类型</w:t>
      </w:r>
    </w:p>
    <w:p>
      <w:pPr>
        <w:bidi w:val="0"/>
      </w:pPr>
      <w:r>
        <w:t>根据爬行动物生活习性的不同，将评价区内的1</w:t>
      </w:r>
      <w:r>
        <w:rPr>
          <w:rFonts w:hint="eastAsia"/>
        </w:rPr>
        <w:t>0</w:t>
      </w:r>
      <w:r>
        <w:t>种爬行动物分为以下2种生态类型：</w:t>
      </w:r>
    </w:p>
    <w:p>
      <w:pPr>
        <w:bidi w:val="0"/>
      </w:pPr>
      <w:r>
        <w:t>灌丛石隙型（经常活动在灌丛下面，路边石缝中的爬行类）：包括中国石龙子、蓝尾石龙子、铜蜓蜥、北草蜥、</w:t>
      </w:r>
      <w:r>
        <w:rPr>
          <w:rFonts w:hint="eastAsia"/>
        </w:rPr>
        <w:t>尖吻蝮</w:t>
      </w:r>
      <w:r>
        <w:t>、短尾蝮共6种，它们主要在评价区内的路边灌草丛、石堆中活动，与人类活动关系较密切。</w:t>
      </w:r>
    </w:p>
    <w:p>
      <w:pPr>
        <w:bidi w:val="0"/>
      </w:pPr>
      <w:r>
        <w:t>林栖傍水型（在山谷间有溪流的山坡上活动）：包括</w:t>
      </w:r>
      <w:r>
        <w:rPr>
          <w:rFonts w:hint="eastAsia"/>
        </w:rPr>
        <w:t>赤链蛇、王锦蛇、黑眉锦蛇、乌梢蛇、共4种</w:t>
      </w:r>
      <w:r>
        <w:t>。水域附近的山间林地活动。评价区林栖傍水型爬行类种类数量最多，此种生态类型构成了评价区中爬行类的主体。</w:t>
      </w:r>
    </w:p>
    <w:p>
      <w:pPr>
        <w:bidi w:val="0"/>
        <w:rPr>
          <w:rFonts w:hint="eastAsia"/>
        </w:rPr>
      </w:pPr>
      <w:bookmarkStart w:id="98" w:name="_Toc443555137"/>
      <w:r>
        <w:rPr>
          <w:rFonts w:hint="eastAsia"/>
        </w:rPr>
        <w:t>3、鸟类</w:t>
      </w:r>
      <w:bookmarkEnd w:id="98"/>
    </w:p>
    <w:p>
      <w:pPr>
        <w:bidi w:val="0"/>
        <w:rPr>
          <w:lang w:val="zh-CN"/>
        </w:rPr>
      </w:pPr>
      <w:r>
        <w:rPr>
          <w:lang w:val="zh-CN"/>
        </w:rPr>
        <w:t>采用样线法对评价区的鸟类进行了实地调查，以及通过查阅相关文献，进行综合分析，得出</w:t>
      </w:r>
      <w:r>
        <w:t>评价区</w:t>
      </w:r>
      <w:r>
        <w:rPr>
          <w:lang w:val="zh-CN"/>
        </w:rPr>
        <w:t>内野生</w:t>
      </w:r>
      <w:r>
        <w:t>鸟类种类、数量及分布</w:t>
      </w:r>
      <w:r>
        <w:rPr>
          <w:lang w:val="zh-CN"/>
        </w:rPr>
        <w:t>现状如下：</w:t>
      </w:r>
    </w:p>
    <w:p>
      <w:pPr>
        <w:bidi w:val="0"/>
        <w:rPr>
          <w:lang w:val="zh-CN"/>
        </w:rPr>
      </w:pPr>
      <w:r>
        <w:rPr>
          <w:lang w:val="zh-CN"/>
        </w:rPr>
        <w:t>（1）种类、数量及分布</w:t>
      </w:r>
    </w:p>
    <w:p>
      <w:pPr>
        <w:bidi w:val="0"/>
      </w:pPr>
      <w:r>
        <w:t>评价区内共分布有野生鸟类</w:t>
      </w:r>
      <w:r>
        <w:rPr>
          <w:rFonts w:hint="eastAsia"/>
        </w:rPr>
        <w:t>52</w:t>
      </w:r>
      <w:r>
        <w:t>种，隶属于</w:t>
      </w:r>
      <w:r>
        <w:rPr>
          <w:rFonts w:hint="eastAsia"/>
        </w:rPr>
        <w:t>5</w:t>
      </w:r>
      <w:r>
        <w:t>目2</w:t>
      </w:r>
      <w:r>
        <w:rPr>
          <w:rFonts w:hint="eastAsia"/>
        </w:rPr>
        <w:t>0</w:t>
      </w:r>
      <w:r>
        <w:t>科。其中，以雀形目鸟类最多，共</w:t>
      </w:r>
      <w:r>
        <w:rPr>
          <w:rFonts w:hint="eastAsia"/>
        </w:rPr>
        <w:t>32</w:t>
      </w:r>
      <w:r>
        <w:t>种，占评价区内野生鸟类总数的</w:t>
      </w:r>
      <w:r>
        <w:rPr>
          <w:rFonts w:hint="eastAsia"/>
        </w:rPr>
        <w:t>61.5</w:t>
      </w:r>
      <w:r>
        <w:t>%。评价区内未发现国家Ⅰ级重点保护野生鸟类分布，有国家Ⅱ级重点保护野生鸟类</w:t>
      </w:r>
      <w:r>
        <w:rPr>
          <w:rFonts w:hint="eastAsia"/>
        </w:rPr>
        <w:t>6</w:t>
      </w:r>
      <w:r>
        <w:t>种，除白鹇（</w:t>
      </w:r>
      <w:r>
        <w:rPr>
          <w:i/>
          <w:iCs/>
        </w:rPr>
        <w:t>Lophura nycthemera</w:t>
      </w:r>
      <w:r>
        <w:t>）外，其他全为猛禽，即普通鵟（</w:t>
      </w:r>
      <w:r>
        <w:rPr>
          <w:i/>
          <w:iCs/>
        </w:rPr>
        <w:t>Buteo buteo</w:t>
      </w:r>
      <w:r>
        <w:t>）、黑鸢（</w:t>
      </w:r>
      <w:r>
        <w:rPr>
          <w:i/>
          <w:iCs/>
        </w:rPr>
        <w:t>Milvus migrans</w:t>
      </w:r>
      <w:r>
        <w:t>）、红隼（</w:t>
      </w:r>
      <w:r>
        <w:rPr>
          <w:i/>
          <w:iCs/>
        </w:rPr>
        <w:t>Falco tinnunculus</w:t>
      </w:r>
      <w:r>
        <w:t>）</w:t>
      </w:r>
      <w:r>
        <w:rPr>
          <w:rFonts w:hint="eastAsia"/>
        </w:rPr>
        <w:t>、</w:t>
      </w:r>
      <w:r>
        <w:t>松雀鹰（</w:t>
      </w:r>
      <w:r>
        <w:rPr>
          <w:i/>
          <w:iCs/>
        </w:rPr>
        <w:t>Accipiter virgatus</w:t>
      </w:r>
      <w:r>
        <w:t>）和领角鸮（</w:t>
      </w:r>
      <w:r>
        <w:rPr>
          <w:i/>
          <w:iCs/>
        </w:rPr>
        <w:t>Otus bakkamoena</w:t>
      </w:r>
      <w:r>
        <w:t>），有湖南省级重点保护野生鸟类</w:t>
      </w:r>
      <w:r>
        <w:rPr>
          <w:rFonts w:hint="eastAsia"/>
        </w:rPr>
        <w:t>34</w:t>
      </w:r>
      <w:r>
        <w:t>种，包括环颈雉、灰胸竹鸡、山斑鸠、珠颈斑鸠、大鹰鹃（</w:t>
      </w:r>
      <w:r>
        <w:rPr>
          <w:i/>
          <w:iCs/>
        </w:rPr>
        <w:t>Cuculus sparverioides</w:t>
      </w:r>
      <w:r>
        <w:t>）、大杜鹃</w:t>
      </w:r>
      <w:r>
        <w:rPr>
          <w:rFonts w:hint="eastAsia"/>
        </w:rPr>
        <w:t>、</w:t>
      </w:r>
      <w:r>
        <w:t>四声杜鹃等。其中，珠颈斑鸠、家燕、大山雀、白鹡鸰、白头鹎、领雀嘴鹎、棕背伯劳、喜鹊、金翅雀等为评价区内的优势种，数量较多。</w:t>
      </w:r>
    </w:p>
    <w:p>
      <w:pPr>
        <w:bidi w:val="0"/>
      </w:pPr>
      <w:r>
        <w:rPr>
          <w:lang w:val="zh-CN"/>
        </w:rPr>
        <w:t>（2）</w:t>
      </w:r>
      <w:r>
        <w:t>生态类型</w:t>
      </w:r>
    </w:p>
    <w:p>
      <w:pPr>
        <w:bidi w:val="0"/>
        <w:rPr>
          <w:lang w:val="zh-CN"/>
        </w:rPr>
      </w:pPr>
      <w:r>
        <w:rPr>
          <w:lang w:val="zh-CN"/>
        </w:rPr>
        <w:t>根据鸟类生活习性的不同，将评价区内的</w:t>
      </w:r>
      <w:r>
        <w:rPr>
          <w:rFonts w:hint="eastAsia"/>
        </w:rPr>
        <w:t>52</w:t>
      </w:r>
      <w:r>
        <w:rPr>
          <w:lang w:val="zh-CN"/>
        </w:rPr>
        <w:t>种野生鸟类分为以下</w:t>
      </w:r>
      <w:r>
        <w:rPr>
          <w:rFonts w:hint="eastAsia"/>
        </w:rPr>
        <w:t>4</w:t>
      </w:r>
      <w:r>
        <w:rPr>
          <w:lang w:val="zh-CN"/>
        </w:rPr>
        <w:t>种生态类型：</w:t>
      </w:r>
    </w:p>
    <w:p>
      <w:pPr>
        <w:bidi w:val="0"/>
      </w:pPr>
      <w:r>
        <w:t>陆禽（</w:t>
      </w:r>
      <w:r>
        <w:rPr>
          <w:lang w:val="zh-CN"/>
        </w:rPr>
        <w:t>体格结实</w:t>
      </w:r>
      <w:r>
        <w:t>，</w:t>
      </w:r>
      <w:r>
        <w:rPr>
          <w:lang w:val="zh-CN"/>
        </w:rPr>
        <w:t>嘴坚硬</w:t>
      </w:r>
      <w:r>
        <w:t>，</w:t>
      </w:r>
      <w:r>
        <w:rPr>
          <w:lang w:val="zh-CN"/>
        </w:rPr>
        <w:t>脚强而有力</w:t>
      </w:r>
      <w:r>
        <w:t>，</w:t>
      </w:r>
      <w:r>
        <w:rPr>
          <w:lang w:val="zh-CN"/>
        </w:rPr>
        <w:t>适于挖土</w:t>
      </w:r>
      <w:r>
        <w:t>，</w:t>
      </w:r>
      <w:r>
        <w:rPr>
          <w:lang w:val="zh-CN"/>
        </w:rPr>
        <w:t>多在地面活动觅食</w:t>
      </w:r>
      <w:r>
        <w:t>）：</w:t>
      </w:r>
      <w:r>
        <w:rPr>
          <w:rFonts w:hint="eastAsia"/>
        </w:rPr>
        <w:t>评价区包括</w:t>
      </w:r>
      <w:r>
        <w:t>鸡形目的灰胸竹鸡、白鹇、环颈雉和鸽形目的山斑鸠和珠颈斑鸠共5种，它们在评价区内主要分布于进场道路两侧的林地及林缘地带或农田及居民点区域，在现场调查中多次目击到灰胸竹鸡和珠颈斑鸠。</w:t>
      </w:r>
    </w:p>
    <w:p>
      <w:pPr>
        <w:bidi w:val="0"/>
      </w:pPr>
      <w:r>
        <w:t>猛禽（</w:t>
      </w:r>
      <w:r>
        <w:rPr>
          <w:lang w:val="zh-CN"/>
        </w:rPr>
        <w:t>具有弯曲如钩的锐利嘴和爪</w:t>
      </w:r>
      <w:r>
        <w:t>，</w:t>
      </w:r>
      <w:r>
        <w:rPr>
          <w:lang w:val="zh-CN"/>
        </w:rPr>
        <w:t>翅膀强大有力</w:t>
      </w:r>
      <w:r>
        <w:t>，</w:t>
      </w:r>
      <w:r>
        <w:rPr>
          <w:lang w:val="zh-CN"/>
        </w:rPr>
        <w:t>能在天空翱翔或滑翔</w:t>
      </w:r>
      <w:r>
        <w:t>，</w:t>
      </w:r>
      <w:r>
        <w:rPr>
          <w:lang w:val="zh-CN"/>
        </w:rPr>
        <w:t>捕食空中或地下活的猎物</w:t>
      </w:r>
      <w:r>
        <w:t>）：</w:t>
      </w:r>
      <w:r>
        <w:rPr>
          <w:rFonts w:hint="eastAsia"/>
        </w:rPr>
        <w:t>评价区</w:t>
      </w:r>
      <w:r>
        <w:t>包括隼形目和鸮形目</w:t>
      </w:r>
      <w:r>
        <w:rPr>
          <w:rFonts w:hint="eastAsia"/>
        </w:rPr>
        <w:t>的</w:t>
      </w:r>
      <w:r>
        <w:t>黑鸢、松雀鹰、普通鵟、红隼、斑头鸺鹠和领角鸮共6种，它们主要分布于针叶林或阔叶林，而评价区主要以灌丛草地为主，针叶林和阔叶林均较少，评价区有这些猛禽分布主要是由于猛禽活动范围较广，偶尔游荡至评价区上空。猛禽处于食物链顶端，在生态系统中占有重要地位。它们在控制啮齿类动物的数量，维持环境健康和生态平衡方面具有不可替代的作用。由于数量稀少，我国将所有猛禽都列为国家重点保护鸟类。</w:t>
      </w:r>
    </w:p>
    <w:p>
      <w:pPr>
        <w:bidi w:val="0"/>
      </w:pPr>
      <w:r>
        <w:t>攀禽（</w:t>
      </w:r>
      <w:r>
        <w:rPr>
          <w:lang w:val="zh-CN"/>
        </w:rPr>
        <w:t>嘴、脚和尾的构造都很特殊</w:t>
      </w:r>
      <w:r>
        <w:t>，</w:t>
      </w:r>
      <w:r>
        <w:rPr>
          <w:lang w:val="zh-CN"/>
        </w:rPr>
        <w:t>善于在树上攀缘</w:t>
      </w:r>
      <w:r>
        <w:t>）：评价区包括鹃形目、雨燕目和鴷形目</w:t>
      </w:r>
      <w:r>
        <w:rPr>
          <w:rFonts w:hint="eastAsia"/>
        </w:rPr>
        <w:t>的</w:t>
      </w:r>
      <w:r>
        <w:t>四声杜鹃、大鹰鹃、小杜鹃（</w:t>
      </w:r>
      <w:r>
        <w:rPr>
          <w:i/>
          <w:iCs/>
        </w:rPr>
        <w:t>Cuculus poliocephalus</w:t>
      </w:r>
      <w:r>
        <w:t>）、中杜鹃（</w:t>
      </w:r>
      <w:r>
        <w:rPr>
          <w:i/>
          <w:iCs/>
        </w:rPr>
        <w:t>Cuculus saturatus</w:t>
      </w:r>
      <w:r>
        <w:t>）、大杜鹃、小白腰雨燕（</w:t>
      </w:r>
      <w:r>
        <w:rPr>
          <w:i/>
          <w:iCs/>
        </w:rPr>
        <w:t>Apus affinis</w:t>
      </w:r>
      <w:r>
        <w:t>）、斑姬啄木鸟、灰头绿啄木鸟和大斑啄木鸟共9种，主要分布于森林中，有部分也在林缘或村庄周围活动。</w:t>
      </w:r>
    </w:p>
    <w:p>
      <w:pPr>
        <w:bidi w:val="0"/>
      </w:pPr>
      <w:r>
        <w:t>鸣禽（</w:t>
      </w:r>
      <w:r>
        <w:rPr>
          <w:lang w:val="zh-CN"/>
        </w:rPr>
        <w:t>鸣管和鸣肌特别发达。一般体形较小，体态轻捷，活泼灵巧，善于鸣叫和歌唱，且巧于筑巢</w:t>
      </w:r>
      <w:r>
        <w:t>）：</w:t>
      </w:r>
      <w:r>
        <w:rPr>
          <w:rFonts w:hint="eastAsia"/>
        </w:rPr>
        <w:t>评价区</w:t>
      </w:r>
      <w:r>
        <w:t>雀形目的所有鸟类都为鸣禽，共</w:t>
      </w:r>
      <w:r>
        <w:rPr>
          <w:rFonts w:hint="eastAsia"/>
        </w:rPr>
        <w:t>32</w:t>
      </w:r>
      <w:r>
        <w:t>种，为典型的森林鸟类。它们在评价区内广泛分布，不论是种类还是数量，鸣禽都占绝对优势。野外实地调查中，目击到的种类中，大多数为雀形目种类。其中目击到次数较多的有白鹡鸰、金翅雀、白头鹎、棕背伯劳、八哥、领雀嘴鹎、喜鹊等。</w:t>
      </w:r>
    </w:p>
    <w:p>
      <w:pPr>
        <w:bidi w:val="0"/>
      </w:pPr>
      <w:r>
        <w:rPr>
          <w:lang w:val="zh-CN"/>
        </w:rPr>
        <w:t>（</w:t>
      </w:r>
      <w:r>
        <w:rPr>
          <w:rFonts w:hint="eastAsia"/>
        </w:rPr>
        <w:t>3</w:t>
      </w:r>
      <w:r>
        <w:rPr>
          <w:lang w:val="zh-CN"/>
        </w:rPr>
        <w:t>）</w:t>
      </w:r>
      <w:r>
        <w:t>居留型</w:t>
      </w:r>
    </w:p>
    <w:p>
      <w:pPr>
        <w:bidi w:val="0"/>
        <w:rPr>
          <w:lang w:val="zh-CN"/>
        </w:rPr>
      </w:pPr>
      <w:r>
        <w:rPr>
          <w:lang w:val="zh-CN"/>
        </w:rPr>
        <w:t>鸟类迁徙是鸟类随着季节变化进行的，方向确定的，有规律的和长距离的迁居活动。根据鸟类迁徙的行为，可将评价区的鸟类分成以下4种居留型。</w:t>
      </w:r>
    </w:p>
    <w:p>
      <w:pPr>
        <w:bidi w:val="0"/>
        <w:rPr>
          <w:lang w:val="zh-CN"/>
        </w:rPr>
      </w:pPr>
      <w:r>
        <w:rPr>
          <w:lang w:val="zh-CN"/>
        </w:rPr>
        <w:t>留鸟（长期栖居在生殖地域，不作周期性迁徙的鸟类）：在评价区内占的占的比例最大，主要包括鸠鸽科、鸱鸮科的种类和雀形目中的一些种类如鹎科、鸦科和画眉科的种类等；</w:t>
      </w:r>
    </w:p>
    <w:p>
      <w:pPr>
        <w:bidi w:val="0"/>
        <w:rPr>
          <w:lang w:val="zh-CN"/>
        </w:rPr>
      </w:pPr>
      <w:r>
        <w:rPr>
          <w:lang w:val="zh-CN"/>
        </w:rPr>
        <w:t>冬候鸟（冬季在某个地区生活，春季飞到较远而且较冷的地区繁殖，秋季又飞回原地区的鸟）：种类较少，主要有隼形目个别种类和部分雀形目的种类；</w:t>
      </w:r>
    </w:p>
    <w:p>
      <w:pPr>
        <w:bidi w:val="0"/>
        <w:rPr>
          <w:lang w:val="zh-CN"/>
        </w:rPr>
      </w:pPr>
      <w:r>
        <w:rPr>
          <w:lang w:val="zh-CN"/>
        </w:rPr>
        <w:t>夏候鸟（夏候鸟是指春季或夏季在某个地区繁殖、秋季飞到较暖的地区去过冬、第二年春季再飞回原地区的鸟）：主要包括鹭科、杜鹃科的种类和一些雀形目的种类；</w:t>
      </w:r>
    </w:p>
    <w:p>
      <w:pPr>
        <w:bidi w:val="0"/>
        <w:rPr>
          <w:lang w:val="zh-CN"/>
        </w:rPr>
      </w:pPr>
      <w:r>
        <w:rPr>
          <w:lang w:val="zh-CN"/>
        </w:rPr>
        <w:t>旅鸟（指迁徙中途经某地区，而又不在该地区繁殖或越冬）：旅鸟在评价区占的比例很小，主要包括雀形目的个别种类。</w:t>
      </w:r>
    </w:p>
    <w:p>
      <w:pPr>
        <w:bidi w:val="0"/>
      </w:pPr>
      <w:r>
        <w:rPr>
          <w:lang w:val="zh-CN"/>
        </w:rPr>
        <w:t>评价区迁徙鸟类共2</w:t>
      </w:r>
      <w:r>
        <w:rPr>
          <w:rFonts w:hint="eastAsia"/>
        </w:rPr>
        <w:t>0</w:t>
      </w:r>
      <w:r>
        <w:rPr>
          <w:lang w:val="zh-CN"/>
        </w:rPr>
        <w:t>种，占评价区鸟类种数的</w:t>
      </w:r>
      <w:r>
        <w:rPr>
          <w:rFonts w:hint="eastAsia"/>
        </w:rPr>
        <w:t>38.4</w:t>
      </w:r>
      <w:r>
        <w:rPr>
          <w:lang w:val="zh-CN"/>
        </w:rPr>
        <w:t>%，迁徙鸟类占的比重较小。迁徙鸟类中，以雀形目鸟类居多，可见评价区的迁徙鸟类是以森林鸟类为主，其中特别是鸣禽类占优势。评价区的鸟类中，繁殖鸟（包括留鸟和夏候鸟）占的比例很大，多数种类在评价区内繁殖。</w:t>
      </w:r>
    </w:p>
    <w:p>
      <w:pPr>
        <w:bidi w:val="0"/>
      </w:pPr>
      <w:r>
        <w:t>（</w:t>
      </w:r>
      <w:r>
        <w:rPr>
          <w:rFonts w:hint="eastAsia"/>
        </w:rPr>
        <w:t>4</w:t>
      </w:r>
      <w:r>
        <w:t>）工程区域鸟类迁徙现状</w:t>
      </w:r>
    </w:p>
    <w:p>
      <w:pPr>
        <w:bidi w:val="0"/>
      </w:pPr>
      <w:r>
        <w:t>鸟类迁徙通道泛指鸟类中的某些种类，每年春季和秋季，有规律的、沿相对固定的路线、定时地在繁殖地区和越冬地区之间进行的长距离的往返移居的行为现象。</w:t>
      </w:r>
    </w:p>
    <w:p>
      <w:pPr>
        <w:bidi w:val="0"/>
      </w:pPr>
      <w:r>
        <w:t>湖南省地处华夏大地中部，位于西伯利亚-澳大利亚鸟类迁徙通道上。由于环境和地势的复杂性，在不同地域鸟类迁徙的路线和方式各有不同。依据历史记载和邓学建教授等专家多年的研究成果，湖南主要有3条鸟类迁徙通道，</w:t>
      </w:r>
      <w:r>
        <w:rPr>
          <w:rFonts w:hint="eastAsia"/>
        </w:rPr>
        <w:t>主要涉及蓝山、桂东、炎陵、新邵、隆回、新宁、城步、道县、新化、通道10县。</w:t>
      </w:r>
      <w:r>
        <w:t>其中东部的罗霄山脉和西部的雪峰山脉迁徙通道属于窄幅通道，而中部的属于宽幅迁徙通道，即遍于整个湘中地区，只是在个别区域，像南北方向的山脉沟谷地带，形成局部的窄幅迁徙通道。</w:t>
      </w:r>
    </w:p>
    <w:p>
      <w:pPr>
        <w:bidi w:val="0"/>
        <w:rPr>
          <w:rFonts w:hint="default"/>
          <w:lang w:val="en-US" w:eastAsia="zh-CN"/>
        </w:rPr>
      </w:pPr>
      <w:r>
        <w:rPr>
          <w:rFonts w:hint="eastAsia"/>
          <w:lang w:eastAsia="zh-CN"/>
        </w:rPr>
        <w:t>本项目不</w:t>
      </w:r>
      <w:r>
        <w:rPr>
          <w:rFonts w:hint="eastAsia"/>
        </w:rPr>
        <w:t>涉及鸟类迁徙通道，</w:t>
      </w:r>
      <w:r>
        <w:rPr>
          <w:rFonts w:hint="eastAsia"/>
          <w:lang w:eastAsia="zh-CN"/>
        </w:rPr>
        <w:t>根据《湖南省林业局关于加强全省候鸟和迁徙通道保护的通知》（湘林护函〔2022〕7号），蓝山县共计有</w:t>
      </w:r>
      <w:r>
        <w:rPr>
          <w:rFonts w:hint="eastAsia"/>
          <w:lang w:val="en-US" w:eastAsia="zh-CN"/>
        </w:rPr>
        <w:t>3个候鸟迁徙通道其具体情况如下所示：</w:t>
      </w:r>
    </w:p>
    <w:p>
      <w:pPr>
        <w:bidi w:val="0"/>
      </w:pPr>
      <w:r>
        <w:rPr>
          <w:rFonts w:hint="eastAsia"/>
          <w:lang w:eastAsia="zh-CN"/>
        </w:rPr>
        <w:t>①</w:t>
      </w:r>
      <w:r>
        <w:rPr>
          <w:rFonts w:hint="eastAsia"/>
        </w:rPr>
        <w:t>蓝山县南风坳候鸟迁徙通道重点保护区域。</w:t>
      </w:r>
      <w:r>
        <w:rPr>
          <w:rFonts w:hint="eastAsia"/>
          <w:lang w:eastAsia="zh-CN"/>
        </w:rPr>
        <w:t>位于本项目风电场区东南侧</w:t>
      </w:r>
      <w:r>
        <w:rPr>
          <w:rFonts w:hint="eastAsia"/>
          <w:lang w:val="en-US" w:eastAsia="zh-CN"/>
        </w:rPr>
        <w:t>12.8km，</w:t>
      </w:r>
      <w:r>
        <w:rPr>
          <w:rFonts w:hint="eastAsia"/>
        </w:rPr>
        <w:t>划定面积5.02km</w:t>
      </w:r>
      <w:r>
        <w:rPr>
          <w:rFonts w:hint="eastAsia"/>
          <w:vertAlign w:val="superscript"/>
        </w:rPr>
        <w:t>2</w:t>
      </w:r>
      <w:r>
        <w:rPr>
          <w:rFonts w:hint="eastAsia"/>
        </w:rPr>
        <w:t>，长度2.93km，均宽2.71km。四至坐标分别为最东端：112°12'18.93"E最南端：25°11'20.91"N最西端：112°10'28.27"E最北端：25°12'59.53"N。</w:t>
      </w:r>
    </w:p>
    <w:p>
      <w:pPr>
        <w:bidi w:val="0"/>
        <w:rPr>
          <w:rFonts w:hint="eastAsia"/>
          <w:lang w:eastAsia="zh-CN"/>
        </w:rPr>
      </w:pPr>
      <w:r>
        <w:rPr>
          <w:rFonts w:hint="eastAsia"/>
          <w:lang w:eastAsia="zh-CN"/>
        </w:rPr>
        <w:t>②蓝山县四海坪候鸟迁徙通道重点保护区域。位于本项目风电场区东南侧</w:t>
      </w:r>
      <w:r>
        <w:rPr>
          <w:rFonts w:hint="eastAsia"/>
          <w:lang w:val="en-US" w:eastAsia="zh-CN"/>
        </w:rPr>
        <w:t>15.8km，</w:t>
      </w:r>
      <w:r>
        <w:rPr>
          <w:rFonts w:hint="eastAsia"/>
          <w:lang w:eastAsia="zh-CN"/>
        </w:rPr>
        <w:t>划定面积5.09km</w:t>
      </w:r>
      <w:r>
        <w:rPr>
          <w:rFonts w:hint="eastAsia"/>
          <w:vertAlign w:val="superscript"/>
          <w:lang w:eastAsia="zh-CN"/>
        </w:rPr>
        <w:t>2</w:t>
      </w:r>
      <w:r>
        <w:rPr>
          <w:rFonts w:hint="eastAsia"/>
          <w:lang w:eastAsia="zh-CN"/>
        </w:rPr>
        <w:t>，长度 6.13km，均宽1.09km。四至坐标分别为最东端：112°15'44.42"E最南端：25°11'15.87"N最西端：112°13'51.83"E最北端：25°14'27.70"N。</w:t>
      </w:r>
    </w:p>
    <w:p>
      <w:pPr>
        <w:bidi w:val="0"/>
        <w:rPr>
          <w:rFonts w:hint="eastAsia"/>
          <w:lang w:eastAsia="zh-CN"/>
        </w:rPr>
      </w:pPr>
      <w:r>
        <w:rPr>
          <w:rFonts w:hint="eastAsia"/>
          <w:lang w:eastAsia="zh-CN"/>
        </w:rPr>
        <w:t>③蓝山县军田候鸟迁徙通道重点保护区域。位于本项目风电场区东侧</w:t>
      </w:r>
      <w:r>
        <w:rPr>
          <w:rFonts w:hint="eastAsia"/>
          <w:lang w:val="en-US" w:eastAsia="zh-CN"/>
        </w:rPr>
        <w:t>13.2km，</w:t>
      </w:r>
      <w:r>
        <w:rPr>
          <w:rFonts w:hint="eastAsia"/>
          <w:lang w:eastAsia="zh-CN"/>
        </w:rPr>
        <w:t>划定面积5.44km</w:t>
      </w:r>
      <w:r>
        <w:rPr>
          <w:rFonts w:hint="eastAsia"/>
          <w:vertAlign w:val="superscript"/>
          <w:lang w:eastAsia="zh-CN"/>
        </w:rPr>
        <w:t>2</w:t>
      </w:r>
      <w:r>
        <w:rPr>
          <w:rFonts w:hint="eastAsia"/>
          <w:lang w:eastAsia="zh-CN"/>
        </w:rPr>
        <w:t>，长度5.27km，均宽1.23km。四至坐标分别为最东端：112°16'41.13"E最南端：25°17'17.71"N最西端：112°15'24.14"E最北端：25°20'0.99"N。</w:t>
      </w:r>
    </w:p>
    <w:p>
      <w:pPr>
        <w:bidi w:val="0"/>
        <w:rPr>
          <w:rFonts w:hint="eastAsia"/>
        </w:rPr>
      </w:pPr>
      <w:r>
        <w:rPr>
          <w:rFonts w:hint="eastAsia"/>
        </w:rPr>
        <w:t>4、兽类</w:t>
      </w:r>
    </w:p>
    <w:p>
      <w:pPr>
        <w:bidi w:val="0"/>
        <w:rPr>
          <w:lang w:val="zh-CN"/>
        </w:rPr>
      </w:pPr>
      <w:r>
        <w:rPr>
          <w:lang w:val="zh-CN"/>
        </w:rPr>
        <w:t>主要通过调查访问和评价区附近的相关文献，并结合实地调查中观察到的评价区的生境状况，对评价区内的兽类种类、数量及分布现状进行了全面调查，得出如下结论：</w:t>
      </w:r>
    </w:p>
    <w:p>
      <w:pPr>
        <w:bidi w:val="0"/>
      </w:pPr>
      <w:r>
        <w:t>（1）种类、数量及分布</w:t>
      </w:r>
    </w:p>
    <w:p>
      <w:pPr>
        <w:bidi w:val="0"/>
      </w:pPr>
      <w:r>
        <w:t>评价区内野生</w:t>
      </w:r>
      <w:r>
        <w:rPr>
          <w:lang w:val="zh-CN"/>
        </w:rPr>
        <w:t>兽类共有</w:t>
      </w:r>
      <w:r>
        <w:rPr>
          <w:rFonts w:hint="eastAsia"/>
        </w:rPr>
        <w:t>4</w:t>
      </w:r>
      <w:r>
        <w:rPr>
          <w:lang w:val="zh-CN"/>
        </w:rPr>
        <w:t>目</w:t>
      </w:r>
      <w:r>
        <w:rPr>
          <w:rFonts w:hint="eastAsia"/>
        </w:rPr>
        <w:t>8</w:t>
      </w:r>
      <w:r>
        <w:rPr>
          <w:lang w:val="zh-CN"/>
        </w:rPr>
        <w:t>科</w:t>
      </w:r>
      <w:r>
        <w:rPr>
          <w:rFonts w:hint="eastAsia"/>
        </w:rPr>
        <w:t>14</w:t>
      </w:r>
      <w:r>
        <w:rPr>
          <w:lang w:val="zh-CN"/>
        </w:rPr>
        <w:t>种。</w:t>
      </w:r>
      <w:r>
        <w:t>评价区内</w:t>
      </w:r>
      <w:r>
        <w:rPr>
          <w:lang w:val="zh-CN"/>
        </w:rPr>
        <w:t>兽类以啮齿目最多，共有</w:t>
      </w:r>
      <w:r>
        <w:rPr>
          <w:rFonts w:hint="eastAsia"/>
        </w:rPr>
        <w:t>7</w:t>
      </w:r>
      <w:r>
        <w:rPr>
          <w:lang w:val="zh-CN"/>
        </w:rPr>
        <w:t>种。评价区无国家重点保护兽类分布；湖南省重点保护动物</w:t>
      </w:r>
      <w:r>
        <w:rPr>
          <w:rFonts w:hint="eastAsia"/>
        </w:rPr>
        <w:t>6</w:t>
      </w:r>
      <w:r>
        <w:rPr>
          <w:lang w:val="zh-CN"/>
        </w:rPr>
        <w:t>种：</w:t>
      </w:r>
      <w:r>
        <w:t>即黄腹鼬（Mustel kathiah）、黄鼬、野猪（Sus scrofa）、小麂、赤腹松鼠和华南兔</w:t>
      </w:r>
      <w:r>
        <w:rPr>
          <w:lang w:val="zh-CN"/>
        </w:rPr>
        <w:t>。</w:t>
      </w:r>
    </w:p>
    <w:p>
      <w:pPr>
        <w:bidi w:val="0"/>
      </w:pPr>
      <w:r>
        <w:t>（2）生态类型</w:t>
      </w:r>
    </w:p>
    <w:p>
      <w:pPr>
        <w:bidi w:val="0"/>
      </w:pPr>
      <w:r>
        <w:t>根据评价区内野生兽类生活习性的不同，将评价区内的1</w:t>
      </w:r>
      <w:r>
        <w:rPr>
          <w:rFonts w:hint="eastAsia"/>
        </w:rPr>
        <w:t>4</w:t>
      </w:r>
      <w:r>
        <w:t>种野生兽类分为以下4种生态类型：</w:t>
      </w:r>
    </w:p>
    <w:p>
      <w:pPr>
        <w:bidi w:val="0"/>
      </w:pPr>
      <w:r>
        <w:rPr>
          <w:lang w:val="zh-CN"/>
        </w:rPr>
        <w:t>地面生活型</w:t>
      </w:r>
      <w:r>
        <w:t>（主要在地面上活动、觅食）：有黄鼬、黄腹鼬、花面狸、野猪和小麂共</w:t>
      </w:r>
      <w:r>
        <w:rPr>
          <w:rFonts w:hint="eastAsia"/>
        </w:rPr>
        <w:t>5</w:t>
      </w:r>
      <w:r>
        <w:t>种。其主要在评价区内风电场场址内的灌丛中分布，花面狸在评价区内数量稀少。</w:t>
      </w:r>
    </w:p>
    <w:p>
      <w:pPr>
        <w:bidi w:val="0"/>
      </w:pPr>
      <w:r>
        <w:rPr>
          <w:lang w:val="zh-CN"/>
        </w:rPr>
        <w:t>半地下生活型</w:t>
      </w:r>
      <w:r>
        <w:t>（穴居型，主要在地面活动觅食、栖息、避敌于洞穴中，有的也在地下寻找食物）：有华南兔、黑线姬鼠、小家鼠、褐家鼠（</w:t>
      </w:r>
      <w:r>
        <w:rPr>
          <w:i/>
          <w:iCs/>
        </w:rPr>
        <w:t>Rattus novegicus</w:t>
      </w:r>
      <w:r>
        <w:t>）、黄胸鼠、大足鼠（</w:t>
      </w:r>
      <w:r>
        <w:rPr>
          <w:i/>
          <w:iCs/>
        </w:rPr>
        <w:t>Rattus nitidus</w:t>
      </w:r>
      <w:r>
        <w:t>）共</w:t>
      </w:r>
      <w:r>
        <w:rPr>
          <w:rFonts w:hint="eastAsia"/>
        </w:rPr>
        <w:t>6</w:t>
      </w:r>
      <w:r>
        <w:t>种，在评价区的兽类中占的比例最大，达</w:t>
      </w:r>
      <w:r>
        <w:rPr>
          <w:rFonts w:hint="eastAsia"/>
        </w:rPr>
        <w:t>50</w:t>
      </w:r>
      <w:r>
        <w:t>%，为评价区兽类的主要生态类型。它们在评价区内分布在灌丛、草丛和农田中，主要为进场道路两侧的居民点和农田附近。其中小家鼠、褐家鼠和黄胸鼠等与人类关系密切。</w:t>
      </w:r>
    </w:p>
    <w:p>
      <w:pPr>
        <w:bidi w:val="0"/>
      </w:pPr>
      <w:r>
        <w:rPr>
          <w:lang w:val="zh-CN"/>
        </w:rPr>
        <w:t>岩洞栖息型</w:t>
      </w:r>
      <w:r>
        <w:t>（在岩洞中倒挂栖息的小型兽类）：有</w:t>
      </w:r>
      <w:r>
        <w:rPr>
          <w:rFonts w:hint="eastAsia"/>
        </w:rPr>
        <w:t>马铁菊头蝠和</w:t>
      </w:r>
      <w:r>
        <w:t>普通伏翼</w:t>
      </w:r>
      <w:r>
        <w:rPr>
          <w:rFonts w:hint="eastAsia"/>
        </w:rPr>
        <w:t>2</w:t>
      </w:r>
      <w:r>
        <w:t>种。它们在评价区内主要分布于评价区的居民点附近。</w:t>
      </w:r>
    </w:p>
    <w:p>
      <w:pPr>
        <w:bidi w:val="0"/>
      </w:pPr>
      <w:r>
        <w:t>树栖型（主要在树上栖息、觅食）：该类型仅有赤腹松鼠1种。主要在评价区内山林中分布。</w:t>
      </w:r>
    </w:p>
    <w:p>
      <w:pPr>
        <w:bidi w:val="0"/>
        <w:rPr>
          <w:b/>
          <w:bCs/>
        </w:rPr>
      </w:pPr>
      <w:bookmarkStart w:id="99" w:name="_Toc453144395"/>
      <w:bookmarkStart w:id="100" w:name="_Toc448490616"/>
      <w:bookmarkStart w:id="101" w:name="_Toc470013418"/>
      <w:bookmarkStart w:id="102" w:name="_Toc443555139"/>
      <w:bookmarkStart w:id="103" w:name="_Toc484687252"/>
      <w:r>
        <w:rPr>
          <w:rFonts w:hint="eastAsia"/>
          <w:b/>
          <w:bCs/>
        </w:rPr>
        <w:t>3.5.5.3</w:t>
      </w:r>
      <w:r>
        <w:rPr>
          <w:b/>
          <w:bCs/>
        </w:rPr>
        <w:t>重点</w:t>
      </w:r>
      <w:r>
        <w:rPr>
          <w:rFonts w:hint="eastAsia"/>
          <w:b/>
          <w:bCs/>
        </w:rPr>
        <w:t>保护</w:t>
      </w:r>
      <w:r>
        <w:rPr>
          <w:b/>
          <w:bCs/>
        </w:rPr>
        <w:t>野生动物</w:t>
      </w:r>
    </w:p>
    <w:bookmarkEnd w:id="99"/>
    <w:bookmarkEnd w:id="100"/>
    <w:bookmarkEnd w:id="101"/>
    <w:bookmarkEnd w:id="102"/>
    <w:bookmarkEnd w:id="103"/>
    <w:p>
      <w:pPr>
        <w:bidi w:val="0"/>
      </w:pPr>
      <w:r>
        <w:t>评价区范围内陆生野生脊椎动物中，未发现国家Ⅰ级重点保护野生动物分布，有国家Ⅱ级重点保护野生动</w:t>
      </w:r>
      <w:r>
        <w:rPr>
          <w:rFonts w:hint="eastAsia"/>
          <w:lang w:val="en-US" w:eastAsia="zh-CN"/>
        </w:rPr>
        <w:t>7</w:t>
      </w:r>
      <w:r>
        <w:t>种</w:t>
      </w:r>
      <w:r>
        <w:rPr>
          <w:rFonts w:hint="eastAsia"/>
        </w:rPr>
        <w:t>，</w:t>
      </w:r>
      <w:r>
        <w:rPr>
          <w:lang w:val="zh-CN"/>
        </w:rPr>
        <w:t>湖南省级保护动物</w:t>
      </w:r>
      <w:r>
        <w:rPr>
          <w:rFonts w:hint="eastAsia"/>
          <w:lang w:val="en-US" w:eastAsia="zh-CN"/>
        </w:rPr>
        <w:t>56</w:t>
      </w:r>
      <w:r>
        <w:rPr>
          <w:lang w:val="zh-CN"/>
        </w:rPr>
        <w:t>种。</w:t>
      </w:r>
    </w:p>
    <w:p>
      <w:pPr>
        <w:bidi w:val="0"/>
        <w:rPr>
          <w:rFonts w:hint="eastAsia"/>
        </w:rPr>
      </w:pPr>
      <w:r>
        <w:rPr>
          <w:rFonts w:hint="eastAsia"/>
        </w:rPr>
        <w:t>1、国家重点野生保护动物</w:t>
      </w:r>
    </w:p>
    <w:p>
      <w:pPr>
        <w:bidi w:val="0"/>
        <w:rPr>
          <w:rFonts w:hAnsi="宋体"/>
          <w:color w:val="auto"/>
          <w:kern w:val="0"/>
          <w:szCs w:val="21"/>
          <w:lang w:val="zh-CN"/>
        </w:rPr>
      </w:pPr>
      <w:r>
        <w:t>评价区范围内陆生脊椎野生动物中，无国家Ⅰ级重点保护野生动物分布，有国家Ⅱ级重点保护野生动物</w:t>
      </w:r>
      <w:r>
        <w:rPr>
          <w:rFonts w:hint="eastAsia"/>
          <w:lang w:val="en-US" w:eastAsia="zh-CN"/>
        </w:rPr>
        <w:t>7</w:t>
      </w:r>
      <w:r>
        <w:t>种，除虎纹蛙和白鹇外，其他全部为猛禽：包括黑鸢</w:t>
      </w:r>
      <w:r>
        <w:rPr>
          <w:lang w:val="zh-CN"/>
        </w:rPr>
        <w:t>、松雀鹰、普通鵟、红隼和领角鸮，它们</w:t>
      </w:r>
      <w:r>
        <w:t>主要分布于评价区的山林、林缘以及农田边缘，活动范围较广</w:t>
      </w:r>
      <w:r>
        <w:rPr>
          <w:lang w:val="zh-CN"/>
        </w:rPr>
        <w:t>。</w:t>
      </w:r>
    </w:p>
    <w:p>
      <w:pPr>
        <w:pStyle w:val="3587"/>
        <w:bidi w:val="0"/>
        <w:rPr>
          <w:rFonts w:hint="eastAsia" w:ascii="Times New Roman" w:hAnsi="Times New Roman" w:eastAsia="宋体" w:cs="Times New Roman"/>
          <w:u w:val="none" w:color="auto"/>
          <w:lang w:eastAsia="zh-CN"/>
        </w:rPr>
      </w:pPr>
      <w:r>
        <w:rPr>
          <w:rFonts w:hint="eastAsia" w:ascii="Times New Roman" w:hAnsi="Times New Roman" w:eastAsia="宋体" w:cs="Times New Roman"/>
          <w:u w:val="none" w:color="auto"/>
          <w:lang w:eastAsia="zh-CN"/>
        </w:rPr>
        <w:t>评价区国家重点保护动物名录</w:t>
      </w:r>
    </w:p>
    <w:tbl>
      <w:tblPr>
        <w:tblStyle w:val="88"/>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15" w:type="dxa"/>
          <w:left w:w="15" w:type="dxa"/>
          <w:bottom w:w="15" w:type="dxa"/>
          <w:right w:w="15" w:type="dxa"/>
        </w:tblCellMar>
      </w:tblPr>
      <w:tblGrid>
        <w:gridCol w:w="2497"/>
        <w:gridCol w:w="3242"/>
        <w:gridCol w:w="926"/>
        <w:gridCol w:w="926"/>
        <w:gridCol w:w="772"/>
        <w:gridCol w:w="7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cantSplit/>
          <w:trHeight w:val="20" w:hRule="atLeast"/>
          <w:jc w:val="center"/>
        </w:trPr>
        <w:tc>
          <w:tcPr>
            <w:tcW w:w="1372"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中文名、拉丁名</w:t>
            </w:r>
          </w:p>
        </w:tc>
        <w:tc>
          <w:tcPr>
            <w:tcW w:w="178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分布</w:t>
            </w:r>
          </w:p>
        </w:tc>
        <w:tc>
          <w:tcPr>
            <w:tcW w:w="509"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居留型</w:t>
            </w:r>
          </w:p>
        </w:tc>
        <w:tc>
          <w:tcPr>
            <w:tcW w:w="509"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区系</w:t>
            </w:r>
          </w:p>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类型</w:t>
            </w:r>
          </w:p>
        </w:tc>
        <w:tc>
          <w:tcPr>
            <w:tcW w:w="424"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数量</w:t>
            </w:r>
          </w:p>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等级</w:t>
            </w:r>
          </w:p>
        </w:tc>
        <w:tc>
          <w:tcPr>
            <w:tcW w:w="403"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保护</w:t>
            </w:r>
          </w:p>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cantSplit/>
          <w:trHeight w:val="20" w:hRule="atLeast"/>
          <w:jc w:val="center"/>
        </w:trPr>
        <w:tc>
          <w:tcPr>
            <w:tcW w:w="1372"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虎纹蛙</w:t>
            </w:r>
          </w:p>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i/>
                <w:iCs/>
                <w:color w:val="auto"/>
                <w:sz w:val="21"/>
                <w:szCs w:val="21"/>
                <w:lang w:eastAsia="zh-CN"/>
              </w:rPr>
              <w:t>Hoplobatrachus chinensis</w:t>
            </w:r>
          </w:p>
        </w:tc>
        <w:tc>
          <w:tcPr>
            <w:tcW w:w="178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主要分布在山脚空旷地，水田，鱼池，水坑等处。</w:t>
            </w:r>
          </w:p>
        </w:tc>
        <w:tc>
          <w:tcPr>
            <w:tcW w:w="509"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w:t>
            </w:r>
          </w:p>
        </w:tc>
        <w:tc>
          <w:tcPr>
            <w:tcW w:w="509"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东洋种</w:t>
            </w:r>
          </w:p>
        </w:tc>
        <w:tc>
          <w:tcPr>
            <w:tcW w:w="424"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w:t>
            </w:r>
          </w:p>
        </w:tc>
        <w:tc>
          <w:tcPr>
            <w:tcW w:w="403"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国家</w:t>
            </w:r>
          </w:p>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Ⅱ级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cantSplit/>
          <w:trHeight w:val="20" w:hRule="atLeast"/>
          <w:jc w:val="center"/>
        </w:trPr>
        <w:tc>
          <w:tcPr>
            <w:tcW w:w="1372"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黑鸢</w:t>
            </w:r>
          </w:p>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i/>
                <w:iCs/>
                <w:color w:val="auto"/>
                <w:sz w:val="21"/>
                <w:szCs w:val="21"/>
                <w:lang w:eastAsia="zh-CN"/>
              </w:rPr>
              <w:t>Milvus migrans</w:t>
            </w:r>
          </w:p>
        </w:tc>
        <w:tc>
          <w:tcPr>
            <w:tcW w:w="178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栖息于开阔平原、草地、荒原和低山丘陵地带。</w:t>
            </w:r>
          </w:p>
        </w:tc>
        <w:tc>
          <w:tcPr>
            <w:tcW w:w="509"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留鸟</w:t>
            </w:r>
          </w:p>
        </w:tc>
        <w:tc>
          <w:tcPr>
            <w:tcW w:w="509"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广布种</w:t>
            </w:r>
          </w:p>
        </w:tc>
        <w:tc>
          <w:tcPr>
            <w:tcW w:w="424"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w:t>
            </w:r>
          </w:p>
        </w:tc>
        <w:tc>
          <w:tcPr>
            <w:tcW w:w="403"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国家</w:t>
            </w:r>
          </w:p>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Ⅱ级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cantSplit/>
          <w:trHeight w:val="20" w:hRule="atLeast"/>
          <w:jc w:val="center"/>
        </w:trPr>
        <w:tc>
          <w:tcPr>
            <w:tcW w:w="1372"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松雀鹰</w:t>
            </w:r>
          </w:p>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i/>
                <w:iCs/>
                <w:color w:val="auto"/>
                <w:sz w:val="21"/>
                <w:szCs w:val="21"/>
                <w:lang w:eastAsia="zh-CN"/>
              </w:rPr>
              <w:t>Accipiter virgatus</w:t>
            </w:r>
          </w:p>
        </w:tc>
        <w:tc>
          <w:tcPr>
            <w:tcW w:w="178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主要在林地中生活，偶尔游荡至评价区林缘地带。</w:t>
            </w:r>
          </w:p>
        </w:tc>
        <w:tc>
          <w:tcPr>
            <w:tcW w:w="509"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留鸟</w:t>
            </w:r>
          </w:p>
        </w:tc>
        <w:tc>
          <w:tcPr>
            <w:tcW w:w="509"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广布种</w:t>
            </w:r>
          </w:p>
        </w:tc>
        <w:tc>
          <w:tcPr>
            <w:tcW w:w="424"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w:t>
            </w:r>
          </w:p>
        </w:tc>
        <w:tc>
          <w:tcPr>
            <w:tcW w:w="403"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国家</w:t>
            </w:r>
          </w:p>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Ⅱ级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cantSplit/>
          <w:trHeight w:val="20" w:hRule="atLeast"/>
          <w:jc w:val="center"/>
        </w:trPr>
        <w:tc>
          <w:tcPr>
            <w:tcW w:w="1372"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普通鵟</w:t>
            </w:r>
          </w:p>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i/>
                <w:iCs/>
                <w:color w:val="auto"/>
                <w:sz w:val="21"/>
                <w:szCs w:val="21"/>
                <w:lang w:eastAsia="zh-CN"/>
              </w:rPr>
              <w:t>Buteo buteo</w:t>
            </w:r>
          </w:p>
        </w:tc>
        <w:tc>
          <w:tcPr>
            <w:tcW w:w="178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主要分布于山地森林和林缘地带。</w:t>
            </w:r>
          </w:p>
        </w:tc>
        <w:tc>
          <w:tcPr>
            <w:tcW w:w="509"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留鸟</w:t>
            </w:r>
          </w:p>
        </w:tc>
        <w:tc>
          <w:tcPr>
            <w:tcW w:w="509"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东洋种</w:t>
            </w:r>
          </w:p>
        </w:tc>
        <w:tc>
          <w:tcPr>
            <w:tcW w:w="424"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w:t>
            </w:r>
          </w:p>
        </w:tc>
        <w:tc>
          <w:tcPr>
            <w:tcW w:w="403"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国家</w:t>
            </w:r>
          </w:p>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Ⅱ级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cantSplit/>
          <w:trHeight w:val="20" w:hRule="atLeast"/>
          <w:jc w:val="center"/>
        </w:trPr>
        <w:tc>
          <w:tcPr>
            <w:tcW w:w="1372"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红隼</w:t>
            </w:r>
          </w:p>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i/>
                <w:iCs/>
                <w:color w:val="auto"/>
                <w:sz w:val="21"/>
                <w:szCs w:val="21"/>
                <w:lang w:eastAsia="zh-CN"/>
              </w:rPr>
              <w:t>Falco tinnunculus</w:t>
            </w:r>
          </w:p>
        </w:tc>
        <w:tc>
          <w:tcPr>
            <w:tcW w:w="178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主要在林地中生活，偶尔游荡至评价区林缘、居民点。</w:t>
            </w:r>
          </w:p>
        </w:tc>
        <w:tc>
          <w:tcPr>
            <w:tcW w:w="509"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留鸟</w:t>
            </w:r>
          </w:p>
        </w:tc>
        <w:tc>
          <w:tcPr>
            <w:tcW w:w="509"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广布种</w:t>
            </w:r>
          </w:p>
        </w:tc>
        <w:tc>
          <w:tcPr>
            <w:tcW w:w="424"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w:t>
            </w:r>
          </w:p>
        </w:tc>
        <w:tc>
          <w:tcPr>
            <w:tcW w:w="403"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国家</w:t>
            </w:r>
          </w:p>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Ⅱ级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cantSplit/>
          <w:trHeight w:val="20" w:hRule="atLeast"/>
          <w:jc w:val="center"/>
        </w:trPr>
        <w:tc>
          <w:tcPr>
            <w:tcW w:w="1372"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白鹇</w:t>
            </w:r>
          </w:p>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i/>
                <w:iCs/>
                <w:color w:val="auto"/>
                <w:sz w:val="21"/>
                <w:szCs w:val="21"/>
                <w:lang w:eastAsia="zh-CN"/>
              </w:rPr>
              <w:t>Lophura nycthemera</w:t>
            </w:r>
          </w:p>
        </w:tc>
        <w:tc>
          <w:tcPr>
            <w:tcW w:w="178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栖息于山间密林和沟谷雨林。</w:t>
            </w:r>
          </w:p>
        </w:tc>
        <w:tc>
          <w:tcPr>
            <w:tcW w:w="509"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留鸟</w:t>
            </w:r>
          </w:p>
        </w:tc>
        <w:tc>
          <w:tcPr>
            <w:tcW w:w="509"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东洋种</w:t>
            </w:r>
          </w:p>
        </w:tc>
        <w:tc>
          <w:tcPr>
            <w:tcW w:w="424"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w:t>
            </w:r>
          </w:p>
        </w:tc>
        <w:tc>
          <w:tcPr>
            <w:tcW w:w="403"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国家</w:t>
            </w:r>
          </w:p>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Ⅱ级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cantSplit/>
          <w:trHeight w:val="20" w:hRule="atLeast"/>
          <w:jc w:val="center"/>
        </w:trPr>
        <w:tc>
          <w:tcPr>
            <w:tcW w:w="1372"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领角鸮</w:t>
            </w:r>
          </w:p>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i/>
                <w:iCs/>
                <w:color w:val="auto"/>
                <w:sz w:val="21"/>
                <w:szCs w:val="21"/>
                <w:lang w:eastAsia="zh-CN"/>
              </w:rPr>
              <w:t>Otus bakkamoena</w:t>
            </w:r>
          </w:p>
        </w:tc>
        <w:tc>
          <w:tcPr>
            <w:tcW w:w="1781"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栖于山地密林或山麓林缘。</w:t>
            </w:r>
          </w:p>
        </w:tc>
        <w:tc>
          <w:tcPr>
            <w:tcW w:w="509"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留鸟</w:t>
            </w:r>
          </w:p>
        </w:tc>
        <w:tc>
          <w:tcPr>
            <w:tcW w:w="509"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东洋种</w:t>
            </w:r>
          </w:p>
        </w:tc>
        <w:tc>
          <w:tcPr>
            <w:tcW w:w="424"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w:t>
            </w:r>
          </w:p>
        </w:tc>
        <w:tc>
          <w:tcPr>
            <w:tcW w:w="403" w:type="pct"/>
            <w:tcBorders>
              <w:tl2br w:val="nil"/>
              <w:tr2bl w:val="nil"/>
            </w:tcBorders>
            <w:noWrap w:val="0"/>
            <w:vAlign w:val="center"/>
          </w:tcPr>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国家</w:t>
            </w:r>
          </w:p>
          <w:p>
            <w:pPr>
              <w:pStyle w:val="165"/>
              <w:keepNext w:val="0"/>
              <w:keepLines w:val="0"/>
              <w:pageBreakBefore w:val="0"/>
              <w:widowControl w:val="0"/>
              <w:tabs>
                <w:tab w:val="left" w:pos="480"/>
              </w:tabs>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Ⅱ级</w:t>
            </w:r>
          </w:p>
        </w:tc>
      </w:tr>
    </w:tbl>
    <w:p>
      <w:pPr>
        <w:bidi w:val="0"/>
        <w:rPr>
          <w:rFonts w:hint="eastAsia"/>
        </w:rPr>
      </w:pPr>
      <w:r>
        <w:rPr>
          <w:rFonts w:hint="eastAsia"/>
        </w:rPr>
        <w:t>2、湖南省级重点保护野生动物</w:t>
      </w:r>
    </w:p>
    <w:p>
      <w:pPr>
        <w:bidi w:val="0"/>
        <w:rPr>
          <w:rFonts w:hint="eastAsia"/>
        </w:rPr>
      </w:pPr>
      <w:r>
        <w:t>评价区范围内有湖南省级重点保护野生动物</w:t>
      </w:r>
      <w:r>
        <w:rPr>
          <w:rFonts w:hint="eastAsia"/>
          <w:lang w:val="en-US" w:eastAsia="zh-CN"/>
        </w:rPr>
        <w:t>56</w:t>
      </w:r>
      <w:r>
        <w:t>种</w:t>
      </w:r>
      <w:r>
        <w:rPr>
          <w:rFonts w:hint="eastAsia"/>
        </w:rPr>
        <w:t>，其中两栖类</w:t>
      </w:r>
      <w:r>
        <w:rPr>
          <w:rFonts w:hint="eastAsia"/>
          <w:lang w:val="en-US" w:eastAsia="zh-CN"/>
        </w:rPr>
        <w:t>6</w:t>
      </w:r>
      <w:r>
        <w:rPr>
          <w:rFonts w:hint="eastAsia"/>
        </w:rPr>
        <w:t>种，包括</w:t>
      </w:r>
      <w:r>
        <w:t>黑斑侧褶蛙、沼水蛙</w:t>
      </w:r>
      <w:r>
        <w:rPr>
          <w:rFonts w:hint="eastAsia"/>
        </w:rPr>
        <w:t>、</w:t>
      </w:r>
      <w:r>
        <w:t>中华蟾蜍、泽陆蛙</w:t>
      </w:r>
      <w:r>
        <w:rPr>
          <w:rFonts w:hint="eastAsia"/>
        </w:rPr>
        <w:t>、</w:t>
      </w:r>
      <w:r>
        <w:t>大树蛙和斑腿泛树蛙</w:t>
      </w:r>
      <w:r>
        <w:rPr>
          <w:rFonts w:hint="eastAsia"/>
        </w:rPr>
        <w:t>；爬行类9种，包括</w:t>
      </w:r>
      <w:r>
        <w:t>中国石龙子、蓝尾石龙子、铜蜓蜥、北草蜥、</w:t>
      </w:r>
      <w:r>
        <w:rPr>
          <w:rFonts w:hint="eastAsia"/>
        </w:rPr>
        <w:t>尖吻蝮</w:t>
      </w:r>
      <w:r>
        <w:t>、短尾蝮</w:t>
      </w:r>
      <w:r>
        <w:rPr>
          <w:rFonts w:hint="eastAsia"/>
        </w:rPr>
        <w:t>、赤链蛇、华游蛇、王锦蛇、黑眉锦蛇、灰鼠蛇、乌梢蛇、银环蛇；鸟类</w:t>
      </w:r>
      <w:r>
        <w:rPr>
          <w:rFonts w:hint="eastAsia"/>
          <w:lang w:val="en-US" w:eastAsia="zh-CN"/>
        </w:rPr>
        <w:t>34种</w:t>
      </w:r>
      <w:r>
        <w:rPr>
          <w:rFonts w:hint="eastAsia"/>
        </w:rPr>
        <w:t>，包括</w:t>
      </w:r>
      <w:r>
        <w:t>环颈雉、灰胸竹鸡、山斑鸠、珠颈斑鸠、大鹰鹃（</w:t>
      </w:r>
      <w:r>
        <w:rPr>
          <w:i/>
          <w:iCs/>
        </w:rPr>
        <w:t>Cuculus sparverioides</w:t>
      </w:r>
      <w:r>
        <w:t>）、大杜鹃</w:t>
      </w:r>
      <w:r>
        <w:rPr>
          <w:rFonts w:hint="eastAsia"/>
        </w:rPr>
        <w:t>、</w:t>
      </w:r>
      <w:r>
        <w:t>四声杜鹃等</w:t>
      </w:r>
      <w:r>
        <w:rPr>
          <w:rFonts w:hint="eastAsia"/>
        </w:rPr>
        <w:t>；兽类6种，包括</w:t>
      </w:r>
      <w:r>
        <w:t>黄腹鼬（</w:t>
      </w:r>
      <w:r>
        <w:rPr>
          <w:i/>
          <w:iCs/>
        </w:rPr>
        <w:t>Mustel kathiah</w:t>
      </w:r>
      <w:r>
        <w:t>）、黄鼬、野猪（</w:t>
      </w:r>
      <w:r>
        <w:rPr>
          <w:i/>
          <w:iCs/>
        </w:rPr>
        <w:t>Sus scrofa</w:t>
      </w:r>
      <w:r>
        <w:t>）、小麂、赤腹松鼠和华南兔</w:t>
      </w:r>
      <w:r>
        <w:rPr>
          <w:rFonts w:hint="eastAsia"/>
        </w:rPr>
        <w:t>。</w:t>
      </w:r>
    </w:p>
    <w:p>
      <w:pPr>
        <w:bidi w:val="0"/>
      </w:pPr>
      <w:r>
        <w:t>两栖类主要分布在海拔较低的山沟、河流、</w:t>
      </w:r>
      <w:r>
        <w:rPr>
          <w:rFonts w:hint="eastAsia"/>
        </w:rPr>
        <w:t>池塘</w:t>
      </w:r>
      <w:r>
        <w:t>附近的草甸等区域；爬行类主要分布在影响范围内居民区附近及在水源附近的林地、灌丛、灌草丛中；鸟类中的环颈雉、珠颈斑鸠等主要分布在评价区的林缘、农田等区域。鸟类中的大杜鹃、画眉和大山雀等在评价区高大的乔木林中有分布，鸟类中的攀禽、鸣禽主要分布在评价区的阔叶林、针叶林、灌丛和灌草丛中；兽类中黄鼬等主要分布在评价区农田、荒地、灌丛等区域，花面狸分布于评价区植被生长良好的林缘地区有分布，黄鼬、华南兔在评价区较常见。</w:t>
      </w:r>
    </w:p>
    <w:p>
      <w:pPr>
        <w:rPr>
          <w:u w:val="none" w:color="auto"/>
        </w:rPr>
      </w:pPr>
      <w:r>
        <w:rPr>
          <w:u w:val="none" w:color="auto"/>
        </w:rPr>
        <w:br w:type="page"/>
      </w:r>
    </w:p>
    <w:p>
      <w:pPr>
        <w:pStyle w:val="461"/>
        <w:bidi w:val="0"/>
      </w:pPr>
      <w:r>
        <w:t xml:space="preserve"> </w:t>
      </w:r>
      <w:bookmarkStart w:id="104" w:name="_Toc18130"/>
      <w:r>
        <w:t>环境可行性分析</w:t>
      </w:r>
      <w:bookmarkEnd w:id="104"/>
    </w:p>
    <w:p>
      <w:pPr>
        <w:pStyle w:val="457"/>
        <w:ind w:firstLine="643"/>
        <w:rPr>
          <w:rFonts w:ascii="Times New Roman" w:cs="Times New Roman"/>
          <w:color w:val="000000" w:themeColor="text1"/>
          <w:u w:val="none" w:color="auto"/>
          <w14:textFill>
            <w14:solidFill>
              <w14:schemeClr w14:val="tx1"/>
            </w14:solidFill>
          </w14:textFill>
        </w:rPr>
      </w:pPr>
      <w:bookmarkStart w:id="105" w:name="_Toc19874"/>
      <w:bookmarkStart w:id="106" w:name="_Toc256077597"/>
      <w:bookmarkStart w:id="107" w:name="_Toc215544192"/>
      <w:bookmarkStart w:id="108" w:name="_Toc186600276"/>
      <w:r>
        <w:rPr>
          <w:rFonts w:ascii="Times New Roman" w:cs="Times New Roman"/>
          <w:color w:val="000000" w:themeColor="text1"/>
          <w:u w:val="none" w:color="auto"/>
          <w14:textFill>
            <w14:solidFill>
              <w14:schemeClr w14:val="tx1"/>
            </w14:solidFill>
          </w14:textFill>
        </w:rPr>
        <w:t>产业政策相符性分析</w:t>
      </w:r>
      <w:bookmarkEnd w:id="105"/>
    </w:p>
    <w:p>
      <w:pPr>
        <w:bidi w:val="0"/>
        <w:rPr>
          <w:rFonts w:hint="default"/>
        </w:rPr>
      </w:pPr>
      <w:r>
        <w:t>根据《产业结构调整指导目录</w:t>
      </w:r>
      <w:r>
        <w:rPr>
          <w:rFonts w:hint="eastAsia"/>
        </w:rPr>
        <w:t>（2</w:t>
      </w:r>
      <w:r>
        <w:t>024</w:t>
      </w:r>
      <w:r>
        <w:rPr>
          <w:rFonts w:hint="eastAsia"/>
        </w:rPr>
        <w:t>年本）</w:t>
      </w:r>
      <w:r>
        <w:t>》，本项目</w:t>
      </w:r>
      <w:r>
        <w:rPr>
          <w:rFonts w:hint="eastAsia"/>
        </w:rPr>
        <w:t>属于鼓励类中的“五、新能源-</w:t>
      </w:r>
      <w:r>
        <w:t>-</w:t>
      </w:r>
      <w:r>
        <w:rPr>
          <w:rFonts w:hint="eastAsia"/>
        </w:rPr>
        <w:t>1．风力发电技术与应用：15MW 等级及以上海上风电机组技术开发与设备制造，漂浮式海上风电技术，高原、山区风电场建设与设备生产制造，海上风电场建设与设备及海底电缆制造，稀土永磁材料在风力发电机中应用”</w:t>
      </w:r>
      <w:r>
        <w:rPr>
          <w:rFonts w:hint="default"/>
        </w:rPr>
        <w:t>。因此，本项目建设符合国家产业政策。</w:t>
      </w:r>
    </w:p>
    <w:p>
      <w:pPr>
        <w:pStyle w:val="457"/>
        <w:ind w:firstLine="643"/>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109" w:name="_Toc22158"/>
      <w:r>
        <w:rPr>
          <w:rFonts w:hint="default" w:ascii="Times New Roman" w:hAnsi="Times New Roman" w:eastAsia="宋体" w:cs="Times New Roman"/>
          <w:color w:val="000000" w:themeColor="text1"/>
          <w:u w:val="none" w:color="auto"/>
          <w:lang w:val="en-US" w:eastAsia="zh-CN"/>
          <w14:textFill>
            <w14:solidFill>
              <w14:schemeClr w14:val="tx1"/>
            </w14:solidFill>
          </w14:textFill>
        </w:rPr>
        <w:t>与行业发展规范符合性分析</w:t>
      </w:r>
      <w:bookmarkEnd w:id="109"/>
    </w:p>
    <w:p>
      <w:pPr>
        <w:pStyle w:val="3655"/>
        <w:keepNext w:val="0"/>
        <w:keepLines w:val="0"/>
        <w:pageBreakBefore w:val="0"/>
        <w:widowControl w:val="0"/>
        <w:kinsoku/>
        <w:wordWrap/>
        <w:overflowPunct/>
        <w:topLinePunct w:val="0"/>
        <w:autoSpaceDE/>
        <w:autoSpaceDN/>
        <w:bidi w:val="0"/>
        <w:adjustRightInd/>
        <w:snapToGrid/>
        <w:ind w:firstLine="482"/>
        <w:textAlignment w:val="auto"/>
        <w:rPr>
          <w:rFonts w:hint="default" w:ascii="Times New Roman" w:hAnsi="Times New Roman" w:cs="Times New Roman"/>
          <w:b/>
          <w:bCs/>
          <w:u w:val="none" w:color="auto"/>
        </w:rPr>
      </w:pPr>
      <w:r>
        <w:rPr>
          <w:rFonts w:hint="default" w:ascii="Times New Roman" w:hAnsi="Times New Roman" w:cs="Times New Roman"/>
          <w:b/>
          <w:bCs/>
          <w:u w:val="none" w:color="auto"/>
          <w:lang w:eastAsia="zh-CN"/>
        </w:rPr>
        <w:t>（</w:t>
      </w:r>
      <w:r>
        <w:rPr>
          <w:rFonts w:hint="default" w:ascii="Times New Roman" w:hAnsi="Times New Roman" w:cs="Times New Roman"/>
          <w:b/>
          <w:bCs/>
          <w:u w:val="none" w:color="auto"/>
          <w:lang w:val="en-US" w:eastAsia="zh-CN"/>
        </w:rPr>
        <w:t>1</w:t>
      </w:r>
      <w:r>
        <w:rPr>
          <w:rFonts w:hint="default" w:ascii="Times New Roman" w:hAnsi="Times New Roman" w:cs="Times New Roman"/>
          <w:b/>
          <w:bCs/>
          <w:u w:val="none" w:color="auto"/>
          <w:lang w:eastAsia="zh-CN"/>
        </w:rPr>
        <w:t>）</w:t>
      </w:r>
      <w:r>
        <w:rPr>
          <w:rFonts w:hint="default" w:ascii="Times New Roman" w:hAnsi="Times New Roman" w:cs="Times New Roman"/>
          <w:b/>
          <w:bCs/>
          <w:u w:val="none" w:color="auto"/>
        </w:rPr>
        <w:t>与《关于规范风电场项目建设使用林地的通知》符合性分析</w:t>
      </w:r>
    </w:p>
    <w:p>
      <w:pPr>
        <w:bidi w:val="0"/>
        <w:rPr>
          <w:rFonts w:hint="default"/>
        </w:rPr>
      </w:pPr>
      <w:r>
        <w:rPr>
          <w:rFonts w:hint="eastAsia"/>
          <w:lang w:eastAsia="zh-CN"/>
        </w:rPr>
        <w:t>根据</w:t>
      </w:r>
      <w:r>
        <w:rPr>
          <w:rFonts w:hint="default"/>
        </w:rPr>
        <w:t>国家林业和草原局《关于规范风电场项目建设使用林地的通知》林资发〔2019〕17号中相关内容，为规范风电场项目建设使用林地，减少对森林植被和生态环境的损害与影响，</w:t>
      </w:r>
      <w:r>
        <w:rPr>
          <w:rFonts w:hint="eastAsia"/>
          <w:lang w:eastAsia="zh-CN"/>
        </w:rPr>
        <w:t>文件</w:t>
      </w:r>
      <w:r>
        <w:rPr>
          <w:rFonts w:hint="default"/>
        </w:rPr>
        <w:t>对风电项目建设提出了相应的建设要求</w:t>
      </w:r>
      <w:r>
        <w:rPr>
          <w:rFonts w:hint="eastAsia"/>
          <w:lang w:eastAsia="zh-CN"/>
        </w:rPr>
        <w:t>。本项目已获得</w:t>
      </w:r>
      <w:r>
        <w:rPr>
          <w:rFonts w:hint="eastAsia"/>
          <w:lang w:val="en-US" w:eastAsia="zh-CN"/>
        </w:rPr>
        <w:t>湖南省</w:t>
      </w:r>
      <w:r>
        <w:rPr>
          <w:rFonts w:hint="eastAsia"/>
          <w:lang w:eastAsia="zh-CN"/>
        </w:rPr>
        <w:t>林业局林地批复（</w:t>
      </w:r>
      <w:r>
        <w:rPr>
          <w:rFonts w:hint="eastAsia"/>
          <w:lang w:val="en-US" w:eastAsia="zh-CN"/>
        </w:rPr>
        <w:t>湘</w:t>
      </w:r>
      <w:r>
        <w:rPr>
          <w:rFonts w:hint="eastAsia"/>
          <w:lang w:eastAsia="zh-CN"/>
        </w:rPr>
        <w:t>林地</w:t>
      </w:r>
      <w:r>
        <w:rPr>
          <w:rFonts w:hint="eastAsia"/>
          <w:lang w:val="en-US" w:eastAsia="zh-CN"/>
        </w:rPr>
        <w:t>许</w:t>
      </w:r>
      <w:r>
        <w:rPr>
          <w:rFonts w:hint="eastAsia"/>
          <w:lang w:eastAsia="zh-CN"/>
        </w:rPr>
        <w:t>准</w:t>
      </w:r>
      <w:r>
        <w:rPr>
          <w:rFonts w:hint="eastAsia"/>
          <w:lang w:val="en-US" w:eastAsia="zh-CN"/>
        </w:rPr>
        <w:t>[2023]3478号</w:t>
      </w:r>
      <w:r>
        <w:rPr>
          <w:rFonts w:hint="eastAsia"/>
          <w:lang w:eastAsia="zh-CN"/>
        </w:rPr>
        <w:t>），本项目符合</w:t>
      </w:r>
      <w:r>
        <w:rPr>
          <w:rFonts w:hint="default"/>
        </w:rPr>
        <w:t>林资发〔2019〕17号</w:t>
      </w:r>
      <w:r>
        <w:rPr>
          <w:rFonts w:hint="eastAsia"/>
          <w:lang w:eastAsia="zh-CN"/>
        </w:rPr>
        <w:t>文件要求，具体</w:t>
      </w:r>
      <w:r>
        <w:rPr>
          <w:rFonts w:hint="default"/>
        </w:rPr>
        <w:t>符合性分析详见下表</w:t>
      </w:r>
      <w:r>
        <w:rPr>
          <w:rFonts w:hint="eastAsia"/>
          <w:lang w:val="en-US" w:eastAsia="zh-CN"/>
        </w:rPr>
        <w:t>4-1</w:t>
      </w:r>
      <w:r>
        <w:rPr>
          <w:rFonts w:hint="default"/>
        </w:rPr>
        <w:t>所示。</w:t>
      </w:r>
    </w:p>
    <w:p>
      <w:pPr>
        <w:pStyle w:val="3588"/>
        <w:bidi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与《关于规范风电场项目建设使用林地的通知》符合性分析一览表</w:t>
      </w:r>
    </w:p>
    <w:tbl>
      <w:tblPr>
        <w:tblStyle w:val="88"/>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21"/>
        <w:gridCol w:w="3854"/>
        <w:gridCol w:w="2853"/>
        <w:gridCol w:w="11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类别</w:t>
            </w:r>
          </w:p>
        </w:tc>
        <w:tc>
          <w:tcPr>
            <w:tcW w:w="2075" w:type="pc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具体要求</w:t>
            </w:r>
          </w:p>
        </w:tc>
        <w:tc>
          <w:tcPr>
            <w:tcW w:w="1536" w:type="pc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本项目变更后情况</w:t>
            </w:r>
          </w:p>
        </w:tc>
        <w:tc>
          <w:tcPr>
            <w:tcW w:w="622" w:type="pc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符合性分析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bCs/>
                <w:sz w:val="21"/>
                <w:szCs w:val="21"/>
                <w:u w:val="none" w:color="auto"/>
              </w:rPr>
            </w:pPr>
            <w:r>
              <w:rPr>
                <w:rStyle w:val="134"/>
                <w:rFonts w:hint="default" w:ascii="Times New Roman" w:hAnsi="Times New Roman" w:cs="Times New Roman"/>
                <w:b w:val="0"/>
                <w:spacing w:val="7"/>
                <w:sz w:val="21"/>
                <w:szCs w:val="21"/>
                <w:u w:val="none" w:color="auto"/>
              </w:rPr>
              <w:t>风电场建设使用林地禁建区域</w:t>
            </w:r>
          </w:p>
        </w:tc>
        <w:tc>
          <w:tcPr>
            <w:tcW w:w="2075" w:type="pc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自然遗产地、国家公园、自然保护区、森林公园、湿地公园、地质公园、风景名胜区、鸟类主要迁徙通道和迁徙地等区域以及沿海基干林带和消浪林带，为风电场项目禁止建设区域。</w:t>
            </w:r>
          </w:p>
        </w:tc>
        <w:tc>
          <w:tcPr>
            <w:tcW w:w="1536" w:type="pc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①变更后项目占地不涉及</w:t>
            </w:r>
            <w:r>
              <w:rPr>
                <w:rFonts w:hint="eastAsia" w:cs="Times New Roman"/>
                <w:bCs/>
                <w:sz w:val="21"/>
                <w:szCs w:val="21"/>
                <w:u w:val="none" w:color="auto"/>
                <w:lang w:val="en-US" w:eastAsia="zh-CN"/>
              </w:rPr>
              <w:t>左</w:t>
            </w:r>
            <w:r>
              <w:rPr>
                <w:rFonts w:hint="default" w:ascii="Times New Roman" w:hAnsi="Times New Roman" w:cs="Times New Roman"/>
                <w:bCs/>
                <w:sz w:val="21"/>
                <w:szCs w:val="21"/>
                <w:u w:val="none" w:color="auto"/>
              </w:rPr>
              <w:t>述生态敏感区，②不</w:t>
            </w:r>
            <w:r>
              <w:rPr>
                <w:rFonts w:hint="eastAsia" w:cs="Times New Roman"/>
                <w:bCs/>
                <w:sz w:val="21"/>
                <w:szCs w:val="21"/>
                <w:u w:val="none" w:color="auto"/>
                <w:lang w:val="en-US" w:eastAsia="zh-CN"/>
              </w:rPr>
              <w:t>涉及</w:t>
            </w:r>
            <w:r>
              <w:rPr>
                <w:rFonts w:hint="default" w:ascii="Times New Roman" w:hAnsi="Times New Roman" w:cs="Times New Roman"/>
                <w:bCs/>
                <w:sz w:val="21"/>
                <w:szCs w:val="21"/>
                <w:u w:val="none" w:color="auto"/>
              </w:rPr>
              <w:t>鸟类主要迁徙通道和迁徙地，③项目区域不涉及沿海基干林带和消浪林带</w:t>
            </w:r>
          </w:p>
        </w:tc>
        <w:tc>
          <w:tcPr>
            <w:tcW w:w="622" w:type="pc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Merge w:val="restar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bCs/>
                <w:sz w:val="21"/>
                <w:szCs w:val="21"/>
                <w:u w:val="none" w:color="auto"/>
              </w:rPr>
            </w:pPr>
            <w:r>
              <w:rPr>
                <w:rStyle w:val="134"/>
                <w:rFonts w:hint="default" w:ascii="Times New Roman" w:hAnsi="Times New Roman" w:cs="Times New Roman"/>
                <w:b w:val="0"/>
                <w:spacing w:val="7"/>
                <w:sz w:val="21"/>
                <w:szCs w:val="21"/>
                <w:u w:val="none" w:color="auto"/>
              </w:rPr>
              <w:t>风电场建设使用林地限制范围</w:t>
            </w:r>
          </w:p>
        </w:tc>
        <w:tc>
          <w:tcPr>
            <w:tcW w:w="2075" w:type="pc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bCs/>
                <w:sz w:val="21"/>
                <w:szCs w:val="21"/>
                <w:u w:val="none" w:color="auto"/>
              </w:rPr>
            </w:pPr>
            <w:r>
              <w:rPr>
                <w:rFonts w:hint="default" w:ascii="Times New Roman" w:hAnsi="Times New Roman" w:cs="Times New Roman"/>
                <w:spacing w:val="7"/>
                <w:sz w:val="21"/>
                <w:szCs w:val="21"/>
                <w:u w:val="none" w:color="auto"/>
              </w:rPr>
              <w:t>风机基础、施工和检修道路、</w:t>
            </w:r>
            <w:r>
              <w:rPr>
                <w:rFonts w:hint="eastAsia" w:cs="Times New Roman"/>
                <w:spacing w:val="7"/>
                <w:sz w:val="21"/>
                <w:szCs w:val="21"/>
                <w:u w:val="none" w:color="auto"/>
                <w:lang w:eastAsia="zh-CN"/>
              </w:rPr>
              <w:t>汇集站</w:t>
            </w:r>
            <w:r>
              <w:rPr>
                <w:rFonts w:hint="default" w:ascii="Times New Roman" w:hAnsi="Times New Roman" w:cs="Times New Roman"/>
                <w:spacing w:val="7"/>
                <w:sz w:val="21"/>
                <w:szCs w:val="21"/>
                <w:u w:val="none" w:color="auto"/>
              </w:rPr>
              <w:t>、集电线路等，禁止占用天然乔木林（竹林）地、年降雨量400毫米以下区域的有林地、一级国家级公益林地和二级国家级公益林中的有林地。</w:t>
            </w:r>
          </w:p>
        </w:tc>
        <w:tc>
          <w:tcPr>
            <w:tcW w:w="1536" w:type="pct"/>
            <w:vMerge w:val="restar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spacing w:val="7"/>
                <w:sz w:val="21"/>
                <w:szCs w:val="21"/>
                <w:u w:val="none" w:color="auto"/>
              </w:rPr>
            </w:pPr>
            <w:r>
              <w:rPr>
                <w:rFonts w:hint="default" w:ascii="Times New Roman" w:hAnsi="Times New Roman" w:cs="Times New Roman"/>
                <w:bCs/>
                <w:sz w:val="21"/>
                <w:szCs w:val="21"/>
                <w:u w:val="none" w:color="auto"/>
              </w:rPr>
              <w:t>①项目占地内林地为人工林，不占用天然乔木林</w:t>
            </w:r>
            <w:r>
              <w:rPr>
                <w:rFonts w:hint="default" w:ascii="Times New Roman" w:hAnsi="Times New Roman" w:cs="Times New Roman"/>
                <w:spacing w:val="7"/>
                <w:sz w:val="21"/>
                <w:szCs w:val="21"/>
                <w:u w:val="none" w:color="auto"/>
              </w:rPr>
              <w:t>地</w:t>
            </w:r>
            <w:r>
              <w:rPr>
                <w:rFonts w:hint="eastAsia" w:ascii="Times New Roman" w:hAnsi="Times New Roman" w:cs="Times New Roman"/>
                <w:spacing w:val="7"/>
                <w:sz w:val="21"/>
                <w:szCs w:val="21"/>
                <w:u w:val="none" w:color="auto"/>
                <w:lang w:eastAsia="zh-CN"/>
              </w:rPr>
              <w:t>；</w:t>
            </w:r>
            <w:r>
              <w:rPr>
                <w:rFonts w:hint="default" w:ascii="Times New Roman" w:hAnsi="Times New Roman" w:cs="Times New Roman"/>
                <w:spacing w:val="7"/>
                <w:sz w:val="21"/>
                <w:szCs w:val="21"/>
                <w:u w:val="none" w:color="auto"/>
              </w:rPr>
              <w:t>②本项目所在区域年</w:t>
            </w:r>
            <w:r>
              <w:rPr>
                <w:rFonts w:hint="eastAsia" w:ascii="Times New Roman" w:hAnsi="Times New Roman" w:cs="Times New Roman"/>
                <w:spacing w:val="7"/>
                <w:sz w:val="21"/>
                <w:szCs w:val="21"/>
                <w:u w:val="none" w:color="auto"/>
                <w:lang w:eastAsia="zh-CN"/>
              </w:rPr>
              <w:t>平均</w:t>
            </w:r>
            <w:r>
              <w:rPr>
                <w:rFonts w:hint="default" w:ascii="Times New Roman" w:hAnsi="Times New Roman" w:cs="Times New Roman"/>
                <w:spacing w:val="7"/>
                <w:sz w:val="21"/>
                <w:szCs w:val="21"/>
                <w:u w:val="none" w:color="auto"/>
              </w:rPr>
              <w:t>降水量达到</w:t>
            </w:r>
            <w:r>
              <w:rPr>
                <w:rFonts w:hint="eastAsia"/>
                <w:color w:val="000000" w:themeColor="text1"/>
                <w:sz w:val="21"/>
                <w:szCs w:val="16"/>
                <w:u w:val="none" w:color="auto"/>
                <w14:textFill>
                  <w14:solidFill>
                    <w14:schemeClr w14:val="tx1"/>
                  </w14:solidFill>
                </w14:textFill>
              </w:rPr>
              <w:t>1581.2</w:t>
            </w:r>
            <w:r>
              <w:rPr>
                <w:rFonts w:hint="default" w:ascii="Times New Roman" w:hAnsi="Times New Roman" w:cs="Times New Roman"/>
                <w:spacing w:val="7"/>
                <w:sz w:val="21"/>
                <w:szCs w:val="21"/>
                <w:u w:val="none" w:color="auto"/>
              </w:rPr>
              <w:t>毫米</w:t>
            </w:r>
            <w:r>
              <w:rPr>
                <w:rFonts w:hint="eastAsia" w:ascii="Times New Roman" w:hAnsi="Times New Roman" w:cs="Times New Roman"/>
                <w:spacing w:val="7"/>
                <w:sz w:val="21"/>
                <w:szCs w:val="21"/>
                <w:u w:val="none" w:color="auto"/>
                <w:lang w:eastAsia="zh-CN"/>
              </w:rPr>
              <w:t>；</w:t>
            </w:r>
            <w:r>
              <w:rPr>
                <w:rFonts w:hint="default" w:ascii="Times New Roman" w:hAnsi="Times New Roman" w:cs="Times New Roman"/>
                <w:spacing w:val="7"/>
                <w:sz w:val="21"/>
                <w:szCs w:val="21"/>
                <w:u w:val="none" w:color="auto"/>
              </w:rPr>
              <w:t>③</w:t>
            </w:r>
            <w:r>
              <w:rPr>
                <w:rFonts w:hint="default" w:ascii="Times New Roman" w:hAnsi="Times New Roman" w:cs="Times New Roman"/>
                <w:bCs/>
                <w:sz w:val="21"/>
                <w:szCs w:val="21"/>
                <w:u w:val="none" w:color="auto"/>
              </w:rPr>
              <w:t>本</w:t>
            </w:r>
            <w:r>
              <w:rPr>
                <w:rFonts w:hint="eastAsia" w:ascii="Times New Roman" w:hAnsi="Times New Roman" w:cs="Times New Roman"/>
                <w:bCs/>
                <w:sz w:val="21"/>
                <w:szCs w:val="21"/>
                <w:u w:val="none" w:color="auto"/>
                <w:lang w:val="en-US" w:eastAsia="zh-CN"/>
              </w:rPr>
              <w:t>项目场址</w:t>
            </w:r>
            <w:r>
              <w:rPr>
                <w:rFonts w:hint="default" w:ascii="Times New Roman" w:hAnsi="Times New Roman" w:cs="Times New Roman"/>
                <w:bCs/>
                <w:sz w:val="21"/>
                <w:szCs w:val="21"/>
                <w:u w:val="none" w:color="auto"/>
              </w:rPr>
              <w:t>不涉及占用一级国家公益林</w:t>
            </w:r>
            <w:r>
              <w:rPr>
                <w:rFonts w:hint="eastAsia" w:ascii="Times New Roman" w:hAnsi="Times New Roman" w:cs="Times New Roman"/>
                <w:bCs/>
                <w:sz w:val="21"/>
                <w:szCs w:val="21"/>
                <w:u w:val="none" w:color="auto"/>
                <w:lang w:eastAsia="zh-CN"/>
              </w:rPr>
              <w:t>和二级</w:t>
            </w:r>
            <w:r>
              <w:rPr>
                <w:rFonts w:hint="default" w:ascii="Times New Roman" w:hAnsi="Times New Roman" w:cs="Times New Roman"/>
                <w:bCs/>
                <w:sz w:val="21"/>
                <w:szCs w:val="21"/>
                <w:u w:val="none" w:color="auto"/>
              </w:rPr>
              <w:t>国家公益林</w:t>
            </w:r>
            <w:r>
              <w:rPr>
                <w:rFonts w:hint="eastAsia" w:ascii="Times New Roman" w:hAnsi="Times New Roman" w:cs="Times New Roman"/>
                <w:bCs/>
                <w:sz w:val="21"/>
                <w:szCs w:val="21"/>
                <w:u w:val="none" w:color="auto"/>
                <w:lang w:eastAsia="zh-CN"/>
              </w:rPr>
              <w:t>中的有林地</w:t>
            </w:r>
            <w:r>
              <w:rPr>
                <w:rFonts w:hint="default" w:ascii="Times New Roman" w:hAnsi="Times New Roman" w:cs="Times New Roman"/>
                <w:bCs/>
                <w:sz w:val="21"/>
                <w:szCs w:val="21"/>
                <w:u w:val="none" w:color="auto"/>
              </w:rPr>
              <w:t>，符合占地要求</w:t>
            </w:r>
            <w:r>
              <w:rPr>
                <w:rFonts w:hint="eastAsia" w:ascii="Times New Roman" w:hAnsi="Times New Roman" w:cs="Times New Roman"/>
                <w:bCs/>
                <w:sz w:val="21"/>
                <w:szCs w:val="21"/>
                <w:u w:val="none" w:color="auto"/>
                <w:lang w:eastAsia="zh-CN"/>
              </w:rPr>
              <w:t>。</w:t>
            </w:r>
            <w:r>
              <w:rPr>
                <w:rFonts w:hint="default" w:ascii="Times New Roman" w:hAnsi="Times New Roman" w:cs="Times New Roman"/>
                <w:spacing w:val="7"/>
                <w:sz w:val="21"/>
                <w:szCs w:val="21"/>
                <w:u w:val="none" w:color="auto"/>
              </w:rPr>
              <w:t xml:space="preserve"> </w:t>
            </w:r>
          </w:p>
        </w:tc>
        <w:tc>
          <w:tcPr>
            <w:tcW w:w="622" w:type="pct"/>
            <w:vMerge w:val="restar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Merge w:val="continue"/>
            <w:tcBorders>
              <w:tl2br w:val="nil"/>
              <w:tr2bl w:val="nil"/>
            </w:tcBorders>
            <w:noWrap w:val="0"/>
            <w:vAlign w:val="center"/>
          </w:tcPr>
          <w:p>
            <w:pPr>
              <w:jc w:val="left"/>
              <w:rPr>
                <w:rFonts w:hint="default" w:ascii="Times New Roman" w:hAnsi="Times New Roman" w:cs="Times New Roman"/>
                <w:bCs/>
                <w:szCs w:val="21"/>
                <w:u w:val="none" w:color="auto"/>
              </w:rPr>
            </w:pPr>
          </w:p>
        </w:tc>
        <w:tc>
          <w:tcPr>
            <w:tcW w:w="2075" w:type="pc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spacing w:val="7"/>
                <w:sz w:val="21"/>
                <w:szCs w:val="21"/>
                <w:u w:val="none" w:color="auto"/>
              </w:rPr>
            </w:pPr>
            <w:r>
              <w:rPr>
                <w:rFonts w:hint="default" w:ascii="Times New Roman" w:hAnsi="Times New Roman" w:cs="Times New Roman"/>
                <w:spacing w:val="7"/>
                <w:sz w:val="21"/>
                <w:szCs w:val="21"/>
                <w:u w:val="none" w:color="auto"/>
              </w:rPr>
              <w:t>本通知下发之前已经核准但未取得使用林地手续的风电场项目，要重新合理优化选址和建设方案，加强生态影响分析和评估，不得占用年降雨量400毫米以下区域的有林地和一级国家级公益林地，避让二级国家级公益林中有林地集中区域。</w:t>
            </w:r>
          </w:p>
        </w:tc>
        <w:tc>
          <w:tcPr>
            <w:tcW w:w="1536" w:type="pct"/>
            <w:vMerge w:val="continue"/>
            <w:tcBorders>
              <w:tl2br w:val="nil"/>
              <w:tr2bl w:val="nil"/>
            </w:tcBorders>
            <w:noWrap w:val="0"/>
            <w:vAlign w:val="center"/>
          </w:tcPr>
          <w:p>
            <w:pPr>
              <w:jc w:val="left"/>
              <w:rPr>
                <w:rFonts w:hint="default" w:ascii="Times New Roman" w:hAnsi="Times New Roman" w:cs="Times New Roman"/>
                <w:spacing w:val="7"/>
                <w:szCs w:val="21"/>
                <w:u w:val="none" w:color="auto"/>
              </w:rPr>
            </w:pPr>
          </w:p>
        </w:tc>
        <w:tc>
          <w:tcPr>
            <w:tcW w:w="622" w:type="pct"/>
            <w:vMerge w:val="continue"/>
            <w:tcBorders>
              <w:tl2br w:val="nil"/>
              <w:tr2bl w:val="nil"/>
            </w:tcBorders>
            <w:noWrap w:val="0"/>
            <w:vAlign w:val="center"/>
          </w:tcPr>
          <w:p>
            <w:pPr>
              <w:jc w:val="left"/>
              <w:rPr>
                <w:rFonts w:hint="default" w:ascii="Times New Roman" w:hAnsi="Times New Roman" w:cs="Times New Roman"/>
                <w:bCs/>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Merge w:val="restar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bCs/>
                <w:sz w:val="21"/>
                <w:szCs w:val="21"/>
                <w:u w:val="none" w:color="auto"/>
              </w:rPr>
            </w:pPr>
            <w:r>
              <w:rPr>
                <w:rStyle w:val="134"/>
                <w:rFonts w:hint="default" w:ascii="Times New Roman" w:hAnsi="Times New Roman" w:cs="Times New Roman"/>
                <w:b w:val="0"/>
                <w:spacing w:val="7"/>
                <w:sz w:val="21"/>
                <w:szCs w:val="21"/>
                <w:u w:val="none" w:color="auto"/>
              </w:rPr>
              <w:t>强化风电场道路建设和临时用地管理</w:t>
            </w:r>
          </w:p>
        </w:tc>
        <w:tc>
          <w:tcPr>
            <w:tcW w:w="2075" w:type="pc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bCs/>
                <w:sz w:val="21"/>
                <w:szCs w:val="21"/>
                <w:u w:val="none" w:color="auto"/>
              </w:rPr>
            </w:pPr>
            <w:r>
              <w:rPr>
                <w:rFonts w:hint="default" w:ascii="Times New Roman" w:hAnsi="Times New Roman" w:cs="Times New Roman"/>
                <w:spacing w:val="7"/>
                <w:sz w:val="21"/>
                <w:szCs w:val="21"/>
                <w:u w:val="none" w:color="auto"/>
              </w:rPr>
              <w:t>风电场施工和检修道路，应尽可能利用现有森林防火道路、林区道路、乡村道路等道路，在其基础上扩建的风电场道路原则上不得改变现有道路性质。</w:t>
            </w:r>
          </w:p>
        </w:tc>
        <w:tc>
          <w:tcPr>
            <w:tcW w:w="1536" w:type="pct"/>
            <w:tcBorders>
              <w:tl2br w:val="nil"/>
              <w:tr2bl w:val="nil"/>
            </w:tcBorders>
            <w:noWrap w:val="0"/>
            <w:vAlign w:val="center"/>
          </w:tcPr>
          <w:p>
            <w:pPr>
              <w:pStyle w:val="3655"/>
              <w:widowControl w:val="0"/>
              <w:spacing w:line="240" w:lineRule="auto"/>
              <w:ind w:firstLine="0" w:firstLineChars="0"/>
              <w:jc w:val="center"/>
              <w:rPr>
                <w:rFonts w:hint="eastAsia" w:ascii="Times New Roman" w:hAnsi="Times New Roman" w:eastAsia="宋体" w:cs="Times New Roman"/>
                <w:bCs/>
                <w:sz w:val="21"/>
                <w:szCs w:val="21"/>
                <w:u w:val="none" w:color="auto"/>
                <w:lang w:eastAsia="zh-CN"/>
              </w:rPr>
            </w:pPr>
            <w:r>
              <w:rPr>
                <w:rFonts w:hint="default" w:ascii="Times New Roman" w:hAnsi="Times New Roman" w:cs="Times New Roman"/>
                <w:bCs/>
                <w:sz w:val="21"/>
                <w:szCs w:val="21"/>
                <w:u w:val="none" w:color="auto"/>
              </w:rPr>
              <w:t>进场道路利用</w:t>
            </w:r>
            <w:r>
              <w:rPr>
                <w:rFonts w:hint="eastAsia" w:ascii="Times New Roman" w:hAnsi="Times New Roman" w:cs="Times New Roman"/>
                <w:bCs/>
                <w:sz w:val="21"/>
                <w:szCs w:val="21"/>
                <w:u w:val="none" w:color="auto"/>
                <w:lang w:eastAsia="zh-CN"/>
              </w:rPr>
              <w:t>现有</w:t>
            </w:r>
            <w:r>
              <w:rPr>
                <w:rFonts w:hint="default" w:ascii="Times New Roman" w:hAnsi="Times New Roman" w:cs="Times New Roman"/>
                <w:bCs/>
                <w:sz w:val="21"/>
                <w:szCs w:val="21"/>
                <w:u w:val="none" w:color="auto"/>
                <w:lang w:eastAsia="zh-CN"/>
              </w:rPr>
              <w:t>道路</w:t>
            </w:r>
            <w:r>
              <w:rPr>
                <w:rFonts w:hint="default" w:ascii="Times New Roman" w:hAnsi="Times New Roman" w:cs="Times New Roman"/>
                <w:bCs/>
                <w:sz w:val="21"/>
                <w:szCs w:val="21"/>
                <w:u w:val="none" w:color="auto"/>
              </w:rPr>
              <w:t>，项目完成后道路仍可作为当地出行的通道</w:t>
            </w:r>
            <w:r>
              <w:rPr>
                <w:rFonts w:hint="eastAsia" w:ascii="Times New Roman" w:hAnsi="Times New Roman" w:cs="Times New Roman"/>
                <w:bCs/>
                <w:sz w:val="21"/>
                <w:szCs w:val="21"/>
                <w:u w:val="none" w:color="auto"/>
                <w:lang w:eastAsia="zh-CN"/>
              </w:rPr>
              <w:t>。</w:t>
            </w:r>
          </w:p>
        </w:tc>
        <w:tc>
          <w:tcPr>
            <w:tcW w:w="622" w:type="pc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Merge w:val="continue"/>
            <w:tcBorders>
              <w:tl2br w:val="nil"/>
              <w:tr2bl w:val="nil"/>
            </w:tcBorders>
            <w:noWrap w:val="0"/>
            <w:vAlign w:val="center"/>
          </w:tcPr>
          <w:p>
            <w:pPr>
              <w:jc w:val="left"/>
              <w:rPr>
                <w:rFonts w:hint="default" w:ascii="Times New Roman" w:hAnsi="Times New Roman" w:cs="Times New Roman"/>
                <w:bCs/>
                <w:szCs w:val="21"/>
                <w:u w:val="none" w:color="auto"/>
              </w:rPr>
            </w:pPr>
          </w:p>
        </w:tc>
        <w:tc>
          <w:tcPr>
            <w:tcW w:w="2075" w:type="pc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bCs/>
                <w:sz w:val="21"/>
                <w:szCs w:val="21"/>
                <w:u w:val="none" w:color="auto"/>
              </w:rPr>
            </w:pPr>
            <w:r>
              <w:rPr>
                <w:rFonts w:hint="default" w:ascii="Times New Roman" w:hAnsi="Times New Roman" w:cs="Times New Roman"/>
                <w:spacing w:val="7"/>
                <w:sz w:val="21"/>
                <w:szCs w:val="21"/>
                <w:u w:val="none" w:color="auto"/>
              </w:rPr>
              <w:t>风电场新建配套道路应与风电场一同办理使用林地手续，风电场配套道路要严格控制道路宽度，提高标准，合理建设排水沟、过水涵洞、挡土墙等设施；</w:t>
            </w:r>
          </w:p>
        </w:tc>
        <w:tc>
          <w:tcPr>
            <w:tcW w:w="1536" w:type="pct"/>
            <w:tcBorders>
              <w:tl2br w:val="nil"/>
              <w:tr2bl w:val="nil"/>
            </w:tcBorders>
            <w:noWrap w:val="0"/>
            <w:vAlign w:val="center"/>
          </w:tcPr>
          <w:p>
            <w:pPr>
              <w:pStyle w:val="3655"/>
              <w:widowControl w:val="0"/>
              <w:spacing w:line="240" w:lineRule="auto"/>
              <w:ind w:firstLine="0" w:firstLineChars="0"/>
              <w:jc w:val="center"/>
              <w:rPr>
                <w:rFonts w:hint="eastAsia" w:ascii="Times New Roman" w:hAnsi="Times New Roman" w:eastAsia="宋体" w:cs="Times New Roman"/>
                <w:bCs/>
                <w:sz w:val="21"/>
                <w:szCs w:val="21"/>
                <w:u w:val="none" w:color="auto"/>
                <w:lang w:eastAsia="zh-CN"/>
              </w:rPr>
            </w:pPr>
            <w:r>
              <w:rPr>
                <w:rFonts w:hint="default" w:ascii="Times New Roman" w:hAnsi="Times New Roman" w:cs="Times New Roman"/>
                <w:bCs/>
                <w:sz w:val="21"/>
                <w:szCs w:val="21"/>
                <w:u w:val="none" w:color="auto"/>
              </w:rPr>
              <w:t>①</w:t>
            </w:r>
            <w:r>
              <w:rPr>
                <w:rFonts w:hint="default" w:ascii="Times New Roman" w:hAnsi="Times New Roman" w:cs="Times New Roman"/>
                <w:bCs/>
                <w:sz w:val="21"/>
                <w:szCs w:val="21"/>
                <w:u w:val="none" w:color="auto"/>
                <w:lang w:eastAsia="zh-CN"/>
              </w:rPr>
              <w:t>项目</w:t>
            </w:r>
            <w:r>
              <w:rPr>
                <w:rFonts w:hint="eastAsia" w:ascii="Times New Roman" w:hAnsi="Times New Roman" w:cs="Times New Roman"/>
                <w:bCs/>
                <w:sz w:val="21"/>
                <w:szCs w:val="21"/>
                <w:u w:val="none" w:color="auto"/>
                <w:lang w:eastAsia="zh-CN"/>
              </w:rPr>
              <w:t>林地手续已获得永州市林业局批复；</w:t>
            </w:r>
            <w:r>
              <w:rPr>
                <w:rFonts w:hint="default" w:ascii="Times New Roman" w:hAnsi="Times New Roman" w:cs="Times New Roman"/>
                <w:bCs/>
                <w:sz w:val="21"/>
                <w:szCs w:val="21"/>
                <w:u w:val="none" w:color="auto"/>
              </w:rPr>
              <w:t>②场内道路路面宽</w:t>
            </w:r>
            <w:r>
              <w:rPr>
                <w:rFonts w:hint="eastAsia" w:ascii="Times New Roman" w:hAnsi="Times New Roman" w:cs="Times New Roman"/>
                <w:bCs/>
                <w:sz w:val="21"/>
                <w:szCs w:val="21"/>
                <w:u w:val="none" w:color="auto"/>
                <w:lang w:val="en-US" w:eastAsia="zh-CN"/>
              </w:rPr>
              <w:t>4.5</w:t>
            </w:r>
            <w:r>
              <w:rPr>
                <w:rFonts w:hint="default" w:ascii="Times New Roman" w:hAnsi="Times New Roman" w:cs="Times New Roman"/>
                <w:bCs/>
                <w:sz w:val="21"/>
                <w:szCs w:val="21"/>
                <w:u w:val="none" w:color="auto"/>
              </w:rPr>
              <w:t>m，路基宽</w:t>
            </w:r>
            <w:r>
              <w:rPr>
                <w:rFonts w:hint="eastAsia" w:cs="Times New Roman"/>
                <w:bCs/>
                <w:sz w:val="21"/>
                <w:szCs w:val="21"/>
                <w:u w:val="none" w:color="auto"/>
                <w:lang w:val="en-US" w:eastAsia="zh-CN"/>
              </w:rPr>
              <w:t>6</w:t>
            </w:r>
            <w:r>
              <w:rPr>
                <w:rFonts w:hint="default" w:ascii="Times New Roman" w:hAnsi="Times New Roman" w:cs="Times New Roman"/>
                <w:bCs/>
                <w:sz w:val="21"/>
                <w:szCs w:val="21"/>
                <w:u w:val="none" w:color="auto"/>
              </w:rPr>
              <w:t>m</w:t>
            </w:r>
            <w:r>
              <w:rPr>
                <w:rFonts w:hint="eastAsia" w:ascii="Times New Roman" w:hAnsi="Times New Roman" w:cs="Times New Roman"/>
                <w:bCs/>
                <w:sz w:val="21"/>
                <w:szCs w:val="21"/>
                <w:u w:val="none" w:color="auto"/>
                <w:lang w:eastAsia="zh-CN"/>
              </w:rPr>
              <w:t>，</w:t>
            </w:r>
            <w:r>
              <w:rPr>
                <w:rFonts w:hint="default" w:ascii="Times New Roman" w:hAnsi="Times New Roman" w:cs="Times New Roman"/>
                <w:bCs/>
                <w:sz w:val="21"/>
                <w:szCs w:val="21"/>
                <w:u w:val="none" w:color="auto"/>
              </w:rPr>
              <w:t>根据地形情况设置了排水边沟和挡土墙</w:t>
            </w:r>
            <w:r>
              <w:rPr>
                <w:rFonts w:hint="eastAsia" w:ascii="Times New Roman" w:hAnsi="Times New Roman" w:cs="Times New Roman"/>
                <w:bCs/>
                <w:sz w:val="21"/>
                <w:szCs w:val="21"/>
                <w:u w:val="none" w:color="auto"/>
                <w:lang w:eastAsia="zh-CN"/>
              </w:rPr>
              <w:t>。</w:t>
            </w:r>
          </w:p>
        </w:tc>
        <w:tc>
          <w:tcPr>
            <w:tcW w:w="622" w:type="pc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Merge w:val="continue"/>
            <w:tcBorders>
              <w:tl2br w:val="nil"/>
              <w:tr2bl w:val="nil"/>
            </w:tcBorders>
            <w:noWrap w:val="0"/>
            <w:vAlign w:val="center"/>
          </w:tcPr>
          <w:p>
            <w:pPr>
              <w:jc w:val="left"/>
              <w:rPr>
                <w:rFonts w:hint="default" w:ascii="Times New Roman" w:hAnsi="Times New Roman" w:cs="Times New Roman"/>
                <w:bCs/>
                <w:szCs w:val="21"/>
                <w:u w:val="none" w:color="auto"/>
              </w:rPr>
            </w:pPr>
          </w:p>
        </w:tc>
        <w:tc>
          <w:tcPr>
            <w:tcW w:w="2075" w:type="pc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spacing w:val="7"/>
                <w:sz w:val="21"/>
                <w:szCs w:val="21"/>
                <w:u w:val="none" w:color="auto"/>
              </w:rPr>
            </w:pPr>
            <w:r>
              <w:rPr>
                <w:rFonts w:hint="default" w:ascii="Times New Roman" w:hAnsi="Times New Roman" w:cs="Times New Roman"/>
                <w:spacing w:val="7"/>
                <w:sz w:val="21"/>
                <w:szCs w:val="21"/>
                <w:u w:val="none" w:color="auto"/>
              </w:rPr>
              <w:t>严格按照设计规范施工，禁止强推强挖式放坡施工，防止废弃砂石任意放置和随意滚落，同步实施水土保持和恢复林业生产条件的措施。</w:t>
            </w:r>
          </w:p>
        </w:tc>
        <w:tc>
          <w:tcPr>
            <w:tcW w:w="1536" w:type="pct"/>
            <w:tcBorders>
              <w:tl2br w:val="nil"/>
              <w:tr2bl w:val="nil"/>
            </w:tcBorders>
            <w:noWrap w:val="0"/>
            <w:vAlign w:val="center"/>
          </w:tcPr>
          <w:p>
            <w:pPr>
              <w:pStyle w:val="3655"/>
              <w:widowControl w:val="0"/>
              <w:spacing w:line="240" w:lineRule="auto"/>
              <w:ind w:firstLine="0" w:firstLineChars="0"/>
              <w:jc w:val="center"/>
              <w:rPr>
                <w:rFonts w:hint="eastAsia" w:ascii="Times New Roman" w:hAnsi="Times New Roman" w:eastAsia="宋体" w:cs="Times New Roman"/>
                <w:bCs/>
                <w:sz w:val="21"/>
                <w:szCs w:val="21"/>
                <w:u w:val="none" w:color="auto"/>
                <w:lang w:eastAsia="zh-CN"/>
              </w:rPr>
            </w:pPr>
            <w:r>
              <w:rPr>
                <w:rFonts w:hint="default" w:ascii="Times New Roman" w:hAnsi="Times New Roman" w:cs="Times New Roman"/>
                <w:bCs/>
                <w:sz w:val="21"/>
                <w:szCs w:val="21"/>
                <w:u w:val="none" w:color="auto"/>
              </w:rPr>
              <w:t>采用半挖半填施工，</w:t>
            </w:r>
            <w:r>
              <w:rPr>
                <w:rFonts w:hint="eastAsia" w:ascii="Times New Roman" w:hAnsi="Times New Roman" w:cs="Times New Roman"/>
                <w:bCs/>
                <w:sz w:val="21"/>
                <w:szCs w:val="21"/>
                <w:u w:val="none" w:color="auto"/>
                <w:lang w:eastAsia="zh-CN"/>
              </w:rPr>
              <w:t>土石方挖填平衡</w:t>
            </w:r>
            <w:r>
              <w:rPr>
                <w:rFonts w:hint="default" w:ascii="Times New Roman" w:hAnsi="Times New Roman" w:cs="Times New Roman"/>
                <w:bCs/>
                <w:sz w:val="21"/>
                <w:szCs w:val="21"/>
                <w:u w:val="none" w:color="auto"/>
              </w:rPr>
              <w:t>，同步按照水保方案实施水土保持措施</w:t>
            </w:r>
            <w:r>
              <w:rPr>
                <w:rFonts w:hint="eastAsia" w:ascii="Times New Roman" w:hAnsi="Times New Roman" w:cs="Times New Roman"/>
                <w:bCs/>
                <w:sz w:val="21"/>
                <w:szCs w:val="21"/>
                <w:u w:val="none" w:color="auto"/>
                <w:lang w:eastAsia="zh-CN"/>
              </w:rPr>
              <w:t>。</w:t>
            </w:r>
          </w:p>
        </w:tc>
        <w:tc>
          <w:tcPr>
            <w:tcW w:w="622" w:type="pc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Merge w:val="continue"/>
            <w:tcBorders>
              <w:tl2br w:val="nil"/>
              <w:tr2bl w:val="nil"/>
            </w:tcBorders>
            <w:noWrap w:val="0"/>
            <w:vAlign w:val="center"/>
          </w:tcPr>
          <w:p>
            <w:pPr>
              <w:jc w:val="left"/>
              <w:rPr>
                <w:rFonts w:hint="default" w:ascii="Times New Roman" w:hAnsi="Times New Roman" w:cs="Times New Roman"/>
                <w:bCs/>
                <w:szCs w:val="21"/>
                <w:u w:val="none" w:color="auto"/>
              </w:rPr>
            </w:pPr>
          </w:p>
        </w:tc>
        <w:tc>
          <w:tcPr>
            <w:tcW w:w="2075" w:type="pc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bCs/>
                <w:sz w:val="21"/>
                <w:szCs w:val="21"/>
                <w:u w:val="none" w:color="auto"/>
              </w:rPr>
            </w:pPr>
            <w:r>
              <w:rPr>
                <w:rFonts w:hint="default" w:ascii="Times New Roman" w:hAnsi="Times New Roman" w:cs="Times New Roman"/>
                <w:spacing w:val="7"/>
                <w:sz w:val="21"/>
                <w:szCs w:val="21"/>
                <w:u w:val="none" w:color="auto"/>
              </w:rPr>
              <w:t>吊装平台、施工道路、弃渣场、集电线路等临时占用林地的，应在临时占用林地期满后一年内恢复林业生产条件，并及时恢复植被</w:t>
            </w:r>
          </w:p>
        </w:tc>
        <w:tc>
          <w:tcPr>
            <w:tcW w:w="1536" w:type="pct"/>
            <w:tcBorders>
              <w:tl2br w:val="nil"/>
              <w:tr2bl w:val="nil"/>
            </w:tcBorders>
            <w:noWrap w:val="0"/>
            <w:vAlign w:val="center"/>
          </w:tcPr>
          <w:p>
            <w:pPr>
              <w:pStyle w:val="3655"/>
              <w:widowControl w:val="0"/>
              <w:spacing w:line="240" w:lineRule="auto"/>
              <w:ind w:firstLine="0" w:firstLineChars="0"/>
              <w:jc w:val="center"/>
              <w:rPr>
                <w:rFonts w:hint="eastAsia" w:ascii="Times New Roman" w:hAnsi="Times New Roman" w:eastAsia="宋体" w:cs="Times New Roman"/>
                <w:bCs/>
                <w:sz w:val="21"/>
                <w:szCs w:val="21"/>
                <w:u w:val="none" w:color="auto"/>
                <w:lang w:eastAsia="zh-CN"/>
              </w:rPr>
            </w:pPr>
            <w:r>
              <w:rPr>
                <w:rFonts w:hint="default" w:ascii="Times New Roman" w:hAnsi="Times New Roman" w:cs="Times New Roman"/>
                <w:bCs/>
                <w:sz w:val="21"/>
                <w:szCs w:val="21"/>
                <w:u w:val="none" w:color="auto"/>
              </w:rPr>
              <w:t>临时占地施工完成后期按照水保方案和生态防治措施方案全部恢复植被</w:t>
            </w:r>
            <w:r>
              <w:rPr>
                <w:rFonts w:hint="eastAsia" w:ascii="Times New Roman" w:hAnsi="Times New Roman" w:cs="Times New Roman"/>
                <w:bCs/>
                <w:sz w:val="21"/>
                <w:szCs w:val="21"/>
                <w:u w:val="none" w:color="auto"/>
                <w:lang w:eastAsia="zh-CN"/>
              </w:rPr>
              <w:t>。</w:t>
            </w:r>
          </w:p>
        </w:tc>
        <w:tc>
          <w:tcPr>
            <w:tcW w:w="622" w:type="pct"/>
            <w:tcBorders>
              <w:tl2br w:val="nil"/>
              <w:tr2bl w:val="nil"/>
            </w:tcBorders>
            <w:noWrap w:val="0"/>
            <w:vAlign w:val="center"/>
          </w:tcPr>
          <w:p>
            <w:pPr>
              <w:pStyle w:val="3655"/>
              <w:widowControl w:val="0"/>
              <w:spacing w:line="240" w:lineRule="auto"/>
              <w:ind w:firstLine="0" w:firstLineChars="0"/>
              <w:jc w:val="center"/>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符合</w:t>
            </w:r>
          </w:p>
        </w:tc>
      </w:tr>
    </w:tbl>
    <w:p>
      <w:pPr>
        <w:bidi w:val="0"/>
        <w:rPr>
          <w:rFonts w:hint="default" w:ascii="Times New Roman" w:hAnsi="Times New Roman" w:cs="Times New Roman"/>
          <w:bCs/>
          <w:u w:val="none" w:color="auto"/>
        </w:rPr>
      </w:pPr>
      <w:r>
        <w:rPr>
          <w:rFonts w:hint="default" w:ascii="Times New Roman" w:hAnsi="Times New Roman" w:cs="Times New Roman"/>
          <w:bCs/>
          <w:u w:val="none" w:color="auto"/>
        </w:rPr>
        <w:t>根据上述分析，变更后，本项目符合风电场建设使用林地禁建区域、风电场建设使用林地限制范围及风电场道路</w:t>
      </w:r>
      <w:r>
        <w:rPr>
          <w:rFonts w:hint="default"/>
        </w:rPr>
        <w:t>建设</w:t>
      </w:r>
      <w:r>
        <w:rPr>
          <w:rFonts w:hint="default" w:ascii="Times New Roman" w:hAnsi="Times New Roman" w:cs="Times New Roman"/>
          <w:bCs/>
          <w:u w:val="none" w:color="auto"/>
        </w:rPr>
        <w:t>和临时用地管理要求，因而符合《关于规范风电场项目建设使用林地的通知》建设要求。</w:t>
      </w:r>
    </w:p>
    <w:p>
      <w:pPr>
        <w:pStyle w:val="3655"/>
        <w:keepNext w:val="0"/>
        <w:keepLines w:val="0"/>
        <w:pageBreakBefore w:val="0"/>
        <w:widowControl w:val="0"/>
        <w:kinsoku/>
        <w:wordWrap/>
        <w:overflowPunct/>
        <w:topLinePunct w:val="0"/>
        <w:autoSpaceDE/>
        <w:autoSpaceDN/>
        <w:bidi w:val="0"/>
        <w:adjustRightInd/>
        <w:snapToGrid/>
        <w:ind w:firstLine="482"/>
        <w:textAlignment w:val="auto"/>
        <w:rPr>
          <w:rFonts w:hint="default" w:ascii="Times New Roman" w:hAnsi="Times New Roman" w:cs="Times New Roman"/>
          <w:b/>
          <w:bCs/>
          <w:u w:val="none" w:color="auto"/>
        </w:rPr>
      </w:pPr>
      <w:r>
        <w:rPr>
          <w:rFonts w:hint="default" w:ascii="Times New Roman" w:hAnsi="Times New Roman" w:cs="Times New Roman"/>
          <w:b/>
          <w:bCs/>
          <w:u w:val="none" w:color="auto"/>
          <w:lang w:val="en-US" w:eastAsia="zh-CN"/>
        </w:rPr>
        <w:t>（2）</w:t>
      </w:r>
      <w:r>
        <w:rPr>
          <w:rFonts w:hint="default" w:ascii="Times New Roman" w:hAnsi="Times New Roman" w:cs="Times New Roman"/>
          <w:b/>
          <w:bCs/>
          <w:u w:val="none" w:color="auto"/>
        </w:rPr>
        <w:t>与《关于进一步规范风电发展的通知》符合性分析</w:t>
      </w:r>
    </w:p>
    <w:p>
      <w:pPr>
        <w:bidi w:val="0"/>
        <w:rPr>
          <w:rFonts w:hint="default" w:ascii="Times New Roman" w:hAnsi="Times New Roman" w:cs="Times New Roman"/>
          <w:bCs/>
          <w:u w:val="none" w:color="auto"/>
        </w:rPr>
      </w:pPr>
      <w:r>
        <w:rPr>
          <w:rFonts w:hint="default" w:ascii="Times New Roman" w:hAnsi="Times New Roman" w:cs="Times New Roman"/>
          <w:bCs/>
          <w:u w:val="none" w:color="auto"/>
        </w:rPr>
        <w:t>根据湖南省发展和改革委员会、原湖南省环境保护厅等部门联合发布的《关于进一步规范风电发展的通知》(</w:t>
      </w:r>
      <w:r>
        <w:rPr>
          <w:rFonts w:hint="default" w:ascii="Times New Roman" w:hAnsi="Times New Roman" w:cs="Times New Roman"/>
          <w:szCs w:val="24"/>
          <w:u w:val="none" w:color="auto"/>
        </w:rPr>
        <w:t>湘发改能源（2016）822号</w:t>
      </w:r>
      <w:r>
        <w:rPr>
          <w:rFonts w:hint="default" w:ascii="Times New Roman" w:hAnsi="Times New Roman" w:cs="Times New Roman"/>
          <w:bCs/>
          <w:u w:val="none" w:color="auto"/>
        </w:rPr>
        <w:t>)中相关内容，</w:t>
      </w:r>
      <w:r>
        <w:rPr>
          <w:rFonts w:hint="eastAsia" w:ascii="Times New Roman" w:hAnsi="Times New Roman" w:cs="Times New Roman"/>
          <w:bCs/>
          <w:u w:val="none" w:color="auto"/>
          <w:lang w:eastAsia="zh-CN"/>
        </w:rPr>
        <w:t>文件</w:t>
      </w:r>
      <w:r>
        <w:rPr>
          <w:rFonts w:hint="default" w:ascii="Times New Roman" w:hAnsi="Times New Roman" w:cs="Times New Roman"/>
          <w:bCs/>
          <w:u w:val="none" w:color="auto"/>
        </w:rPr>
        <w:t>对风电项目建设提出环境保护要求相关建设要求。本项目与该规范相关建设要求符合性分析，详见下表</w:t>
      </w:r>
      <w:r>
        <w:rPr>
          <w:rFonts w:hint="eastAsia" w:ascii="Times New Roman" w:hAnsi="Times New Roman" w:cs="Times New Roman"/>
          <w:bCs/>
          <w:u w:val="none" w:color="auto"/>
          <w:lang w:val="en-US" w:eastAsia="zh-CN"/>
        </w:rPr>
        <w:t>4-2</w:t>
      </w:r>
      <w:r>
        <w:rPr>
          <w:rFonts w:hint="default" w:ascii="Times New Roman" w:hAnsi="Times New Roman" w:cs="Times New Roman"/>
          <w:bCs/>
          <w:u w:val="none" w:color="auto"/>
        </w:rPr>
        <w:t>所示。</w:t>
      </w:r>
    </w:p>
    <w:p>
      <w:pPr>
        <w:pStyle w:val="3588"/>
        <w:bidi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与湘发改能源〔2016〕822号文符合性分析一览表</w:t>
      </w:r>
    </w:p>
    <w:tbl>
      <w:tblPr>
        <w:tblStyle w:val="89"/>
        <w:tblW w:w="895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75"/>
        <w:gridCol w:w="1904"/>
        <w:gridCol w:w="1472"/>
        <w:gridCol w:w="2173"/>
        <w:gridCol w:w="1701"/>
        <w:gridCol w:w="9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77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管理要求</w:t>
            </w:r>
          </w:p>
        </w:tc>
        <w:tc>
          <w:tcPr>
            <w:tcW w:w="3376"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类别</w:t>
            </w:r>
          </w:p>
        </w:tc>
        <w:tc>
          <w:tcPr>
            <w:tcW w:w="217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相对位置关系</w:t>
            </w:r>
            <w:r>
              <w:rPr>
                <w:rFonts w:hint="eastAsia"/>
                <w:b w:val="0"/>
                <w:bCs w:val="0"/>
                <w:color w:val="000000"/>
                <w:sz w:val="21"/>
                <w:szCs w:val="21"/>
                <w:u w:val="none" w:color="auto"/>
                <w:vertAlign w:val="baseline"/>
                <w:lang w:val="en-US" w:eastAsia="zh-CN"/>
              </w:rPr>
              <w:t>/备注</w:t>
            </w:r>
          </w:p>
        </w:tc>
        <w:tc>
          <w:tcPr>
            <w:tcW w:w="170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确认依据</w:t>
            </w:r>
          </w:p>
        </w:tc>
        <w:tc>
          <w:tcPr>
            <w:tcW w:w="93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775"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禁止建设区域</w:t>
            </w:r>
          </w:p>
        </w:tc>
        <w:tc>
          <w:tcPr>
            <w:tcW w:w="190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世界文化与自然遗产地</w:t>
            </w:r>
          </w:p>
        </w:tc>
        <w:tc>
          <w:tcPr>
            <w:tcW w:w="147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无</w:t>
            </w:r>
          </w:p>
        </w:tc>
        <w:tc>
          <w:tcPr>
            <w:tcW w:w="217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val="en-US" w:eastAsia="zh-CN"/>
              </w:rPr>
            </w:pPr>
            <w:r>
              <w:rPr>
                <w:rFonts w:hint="eastAsia"/>
                <w:b w:val="0"/>
                <w:bCs w:val="0"/>
                <w:color w:val="000000"/>
                <w:sz w:val="21"/>
                <w:szCs w:val="21"/>
                <w:u w:val="none" w:color="auto"/>
                <w:vertAlign w:val="baseline"/>
                <w:lang w:val="en-US" w:eastAsia="zh-CN"/>
              </w:rPr>
              <w:t>/</w:t>
            </w:r>
          </w:p>
        </w:tc>
        <w:tc>
          <w:tcPr>
            <w:tcW w:w="1701"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蓝山县林</w:t>
            </w:r>
            <w:r>
              <w:rPr>
                <w:rFonts w:hint="eastAsia"/>
                <w:b w:val="0"/>
                <w:bCs w:val="0"/>
                <w:color w:val="000000"/>
                <w:sz w:val="21"/>
                <w:szCs w:val="21"/>
                <w:highlight w:val="none"/>
                <w:u w:val="none" w:color="auto"/>
                <w:vertAlign w:val="baseline"/>
                <w:lang w:eastAsia="zh-CN"/>
              </w:rPr>
              <w:t>业局文件（附件</w:t>
            </w:r>
            <w:r>
              <w:rPr>
                <w:rFonts w:hint="eastAsia"/>
                <w:b w:val="0"/>
                <w:bCs w:val="0"/>
                <w:color w:val="000000"/>
                <w:sz w:val="21"/>
                <w:szCs w:val="21"/>
                <w:highlight w:val="none"/>
                <w:u w:val="none" w:color="auto"/>
                <w:vertAlign w:val="baseline"/>
                <w:lang w:val="en-US" w:eastAsia="zh-CN"/>
              </w:rPr>
              <w:t>3</w:t>
            </w:r>
            <w:r>
              <w:rPr>
                <w:rFonts w:hint="eastAsia"/>
                <w:b w:val="0"/>
                <w:bCs w:val="0"/>
                <w:color w:val="000000"/>
                <w:sz w:val="21"/>
                <w:szCs w:val="21"/>
                <w:highlight w:val="none"/>
                <w:u w:val="none" w:color="auto"/>
                <w:vertAlign w:val="baseline"/>
                <w:lang w:eastAsia="zh-CN"/>
              </w:rPr>
              <w:t>）</w:t>
            </w:r>
          </w:p>
        </w:tc>
        <w:tc>
          <w:tcPr>
            <w:tcW w:w="931"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775"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c>
          <w:tcPr>
            <w:tcW w:w="190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省级以上（含省级）自然保护区</w:t>
            </w:r>
          </w:p>
        </w:tc>
        <w:tc>
          <w:tcPr>
            <w:tcW w:w="147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无</w:t>
            </w:r>
          </w:p>
        </w:tc>
        <w:tc>
          <w:tcPr>
            <w:tcW w:w="217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val="en-US" w:eastAsia="zh-CN"/>
              </w:rPr>
            </w:pPr>
            <w:r>
              <w:rPr>
                <w:rFonts w:hint="eastAsia"/>
                <w:b w:val="0"/>
                <w:bCs w:val="0"/>
                <w:color w:val="000000"/>
                <w:sz w:val="21"/>
                <w:szCs w:val="21"/>
                <w:u w:val="none" w:color="auto"/>
                <w:vertAlign w:val="baseline"/>
                <w:lang w:val="en-US" w:eastAsia="zh-CN"/>
              </w:rPr>
              <w:t>/</w:t>
            </w:r>
          </w:p>
        </w:tc>
        <w:tc>
          <w:tcPr>
            <w:tcW w:w="170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c>
          <w:tcPr>
            <w:tcW w:w="93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775"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c>
          <w:tcPr>
            <w:tcW w:w="190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省级以上（含省级）风景名胜区</w:t>
            </w:r>
          </w:p>
        </w:tc>
        <w:tc>
          <w:tcPr>
            <w:tcW w:w="147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无</w:t>
            </w:r>
          </w:p>
        </w:tc>
        <w:tc>
          <w:tcPr>
            <w:tcW w:w="217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val="en-US" w:eastAsia="zh-CN"/>
              </w:rPr>
              <w:t>/</w:t>
            </w:r>
          </w:p>
        </w:tc>
        <w:tc>
          <w:tcPr>
            <w:tcW w:w="170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c>
          <w:tcPr>
            <w:tcW w:w="93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775"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c>
          <w:tcPr>
            <w:tcW w:w="190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省级以上（含省级）森林公园</w:t>
            </w:r>
          </w:p>
        </w:tc>
        <w:tc>
          <w:tcPr>
            <w:tcW w:w="147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无</w:t>
            </w:r>
          </w:p>
        </w:tc>
        <w:tc>
          <w:tcPr>
            <w:tcW w:w="217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val="en-US" w:eastAsia="zh-CN"/>
              </w:rPr>
              <w:t>/</w:t>
            </w:r>
          </w:p>
        </w:tc>
        <w:tc>
          <w:tcPr>
            <w:tcW w:w="170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c>
          <w:tcPr>
            <w:tcW w:w="93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775"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c>
          <w:tcPr>
            <w:tcW w:w="190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kern w:val="2"/>
                <w:sz w:val="21"/>
                <w:szCs w:val="21"/>
                <w:u w:val="none" w:color="auto"/>
                <w:vertAlign w:val="baseline"/>
                <w:lang w:val="en-US" w:eastAsia="zh-CN" w:bidi="ar-SA"/>
              </w:rPr>
            </w:pPr>
            <w:r>
              <w:rPr>
                <w:rFonts w:hint="eastAsia"/>
                <w:b w:val="0"/>
                <w:bCs w:val="0"/>
                <w:color w:val="000000"/>
                <w:sz w:val="21"/>
                <w:szCs w:val="21"/>
                <w:u w:val="none" w:color="auto"/>
                <w:vertAlign w:val="baseline"/>
                <w:lang w:eastAsia="zh-CN"/>
              </w:rPr>
              <w:t>Ⅰ级保护林地</w:t>
            </w:r>
          </w:p>
        </w:tc>
        <w:tc>
          <w:tcPr>
            <w:tcW w:w="147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kern w:val="2"/>
                <w:sz w:val="21"/>
                <w:szCs w:val="21"/>
                <w:u w:val="none" w:color="auto"/>
                <w:vertAlign w:val="baseline"/>
                <w:lang w:val="en-US" w:eastAsia="zh-CN" w:bidi="ar-SA"/>
              </w:rPr>
            </w:pPr>
            <w:r>
              <w:rPr>
                <w:rFonts w:hint="eastAsia"/>
                <w:b w:val="0"/>
                <w:bCs w:val="0"/>
                <w:color w:val="000000"/>
                <w:sz w:val="21"/>
                <w:szCs w:val="21"/>
                <w:u w:val="none" w:color="auto"/>
                <w:vertAlign w:val="baseline"/>
                <w:lang w:eastAsia="zh-CN"/>
              </w:rPr>
              <w:t>无</w:t>
            </w:r>
          </w:p>
        </w:tc>
        <w:tc>
          <w:tcPr>
            <w:tcW w:w="217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kern w:val="2"/>
                <w:sz w:val="21"/>
                <w:szCs w:val="21"/>
                <w:u w:val="none" w:color="auto"/>
                <w:vertAlign w:val="baseline"/>
                <w:lang w:val="en-US" w:eastAsia="zh-CN" w:bidi="ar-SA"/>
              </w:rPr>
            </w:pPr>
            <w:r>
              <w:rPr>
                <w:rFonts w:hint="eastAsia"/>
                <w:b w:val="0"/>
                <w:bCs w:val="0"/>
                <w:color w:val="000000"/>
                <w:sz w:val="21"/>
                <w:szCs w:val="21"/>
                <w:u w:val="none" w:color="auto"/>
                <w:vertAlign w:val="baseline"/>
                <w:lang w:val="en-US" w:eastAsia="zh-CN"/>
              </w:rPr>
              <w:t>/</w:t>
            </w:r>
          </w:p>
        </w:tc>
        <w:tc>
          <w:tcPr>
            <w:tcW w:w="170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c>
          <w:tcPr>
            <w:tcW w:w="93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75"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c>
          <w:tcPr>
            <w:tcW w:w="190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kern w:val="2"/>
                <w:sz w:val="21"/>
                <w:szCs w:val="21"/>
                <w:u w:val="none" w:color="auto"/>
                <w:vertAlign w:val="baseline"/>
                <w:lang w:val="en-US" w:eastAsia="zh-CN" w:bidi="ar-SA"/>
              </w:rPr>
            </w:pPr>
            <w:r>
              <w:rPr>
                <w:rFonts w:hint="eastAsia"/>
                <w:b w:val="0"/>
                <w:bCs w:val="0"/>
                <w:color w:val="000000"/>
                <w:sz w:val="21"/>
                <w:szCs w:val="21"/>
                <w:u w:val="none" w:color="auto"/>
                <w:vertAlign w:val="baseline"/>
                <w:lang w:eastAsia="zh-CN"/>
              </w:rPr>
              <w:t>一级国家公益林地</w:t>
            </w:r>
          </w:p>
        </w:tc>
        <w:tc>
          <w:tcPr>
            <w:tcW w:w="147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kern w:val="2"/>
                <w:sz w:val="21"/>
                <w:szCs w:val="21"/>
                <w:u w:val="none" w:color="auto"/>
                <w:vertAlign w:val="baseline"/>
                <w:lang w:val="en-US" w:eastAsia="zh-CN" w:bidi="ar-SA"/>
              </w:rPr>
            </w:pPr>
            <w:r>
              <w:rPr>
                <w:rFonts w:hint="eastAsia"/>
                <w:b w:val="0"/>
                <w:bCs w:val="0"/>
                <w:color w:val="000000"/>
                <w:sz w:val="21"/>
                <w:szCs w:val="21"/>
                <w:u w:val="none" w:color="auto"/>
                <w:vertAlign w:val="baseline"/>
                <w:lang w:eastAsia="zh-CN"/>
              </w:rPr>
              <w:t>无</w:t>
            </w:r>
          </w:p>
        </w:tc>
        <w:tc>
          <w:tcPr>
            <w:tcW w:w="217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kern w:val="2"/>
                <w:sz w:val="21"/>
                <w:szCs w:val="21"/>
                <w:u w:val="none" w:color="auto"/>
                <w:vertAlign w:val="baseline"/>
                <w:lang w:val="en-US" w:eastAsia="zh-CN" w:bidi="ar-SA"/>
              </w:rPr>
            </w:pPr>
            <w:r>
              <w:rPr>
                <w:rFonts w:hint="eastAsia"/>
                <w:b w:val="0"/>
                <w:bCs w:val="0"/>
                <w:color w:val="000000"/>
                <w:sz w:val="21"/>
                <w:szCs w:val="21"/>
                <w:u w:val="none" w:color="auto"/>
                <w:vertAlign w:val="baseline"/>
                <w:lang w:val="en-US" w:eastAsia="zh-CN"/>
              </w:rPr>
              <w:t>/</w:t>
            </w:r>
          </w:p>
        </w:tc>
        <w:tc>
          <w:tcPr>
            <w:tcW w:w="170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c>
          <w:tcPr>
            <w:tcW w:w="93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5"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c>
          <w:tcPr>
            <w:tcW w:w="190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kern w:val="2"/>
                <w:sz w:val="21"/>
                <w:szCs w:val="21"/>
                <w:u w:val="none" w:color="auto"/>
                <w:vertAlign w:val="baseline"/>
                <w:lang w:val="en-US" w:eastAsia="zh-CN" w:bidi="ar-SA"/>
              </w:rPr>
            </w:pPr>
            <w:r>
              <w:rPr>
                <w:rFonts w:hint="eastAsia"/>
                <w:b w:val="0"/>
                <w:bCs w:val="0"/>
                <w:color w:val="000000"/>
                <w:sz w:val="21"/>
                <w:szCs w:val="21"/>
                <w:u w:val="none" w:color="auto"/>
                <w:vertAlign w:val="baseline"/>
                <w:lang w:eastAsia="zh-CN"/>
              </w:rPr>
              <w:t>生态保护红线管控区</w:t>
            </w:r>
          </w:p>
        </w:tc>
        <w:tc>
          <w:tcPr>
            <w:tcW w:w="147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kern w:val="2"/>
                <w:sz w:val="21"/>
                <w:szCs w:val="21"/>
                <w:u w:val="none" w:color="auto"/>
                <w:vertAlign w:val="baseline"/>
                <w:lang w:val="en-US" w:eastAsia="zh-CN" w:bidi="ar-SA"/>
              </w:rPr>
            </w:pPr>
            <w:r>
              <w:rPr>
                <w:rFonts w:hint="eastAsia"/>
                <w:b w:val="0"/>
                <w:bCs w:val="0"/>
                <w:color w:val="000000"/>
                <w:sz w:val="21"/>
                <w:szCs w:val="21"/>
                <w:u w:val="none" w:color="auto"/>
                <w:vertAlign w:val="baseline"/>
                <w:lang w:eastAsia="zh-CN"/>
              </w:rPr>
              <w:t>不涉及</w:t>
            </w:r>
          </w:p>
        </w:tc>
        <w:tc>
          <w:tcPr>
            <w:tcW w:w="217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kern w:val="2"/>
                <w:sz w:val="21"/>
                <w:szCs w:val="21"/>
                <w:u w:val="none" w:color="auto"/>
                <w:vertAlign w:val="baseline"/>
                <w:lang w:val="en-US" w:eastAsia="zh-CN" w:bidi="ar-SA"/>
              </w:rPr>
            </w:pPr>
            <w:r>
              <w:rPr>
                <w:rFonts w:hint="eastAsia"/>
                <w:b w:val="0"/>
                <w:bCs w:val="0"/>
                <w:color w:val="000000"/>
                <w:sz w:val="21"/>
                <w:szCs w:val="21"/>
                <w:u w:val="none" w:color="auto"/>
                <w:vertAlign w:val="baseline"/>
                <w:lang w:val="en-US" w:eastAsia="zh-CN"/>
              </w:rPr>
              <w:t>/</w:t>
            </w:r>
          </w:p>
        </w:tc>
        <w:tc>
          <w:tcPr>
            <w:tcW w:w="170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Cs/>
                <w:sz w:val="21"/>
                <w:szCs w:val="21"/>
                <w:lang w:val="en-US" w:eastAsia="zh-CN"/>
              </w:rPr>
              <w:t>蓝山</w:t>
            </w:r>
            <w:r>
              <w:rPr>
                <w:rFonts w:hint="eastAsia"/>
                <w:bCs/>
                <w:sz w:val="21"/>
                <w:szCs w:val="21"/>
              </w:rPr>
              <w:t>县三区三线套合图</w:t>
            </w:r>
          </w:p>
        </w:tc>
        <w:tc>
          <w:tcPr>
            <w:tcW w:w="93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775"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严格控制区域</w:t>
            </w:r>
          </w:p>
        </w:tc>
        <w:tc>
          <w:tcPr>
            <w:tcW w:w="190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湿地公园</w:t>
            </w:r>
          </w:p>
        </w:tc>
        <w:tc>
          <w:tcPr>
            <w:tcW w:w="1472"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不涉及</w:t>
            </w:r>
          </w:p>
        </w:tc>
        <w:tc>
          <w:tcPr>
            <w:tcW w:w="217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val="en-US" w:eastAsia="zh-CN"/>
              </w:rPr>
              <w:t>/</w:t>
            </w:r>
          </w:p>
        </w:tc>
        <w:tc>
          <w:tcPr>
            <w:tcW w:w="1701"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《湖南省主体功能区规划》</w:t>
            </w:r>
          </w:p>
        </w:tc>
        <w:tc>
          <w:tcPr>
            <w:tcW w:w="931"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775"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c>
          <w:tcPr>
            <w:tcW w:w="190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地质公园</w:t>
            </w:r>
          </w:p>
        </w:tc>
        <w:tc>
          <w:tcPr>
            <w:tcW w:w="147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无</w:t>
            </w:r>
          </w:p>
        </w:tc>
        <w:tc>
          <w:tcPr>
            <w:tcW w:w="217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val="en-US" w:eastAsia="zh-CN"/>
              </w:rPr>
              <w:t>/</w:t>
            </w:r>
          </w:p>
        </w:tc>
        <w:tc>
          <w:tcPr>
            <w:tcW w:w="170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c>
          <w:tcPr>
            <w:tcW w:w="93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775"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c>
          <w:tcPr>
            <w:tcW w:w="190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旅游景区</w:t>
            </w:r>
          </w:p>
        </w:tc>
        <w:tc>
          <w:tcPr>
            <w:tcW w:w="147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无</w:t>
            </w:r>
          </w:p>
        </w:tc>
        <w:tc>
          <w:tcPr>
            <w:tcW w:w="217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val="en-US" w:eastAsia="zh-CN"/>
              </w:rPr>
              <w:t>/</w:t>
            </w:r>
          </w:p>
        </w:tc>
        <w:tc>
          <w:tcPr>
            <w:tcW w:w="170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c>
          <w:tcPr>
            <w:tcW w:w="93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775"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c>
          <w:tcPr>
            <w:tcW w:w="190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鸟类主要迁徙通道</w:t>
            </w:r>
          </w:p>
        </w:tc>
        <w:tc>
          <w:tcPr>
            <w:tcW w:w="147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无</w:t>
            </w:r>
          </w:p>
        </w:tc>
        <w:tc>
          <w:tcPr>
            <w:tcW w:w="217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eastAsia="宋体"/>
                <w:b w:val="0"/>
                <w:bCs w:val="0"/>
                <w:color w:val="000000"/>
                <w:sz w:val="21"/>
                <w:szCs w:val="21"/>
                <w:u w:val="none" w:color="auto"/>
                <w:vertAlign w:val="baseline"/>
                <w:lang w:eastAsia="zh-CN"/>
              </w:rPr>
            </w:pPr>
            <w:r>
              <w:rPr>
                <w:rFonts w:hint="eastAsia" w:cs="Times New Roman"/>
                <w:bCs/>
                <w:sz w:val="21"/>
                <w:szCs w:val="21"/>
                <w:u w:val="none" w:color="auto"/>
                <w:lang w:val="en-US" w:eastAsia="zh-CN"/>
              </w:rPr>
              <w:t>/</w:t>
            </w:r>
          </w:p>
        </w:tc>
        <w:tc>
          <w:tcPr>
            <w:tcW w:w="1701"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highlight w:val="yellow"/>
                <w:u w:val="none" w:color="auto"/>
                <w:vertAlign w:val="baseline"/>
                <w:lang w:eastAsia="zh-CN"/>
              </w:rPr>
            </w:pPr>
            <w:r>
              <w:rPr>
                <w:rFonts w:hint="eastAsia"/>
                <w:b w:val="0"/>
                <w:bCs w:val="0"/>
                <w:color w:val="000000"/>
                <w:sz w:val="21"/>
                <w:szCs w:val="21"/>
                <w:highlight w:val="none"/>
                <w:u w:val="none" w:color="auto"/>
                <w:vertAlign w:val="baseline"/>
                <w:lang w:eastAsia="zh-CN"/>
              </w:rPr>
              <w:t>蓝山县林业局文件（附件</w:t>
            </w:r>
            <w:r>
              <w:rPr>
                <w:rFonts w:hint="eastAsia"/>
                <w:b w:val="0"/>
                <w:bCs w:val="0"/>
                <w:color w:val="000000"/>
                <w:sz w:val="21"/>
                <w:szCs w:val="21"/>
                <w:highlight w:val="none"/>
                <w:u w:val="none" w:color="auto"/>
                <w:vertAlign w:val="baseline"/>
                <w:lang w:val="en-US" w:eastAsia="zh-CN"/>
              </w:rPr>
              <w:t>8</w:t>
            </w:r>
            <w:r>
              <w:rPr>
                <w:rFonts w:hint="eastAsia"/>
                <w:b w:val="0"/>
                <w:bCs w:val="0"/>
                <w:color w:val="000000"/>
                <w:sz w:val="21"/>
                <w:szCs w:val="21"/>
                <w:highlight w:val="none"/>
                <w:u w:val="none" w:color="auto"/>
                <w:vertAlign w:val="baseline"/>
                <w:lang w:eastAsia="zh-CN"/>
              </w:rPr>
              <w:t>）</w:t>
            </w:r>
          </w:p>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b w:val="0"/>
                <w:bCs w:val="0"/>
                <w:color w:val="000000"/>
                <w:sz w:val="21"/>
                <w:szCs w:val="21"/>
                <w:u w:val="none" w:color="auto"/>
                <w:vertAlign w:val="baseline"/>
                <w:lang w:val="en-US" w:eastAsia="zh-CN"/>
              </w:rPr>
            </w:pPr>
            <w:r>
              <w:rPr>
                <w:rFonts w:hint="eastAsia"/>
                <w:b w:val="0"/>
                <w:bCs w:val="0"/>
                <w:color w:val="000000"/>
                <w:sz w:val="21"/>
                <w:szCs w:val="21"/>
                <w:u w:val="none" w:color="auto"/>
                <w:vertAlign w:val="baseline"/>
                <w:lang w:val="en-US" w:eastAsia="zh-CN"/>
              </w:rPr>
              <w:t>/</w:t>
            </w:r>
          </w:p>
        </w:tc>
        <w:tc>
          <w:tcPr>
            <w:tcW w:w="93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775"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c>
          <w:tcPr>
            <w:tcW w:w="190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天然林和单位面积蓄积量高的林地</w:t>
            </w:r>
          </w:p>
        </w:tc>
        <w:tc>
          <w:tcPr>
            <w:tcW w:w="147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不涉及</w:t>
            </w:r>
          </w:p>
        </w:tc>
        <w:tc>
          <w:tcPr>
            <w:tcW w:w="217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eastAsia="宋体"/>
                <w:b w:val="0"/>
                <w:bCs w:val="0"/>
                <w:color w:val="auto"/>
                <w:sz w:val="21"/>
                <w:szCs w:val="21"/>
                <w:u w:val="none" w:color="auto"/>
                <w:vertAlign w:val="baseline"/>
                <w:lang w:val="en-US" w:eastAsia="zh-CN"/>
              </w:rPr>
            </w:pPr>
            <w:r>
              <w:rPr>
                <w:rFonts w:hint="eastAsia" w:cs="Times New Roman"/>
                <w:sz w:val="21"/>
                <w:szCs w:val="21"/>
                <w:u w:val="none" w:color="auto"/>
                <w:lang w:val="en-US" w:eastAsia="zh-CN"/>
              </w:rPr>
              <w:t>/</w:t>
            </w:r>
          </w:p>
        </w:tc>
        <w:tc>
          <w:tcPr>
            <w:tcW w:w="170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b w:val="0"/>
                <w:bCs w:val="0"/>
                <w:color w:val="000000"/>
                <w:sz w:val="21"/>
                <w:szCs w:val="21"/>
                <w:u w:val="none" w:color="auto"/>
                <w:vertAlign w:val="baseline"/>
                <w:lang w:val="en-US" w:eastAsia="zh-CN"/>
              </w:rPr>
            </w:pPr>
          </w:p>
        </w:tc>
        <w:tc>
          <w:tcPr>
            <w:tcW w:w="93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775"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c>
          <w:tcPr>
            <w:tcW w:w="190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基岩风化严重地区</w:t>
            </w:r>
          </w:p>
        </w:tc>
        <w:tc>
          <w:tcPr>
            <w:tcW w:w="147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val="en-US" w:eastAsia="zh-CN"/>
              </w:rPr>
            </w:pPr>
            <w:r>
              <w:rPr>
                <w:rFonts w:hint="eastAsia"/>
                <w:b w:val="0"/>
                <w:bCs w:val="0"/>
                <w:color w:val="000000"/>
                <w:sz w:val="21"/>
                <w:szCs w:val="21"/>
                <w:u w:val="none" w:color="auto"/>
                <w:vertAlign w:val="baseline"/>
                <w:lang w:val="en-US" w:eastAsia="zh-CN"/>
              </w:rPr>
              <w:t>/</w:t>
            </w:r>
          </w:p>
        </w:tc>
        <w:tc>
          <w:tcPr>
            <w:tcW w:w="217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地貌主要为石英砂岩，地质条件稳定。</w:t>
            </w:r>
          </w:p>
        </w:tc>
        <w:tc>
          <w:tcPr>
            <w:tcW w:w="170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地质灾害危险性评估专题</w:t>
            </w:r>
            <w:r>
              <w:rPr>
                <w:rFonts w:hint="eastAsia"/>
                <w:b w:val="0"/>
                <w:bCs w:val="0"/>
                <w:color w:val="000000"/>
                <w:sz w:val="21"/>
                <w:szCs w:val="21"/>
                <w:u w:val="none" w:color="auto"/>
                <w:vertAlign w:val="baseline"/>
                <w:lang w:val="en-US" w:eastAsia="zh-CN"/>
              </w:rPr>
              <w:t>报告</w:t>
            </w:r>
          </w:p>
        </w:tc>
        <w:tc>
          <w:tcPr>
            <w:tcW w:w="93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75"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p>
        </w:tc>
        <w:tc>
          <w:tcPr>
            <w:tcW w:w="190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生态脆弱、毁损后难以恢复的区域</w:t>
            </w:r>
          </w:p>
        </w:tc>
        <w:tc>
          <w:tcPr>
            <w:tcW w:w="147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val="en-US" w:eastAsia="zh-CN"/>
              </w:rPr>
            </w:pPr>
            <w:r>
              <w:rPr>
                <w:rFonts w:hint="eastAsia"/>
                <w:b w:val="0"/>
                <w:bCs w:val="0"/>
                <w:color w:val="000000"/>
                <w:sz w:val="21"/>
                <w:szCs w:val="21"/>
                <w:u w:val="none" w:color="auto"/>
                <w:vertAlign w:val="baseline"/>
                <w:lang w:val="en-US" w:eastAsia="zh-CN"/>
              </w:rPr>
              <w:t>/</w:t>
            </w:r>
          </w:p>
        </w:tc>
        <w:tc>
          <w:tcPr>
            <w:tcW w:w="217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本项目位于轻度脆弱区，所在区域生态系统抵抗力稳定性较强，项目所在区域植被易恢复</w:t>
            </w:r>
          </w:p>
        </w:tc>
        <w:tc>
          <w:tcPr>
            <w:tcW w:w="170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eastAsia="zh-CN"/>
              </w:rPr>
            </w:pPr>
            <w:r>
              <w:rPr>
                <w:rFonts w:hint="eastAsia"/>
                <w:b w:val="0"/>
                <w:bCs w:val="0"/>
                <w:color w:val="000000"/>
                <w:sz w:val="21"/>
                <w:szCs w:val="21"/>
                <w:u w:val="none" w:color="auto"/>
                <w:vertAlign w:val="baseline"/>
                <w:lang w:eastAsia="zh-CN"/>
              </w:rPr>
              <w:t>湖南省生态脆弱性总体评价图</w:t>
            </w:r>
          </w:p>
        </w:tc>
        <w:tc>
          <w:tcPr>
            <w:tcW w:w="93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b w:val="0"/>
                <w:bCs w:val="0"/>
                <w:color w:val="000000"/>
                <w:sz w:val="21"/>
                <w:szCs w:val="21"/>
                <w:u w:val="none" w:color="auto"/>
                <w:vertAlign w:val="baseline"/>
                <w:lang w:val="en-US" w:eastAsia="zh-CN"/>
              </w:rPr>
            </w:pPr>
          </w:p>
        </w:tc>
      </w:tr>
    </w:tbl>
    <w:p>
      <w:pPr>
        <w:pStyle w:val="3655"/>
        <w:keepNext w:val="0"/>
        <w:keepLines w:val="0"/>
        <w:pageBreakBefore w:val="0"/>
        <w:widowControl w:val="0"/>
        <w:kinsoku/>
        <w:wordWrap/>
        <w:overflowPunct/>
        <w:topLinePunct w:val="0"/>
        <w:autoSpaceDE/>
        <w:autoSpaceDN/>
        <w:bidi w:val="0"/>
        <w:adjustRightInd/>
        <w:snapToGrid/>
        <w:ind w:firstLine="482"/>
        <w:textAlignment w:val="auto"/>
        <w:rPr>
          <w:rFonts w:hint="default" w:ascii="Times New Roman" w:hAnsi="Times New Roman" w:cs="Times New Roman"/>
          <w:b/>
          <w:bCs/>
          <w:u w:val="none" w:color="auto"/>
        </w:rPr>
      </w:pPr>
      <w:r>
        <w:rPr>
          <w:rFonts w:hint="default" w:ascii="Times New Roman" w:hAnsi="Times New Roman" w:cs="Times New Roman"/>
          <w:b/>
          <w:bCs/>
          <w:u w:val="none" w:color="auto"/>
          <w:lang w:val="en-US" w:eastAsia="zh-CN"/>
        </w:rPr>
        <w:t>（3）</w:t>
      </w:r>
      <w:r>
        <w:rPr>
          <w:rFonts w:hint="default" w:ascii="Times New Roman" w:hAnsi="Times New Roman" w:cs="Times New Roman"/>
          <w:b/>
          <w:bCs/>
          <w:u w:val="none" w:color="auto"/>
        </w:rPr>
        <w:t>与《关于进一步加强风电建设项目使用林地管理的通知》符合性分析</w:t>
      </w:r>
    </w:p>
    <w:p>
      <w:pPr>
        <w:bidi w:val="0"/>
        <w:rPr>
          <w:rFonts w:hint="default" w:ascii="Times New Roman" w:hAnsi="Times New Roman" w:cs="Times New Roman"/>
          <w:szCs w:val="24"/>
          <w:u w:val="none" w:color="auto"/>
          <w:shd w:val="clear" w:color="auto" w:fill="FFFFFF"/>
        </w:rPr>
      </w:pPr>
      <w:r>
        <w:rPr>
          <w:rFonts w:hint="default" w:ascii="Times New Roman" w:hAnsi="Times New Roman" w:cs="Times New Roman"/>
          <w:bCs/>
          <w:szCs w:val="24"/>
          <w:u w:val="none" w:color="auto"/>
        </w:rPr>
        <w:t>湖南省林业厅发布的《关于进一步加强风电建设项目使用林地管理的通知》（湘林政〔2018〕5号）对相关区域</w:t>
      </w:r>
      <w:r>
        <w:rPr>
          <w:rFonts w:hint="default"/>
        </w:rPr>
        <w:t>提出</w:t>
      </w:r>
      <w:r>
        <w:rPr>
          <w:rFonts w:hint="default" w:ascii="Times New Roman" w:hAnsi="Times New Roman" w:cs="Times New Roman"/>
          <w:bCs/>
          <w:szCs w:val="24"/>
          <w:u w:val="none" w:color="auto"/>
        </w:rPr>
        <w:t>禁止风电项目建设要求。</w:t>
      </w:r>
      <w:r>
        <w:rPr>
          <w:rFonts w:hint="default" w:ascii="Times New Roman" w:hAnsi="Times New Roman" w:cs="Times New Roman"/>
          <w:szCs w:val="24"/>
          <w:u w:val="none" w:color="auto"/>
          <w:shd w:val="clear" w:color="auto" w:fill="FFFFFF"/>
        </w:rPr>
        <w:t>本项目符合性分析如下表</w:t>
      </w:r>
      <w:r>
        <w:rPr>
          <w:rFonts w:hint="eastAsia" w:ascii="Times New Roman" w:hAnsi="Times New Roman" w:cs="Times New Roman"/>
          <w:szCs w:val="24"/>
          <w:u w:val="none" w:color="auto"/>
          <w:shd w:val="clear" w:color="auto" w:fill="FFFFFF"/>
          <w:lang w:val="en-US" w:eastAsia="zh-CN"/>
        </w:rPr>
        <w:t>4-3</w:t>
      </w:r>
      <w:r>
        <w:rPr>
          <w:rFonts w:hint="default" w:ascii="Times New Roman" w:hAnsi="Times New Roman" w:cs="Times New Roman"/>
          <w:szCs w:val="24"/>
          <w:u w:val="none" w:color="auto"/>
          <w:shd w:val="clear" w:color="auto" w:fill="FFFFFF"/>
        </w:rPr>
        <w:t>所示。</w:t>
      </w:r>
    </w:p>
    <w:p>
      <w:pPr>
        <w:pStyle w:val="3588"/>
        <w:bidi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与《关于进一步加强风电建设项目使用林地管理的通知》符合性分析一览表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3376"/>
        <w:gridCol w:w="3531"/>
        <w:gridCol w:w="11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类别</w:t>
            </w:r>
          </w:p>
        </w:tc>
        <w:tc>
          <w:tcPr>
            <w:tcW w:w="0" w:type="auto"/>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具体禁建区域</w:t>
            </w:r>
          </w:p>
        </w:tc>
        <w:tc>
          <w:tcPr>
            <w:tcW w:w="3531" w:type="dxa"/>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本项目情况</w:t>
            </w:r>
          </w:p>
        </w:tc>
        <w:tc>
          <w:tcPr>
            <w:tcW w:w="1109" w:type="dxa"/>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符合性分析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sz w:val="21"/>
                <w:szCs w:val="21"/>
                <w:u w:val="none" w:color="auto"/>
              </w:rPr>
            </w:pPr>
            <w:r>
              <w:rPr>
                <w:rStyle w:val="134"/>
                <w:rFonts w:hint="default" w:ascii="Times New Roman" w:hAnsi="Times New Roman" w:cs="Times New Roman"/>
                <w:b w:val="0"/>
                <w:spacing w:val="7"/>
                <w:sz w:val="21"/>
                <w:szCs w:val="21"/>
                <w:u w:val="none" w:color="auto"/>
              </w:rPr>
              <w:t>风电场建设使用林地禁建区域</w:t>
            </w:r>
          </w:p>
        </w:tc>
        <w:tc>
          <w:tcPr>
            <w:tcW w:w="0" w:type="auto"/>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sz w:val="21"/>
                <w:szCs w:val="21"/>
                <w:u w:val="none" w:color="auto"/>
              </w:rPr>
            </w:pPr>
            <w:r>
              <w:rPr>
                <w:rFonts w:hint="default" w:ascii="Times New Roman" w:hAnsi="Times New Roman" w:cs="Times New Roman"/>
                <w:sz w:val="21"/>
                <w:szCs w:val="21"/>
                <w:u w:val="none" w:color="auto"/>
                <w:shd w:val="clear" w:color="auto" w:fill="FFFFFF"/>
              </w:rPr>
              <w:t>生态保护红线区域</w:t>
            </w:r>
          </w:p>
        </w:tc>
        <w:tc>
          <w:tcPr>
            <w:tcW w:w="3531" w:type="dxa"/>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sz w:val="21"/>
                <w:szCs w:val="21"/>
                <w:u w:val="none" w:color="auto"/>
              </w:rPr>
            </w:pPr>
            <w:r>
              <w:rPr>
                <w:rFonts w:hint="eastAsia" w:ascii="Times New Roman" w:hAnsi="Times New Roman" w:cs="Times New Roman"/>
                <w:bCs/>
                <w:sz w:val="21"/>
                <w:szCs w:val="21"/>
                <w:u w:val="none" w:color="auto"/>
                <w:lang w:eastAsia="zh-CN"/>
              </w:rPr>
              <w:t>本</w:t>
            </w:r>
            <w:r>
              <w:rPr>
                <w:rFonts w:hint="default" w:ascii="Times New Roman" w:hAnsi="Times New Roman" w:cs="Times New Roman"/>
                <w:bCs/>
                <w:sz w:val="21"/>
                <w:szCs w:val="21"/>
                <w:u w:val="none" w:color="auto"/>
              </w:rPr>
              <w:t>项目不涉及生态保护红线区域</w:t>
            </w:r>
          </w:p>
        </w:tc>
        <w:tc>
          <w:tcPr>
            <w:tcW w:w="1109" w:type="dxa"/>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Style w:val="134"/>
                <w:rFonts w:hint="default" w:ascii="Times New Roman" w:hAnsi="Times New Roman" w:cs="Times New Roman"/>
                <w:b w:val="0"/>
                <w:spacing w:val="7"/>
                <w:sz w:val="21"/>
                <w:szCs w:val="21"/>
                <w:u w:val="none" w:color="auto"/>
              </w:rPr>
            </w:pPr>
          </w:p>
        </w:tc>
        <w:tc>
          <w:tcPr>
            <w:tcW w:w="0" w:type="auto"/>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sz w:val="21"/>
                <w:szCs w:val="21"/>
                <w:u w:val="none" w:color="auto"/>
              </w:rPr>
            </w:pPr>
            <w:r>
              <w:rPr>
                <w:rFonts w:hint="default" w:ascii="Times New Roman" w:hAnsi="Times New Roman" w:cs="Times New Roman"/>
                <w:sz w:val="21"/>
                <w:szCs w:val="21"/>
                <w:u w:val="none" w:color="auto"/>
                <w:shd w:val="clear" w:color="auto" w:fill="FFFFFF"/>
              </w:rPr>
              <w:t>世界自然遗产地、国有林场、重要湿地、省级以上森林公园、湿地公园、地质公园、风景名胜区</w:t>
            </w:r>
          </w:p>
        </w:tc>
        <w:tc>
          <w:tcPr>
            <w:tcW w:w="3531" w:type="dxa"/>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本项目</w:t>
            </w:r>
            <w:r>
              <w:rPr>
                <w:rFonts w:hint="default" w:ascii="Times New Roman" w:hAnsi="Times New Roman" w:cs="Times New Roman"/>
                <w:bCs/>
                <w:sz w:val="21"/>
                <w:szCs w:val="21"/>
                <w:u w:val="none" w:color="auto"/>
                <w:lang w:eastAsia="zh-CN"/>
              </w:rPr>
              <w:t>占地</w:t>
            </w:r>
            <w:r>
              <w:rPr>
                <w:rFonts w:hint="default" w:ascii="Times New Roman" w:hAnsi="Times New Roman" w:cs="Times New Roman"/>
                <w:bCs/>
                <w:sz w:val="21"/>
                <w:szCs w:val="21"/>
                <w:u w:val="none" w:color="auto"/>
              </w:rPr>
              <w:t>不涉及以上保护区</w:t>
            </w:r>
          </w:p>
        </w:tc>
        <w:tc>
          <w:tcPr>
            <w:tcW w:w="1109" w:type="dxa"/>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Style w:val="134"/>
                <w:rFonts w:hint="default" w:ascii="Times New Roman" w:hAnsi="Times New Roman" w:cs="Times New Roman"/>
                <w:b w:val="0"/>
                <w:spacing w:val="7"/>
                <w:sz w:val="21"/>
                <w:szCs w:val="21"/>
                <w:u w:val="none" w:color="auto"/>
              </w:rPr>
            </w:pPr>
          </w:p>
        </w:tc>
        <w:tc>
          <w:tcPr>
            <w:tcW w:w="0" w:type="auto"/>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shd w:val="clear" w:color="auto" w:fill="FFFFFF"/>
              </w:rPr>
            </w:pPr>
            <w:r>
              <w:rPr>
                <w:rFonts w:hint="default" w:ascii="Times New Roman" w:hAnsi="Times New Roman" w:cs="Times New Roman"/>
                <w:sz w:val="21"/>
                <w:szCs w:val="21"/>
                <w:u w:val="none" w:color="auto"/>
                <w:shd w:val="clear" w:color="auto" w:fill="FFFFFF"/>
              </w:rPr>
              <w:t>县级以上人民政府规定并发布的鸟类迁徙通道</w:t>
            </w:r>
          </w:p>
        </w:tc>
        <w:tc>
          <w:tcPr>
            <w:tcW w:w="3531" w:type="dxa"/>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本项目区域不涉及</w:t>
            </w:r>
            <w:r>
              <w:rPr>
                <w:rFonts w:hint="default" w:ascii="Times New Roman" w:hAnsi="Times New Roman" w:cs="Times New Roman"/>
                <w:sz w:val="21"/>
                <w:szCs w:val="21"/>
                <w:u w:val="none" w:color="auto"/>
                <w:shd w:val="clear" w:color="auto" w:fill="FFFFFF"/>
              </w:rPr>
              <w:t>鸟类迁徙通道</w:t>
            </w:r>
          </w:p>
        </w:tc>
        <w:tc>
          <w:tcPr>
            <w:tcW w:w="1109" w:type="dxa"/>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Style w:val="134"/>
                <w:rFonts w:hint="default" w:ascii="Times New Roman" w:hAnsi="Times New Roman" w:cs="Times New Roman"/>
                <w:b w:val="0"/>
                <w:spacing w:val="7"/>
                <w:sz w:val="21"/>
                <w:szCs w:val="21"/>
                <w:u w:val="none" w:color="auto"/>
              </w:rPr>
            </w:pPr>
          </w:p>
        </w:tc>
        <w:tc>
          <w:tcPr>
            <w:tcW w:w="0" w:type="auto"/>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sz w:val="21"/>
                <w:szCs w:val="21"/>
                <w:u w:val="none" w:color="auto"/>
              </w:rPr>
            </w:pPr>
            <w:r>
              <w:rPr>
                <w:rFonts w:hint="default" w:ascii="Times New Roman" w:hAnsi="Times New Roman" w:cs="Times New Roman"/>
                <w:sz w:val="21"/>
                <w:szCs w:val="21"/>
                <w:u w:val="none" w:color="auto"/>
                <w:shd w:val="clear" w:color="auto" w:fill="FFFFFF"/>
              </w:rPr>
              <w:t>海拔800米以上且坡度36度以上、母岩为强风化花岗岩、砂岩或石灰岩区域</w:t>
            </w:r>
          </w:p>
        </w:tc>
        <w:tc>
          <w:tcPr>
            <w:tcW w:w="3531" w:type="dxa"/>
            <w:tcBorders>
              <w:tl2br w:val="nil"/>
              <w:tr2bl w:val="nil"/>
            </w:tcBorders>
            <w:noWrap w:val="0"/>
            <w:vAlign w:val="center"/>
          </w:tcPr>
          <w:p>
            <w:pPr>
              <w:pStyle w:val="3655"/>
              <w:spacing w:line="240" w:lineRule="auto"/>
              <w:ind w:firstLine="0" w:firstLineChars="0"/>
              <w:jc w:val="center"/>
              <w:rPr>
                <w:rFonts w:hint="default" w:ascii="Times New Roman" w:hAnsi="Times New Roman" w:cs="Times New Roman"/>
                <w:bCs/>
                <w:sz w:val="21"/>
                <w:szCs w:val="21"/>
                <w:u w:val="none" w:color="auto"/>
              </w:rPr>
            </w:pPr>
            <w:r>
              <w:rPr>
                <w:rFonts w:cs="Times New Roman"/>
                <w:bCs/>
                <w:color w:val="auto"/>
                <w:sz w:val="21"/>
                <w:szCs w:val="21"/>
              </w:rPr>
              <w:t>本项目风机点位</w:t>
            </w:r>
            <w:r>
              <w:rPr>
                <w:rFonts w:hint="eastAsia" w:cs="Times New Roman"/>
                <w:bCs/>
                <w:color w:val="auto"/>
                <w:sz w:val="21"/>
                <w:szCs w:val="21"/>
              </w:rPr>
              <w:t>海拔高度在1200m～1620m之间</w:t>
            </w:r>
            <w:r>
              <w:rPr>
                <w:rFonts w:cs="Times New Roman"/>
                <w:bCs/>
                <w:color w:val="auto"/>
                <w:sz w:val="21"/>
                <w:szCs w:val="21"/>
              </w:rPr>
              <w:t>，坡度</w:t>
            </w:r>
            <w:r>
              <w:rPr>
                <w:rFonts w:hint="eastAsia" w:cs="Times New Roman"/>
                <w:bCs/>
                <w:color w:val="auto"/>
                <w:sz w:val="21"/>
                <w:szCs w:val="21"/>
              </w:rPr>
              <w:t>15</w:t>
            </w:r>
            <w:r>
              <w:rPr>
                <w:rFonts w:cs="Times New Roman"/>
                <w:bCs/>
                <w:color w:val="auto"/>
                <w:sz w:val="21"/>
                <w:szCs w:val="21"/>
              </w:rPr>
              <w:t>°-</w:t>
            </w:r>
            <w:r>
              <w:rPr>
                <w:rFonts w:hint="eastAsia" w:cs="Times New Roman"/>
                <w:bCs/>
                <w:color w:val="auto"/>
                <w:sz w:val="21"/>
                <w:szCs w:val="21"/>
              </w:rPr>
              <w:t>35</w:t>
            </w:r>
            <w:r>
              <w:rPr>
                <w:rFonts w:cs="Times New Roman"/>
                <w:bCs/>
                <w:color w:val="auto"/>
                <w:sz w:val="21"/>
                <w:szCs w:val="21"/>
              </w:rPr>
              <w:t>°；区域</w:t>
            </w:r>
            <w:r>
              <w:rPr>
                <w:rFonts w:hint="eastAsia" w:cs="Times New Roman"/>
                <w:bCs/>
                <w:color w:val="auto"/>
                <w:sz w:val="21"/>
                <w:szCs w:val="21"/>
              </w:rPr>
              <w:t>，地表第①层为粉质粘土、②层全～中等风化石英砂岩</w:t>
            </w:r>
            <w:r>
              <w:rPr>
                <w:rFonts w:cs="Times New Roman"/>
                <w:bCs/>
                <w:color w:val="auto"/>
                <w:sz w:val="21"/>
                <w:szCs w:val="21"/>
              </w:rPr>
              <w:t>，不涉及</w:t>
            </w:r>
            <w:r>
              <w:rPr>
                <w:rFonts w:cs="Times New Roman"/>
                <w:color w:val="auto"/>
                <w:sz w:val="21"/>
                <w:szCs w:val="21"/>
                <w:shd w:val="clear" w:color="auto" w:fill="FFFFFF"/>
              </w:rPr>
              <w:t>强风化花岗岩、砂岩或石灰岩区域</w:t>
            </w:r>
          </w:p>
        </w:tc>
        <w:tc>
          <w:tcPr>
            <w:tcW w:w="1109" w:type="dxa"/>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sz w:val="21"/>
                <w:szCs w:val="21"/>
                <w:u w:val="none" w:color="auto"/>
              </w:rPr>
            </w:pPr>
          </w:p>
        </w:tc>
        <w:tc>
          <w:tcPr>
            <w:tcW w:w="0" w:type="auto"/>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sz w:val="21"/>
                <w:szCs w:val="21"/>
                <w:u w:val="none" w:color="auto"/>
              </w:rPr>
            </w:pPr>
            <w:r>
              <w:rPr>
                <w:rFonts w:hint="default" w:ascii="Times New Roman" w:hAnsi="Times New Roman" w:cs="Times New Roman"/>
                <w:sz w:val="21"/>
                <w:szCs w:val="21"/>
                <w:u w:val="none" w:color="auto"/>
                <w:shd w:val="clear" w:color="auto" w:fill="FFFFFF"/>
              </w:rPr>
              <w:t>各县市（区）最高峰或地标性山峰地域</w:t>
            </w:r>
          </w:p>
        </w:tc>
        <w:tc>
          <w:tcPr>
            <w:tcW w:w="3531" w:type="dxa"/>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项目区域不是区域最高峰</w:t>
            </w:r>
            <w:r>
              <w:rPr>
                <w:rFonts w:hint="eastAsia" w:ascii="Times New Roman" w:hAnsi="Times New Roman" w:cs="Times New Roman"/>
                <w:bCs/>
                <w:sz w:val="21"/>
                <w:szCs w:val="21"/>
                <w:u w:val="none" w:color="auto"/>
                <w:lang w:eastAsia="zh-CN"/>
              </w:rPr>
              <w:t>或</w:t>
            </w:r>
            <w:r>
              <w:rPr>
                <w:rFonts w:hint="default" w:ascii="Times New Roman" w:hAnsi="Times New Roman" w:cs="Times New Roman"/>
                <w:bCs/>
                <w:sz w:val="21"/>
                <w:szCs w:val="21"/>
                <w:u w:val="none" w:color="auto"/>
              </w:rPr>
              <w:t>地标性山峰地域</w:t>
            </w:r>
          </w:p>
        </w:tc>
        <w:tc>
          <w:tcPr>
            <w:tcW w:w="1109" w:type="dxa"/>
            <w:tcBorders>
              <w:tl2br w:val="nil"/>
              <w:tr2bl w:val="nil"/>
            </w:tcBorders>
            <w:noWrap w:val="0"/>
            <w:vAlign w:val="center"/>
          </w:tcPr>
          <w:p>
            <w:pPr>
              <w:pStyle w:val="365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sz w:val="21"/>
                <w:szCs w:val="21"/>
                <w:u w:val="none" w:color="auto"/>
              </w:rPr>
            </w:pPr>
            <w:r>
              <w:rPr>
                <w:rFonts w:hint="default" w:ascii="Times New Roman" w:hAnsi="Times New Roman" w:cs="Times New Roman"/>
                <w:bCs/>
                <w:sz w:val="21"/>
                <w:szCs w:val="21"/>
                <w:u w:val="none" w:color="auto"/>
              </w:rPr>
              <w:t>符合</w:t>
            </w:r>
          </w:p>
        </w:tc>
      </w:tr>
    </w:tbl>
    <w:p>
      <w:pPr>
        <w:bidi w:val="0"/>
        <w:rPr>
          <w:rFonts w:hint="default" w:ascii="Times New Roman" w:hAnsi="Times New Roman" w:cs="Times New Roman"/>
          <w:bCs/>
          <w:szCs w:val="24"/>
          <w:u w:val="none" w:color="auto"/>
        </w:rPr>
      </w:pPr>
      <w:r>
        <w:rPr>
          <w:rFonts w:hint="default" w:ascii="Times New Roman" w:hAnsi="Times New Roman" w:cs="Times New Roman"/>
          <w:szCs w:val="24"/>
          <w:u w:val="none" w:color="auto"/>
          <w:shd w:val="clear" w:color="auto" w:fill="FFFFFF"/>
        </w:rPr>
        <w:t>根据上表分析可知，本项目区域不属于</w:t>
      </w:r>
      <w:r>
        <w:rPr>
          <w:rFonts w:hint="default" w:ascii="Times New Roman" w:hAnsi="Times New Roman" w:cs="Times New Roman"/>
          <w:bCs/>
          <w:szCs w:val="24"/>
          <w:u w:val="none" w:color="auto"/>
        </w:rPr>
        <w:t>湘林政〔2018〕5号中的禁建区域，因此，项目</w:t>
      </w:r>
      <w:r>
        <w:rPr>
          <w:rFonts w:hint="default" w:ascii="Times New Roman" w:hAnsi="Times New Roman" w:cs="Times New Roman"/>
          <w:bCs/>
          <w:szCs w:val="24"/>
          <w:u w:val="none" w:color="auto"/>
          <w:lang w:eastAsia="zh-CN"/>
        </w:rPr>
        <w:t>变更后</w:t>
      </w:r>
      <w:r>
        <w:rPr>
          <w:rFonts w:hint="default" w:ascii="Times New Roman" w:hAnsi="Times New Roman" w:cs="Times New Roman"/>
          <w:bCs/>
          <w:szCs w:val="24"/>
          <w:u w:val="none" w:color="auto"/>
        </w:rPr>
        <w:t>建设符合《关于进一步加强风电建设项目使用林地管理的通知》（湘林政〔2018〕5号）要求。</w:t>
      </w:r>
    </w:p>
    <w:p>
      <w:pPr>
        <w:pStyle w:val="457"/>
        <w:ind w:firstLine="643"/>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110" w:name="_Toc3078"/>
      <w:bookmarkStart w:id="111" w:name="_Toc29473"/>
      <w:r>
        <w:rPr>
          <w:rFonts w:hint="default" w:ascii="Times New Roman" w:hAnsi="Times New Roman" w:eastAsia="宋体" w:cs="Times New Roman"/>
          <w:color w:val="000000" w:themeColor="text1"/>
          <w:u w:val="none" w:color="auto"/>
          <w:lang w:val="en-US" w:eastAsia="zh-CN"/>
          <w14:textFill>
            <w14:solidFill>
              <w14:schemeClr w14:val="tx1"/>
            </w14:solidFill>
          </w14:textFill>
        </w:rPr>
        <w:t>与主体功能区规划的符合性分析</w:t>
      </w:r>
      <w:bookmarkEnd w:id="110"/>
      <w:bookmarkEnd w:id="111"/>
    </w:p>
    <w:p>
      <w:pPr>
        <w:keepNext w:val="0"/>
        <w:keepLines w:val="0"/>
        <w:pageBreakBefore w:val="0"/>
        <w:widowControl w:val="0"/>
        <w:kinsoku/>
        <w:wordWrap/>
        <w:overflowPunct/>
        <w:topLinePunct w:val="0"/>
        <w:autoSpaceDE/>
        <w:autoSpaceDN/>
        <w:bidi w:val="0"/>
        <w:adjustRightInd w:val="0"/>
        <w:snapToGrid w:val="0"/>
        <w:spacing w:line="360" w:lineRule="auto"/>
        <w:ind w:firstLine="505" w:firstLineChars="200"/>
        <w:textAlignment w:val="auto"/>
        <w:rPr>
          <w:rFonts w:hint="eastAsia" w:ascii="Times New Roman" w:hAnsi="Times New Roman" w:cs="Times New Roman"/>
          <w:b/>
          <w:bCs w:val="0"/>
          <w:spacing w:val="6"/>
          <w:sz w:val="24"/>
          <w:u w:val="none" w:color="auto"/>
          <w:lang w:eastAsia="zh-CN"/>
        </w:rPr>
      </w:pPr>
      <w:r>
        <w:rPr>
          <w:rFonts w:hint="eastAsia" w:ascii="Times New Roman" w:hAnsi="Times New Roman" w:cs="Times New Roman"/>
          <w:b/>
          <w:bCs w:val="0"/>
          <w:spacing w:val="6"/>
          <w:sz w:val="24"/>
          <w:u w:val="none" w:color="auto"/>
          <w:lang w:eastAsia="zh-CN"/>
        </w:rPr>
        <w:t>（</w:t>
      </w:r>
      <w:r>
        <w:rPr>
          <w:rFonts w:hint="eastAsia" w:ascii="Times New Roman" w:hAnsi="Times New Roman" w:cs="Times New Roman"/>
          <w:b/>
          <w:bCs w:val="0"/>
          <w:spacing w:val="6"/>
          <w:sz w:val="24"/>
          <w:u w:val="none" w:color="auto"/>
          <w:lang w:val="en-US" w:eastAsia="zh-CN"/>
        </w:rPr>
        <w:t>1</w:t>
      </w:r>
      <w:r>
        <w:rPr>
          <w:rFonts w:hint="eastAsia" w:ascii="Times New Roman" w:hAnsi="Times New Roman" w:cs="Times New Roman"/>
          <w:b/>
          <w:bCs w:val="0"/>
          <w:spacing w:val="6"/>
          <w:sz w:val="24"/>
          <w:u w:val="none" w:color="auto"/>
          <w:lang w:eastAsia="zh-CN"/>
        </w:rPr>
        <w:t>）</w:t>
      </w:r>
      <w:r>
        <w:rPr>
          <w:rFonts w:hint="default" w:ascii="Times New Roman" w:hAnsi="Times New Roman" w:cs="Times New Roman"/>
          <w:b/>
          <w:bCs w:val="0"/>
          <w:spacing w:val="6"/>
          <w:sz w:val="24"/>
          <w:u w:val="none" w:color="auto"/>
        </w:rPr>
        <w:t>《湖南省主体功能区</w:t>
      </w:r>
      <w:r>
        <w:rPr>
          <w:rFonts w:hint="eastAsia" w:ascii="Times New Roman" w:hAnsi="Times New Roman" w:cs="Times New Roman"/>
          <w:b/>
          <w:bCs w:val="0"/>
          <w:spacing w:val="6"/>
          <w:sz w:val="24"/>
          <w:u w:val="none" w:color="auto"/>
          <w:lang w:eastAsia="zh-CN"/>
        </w:rPr>
        <w:t>规</w:t>
      </w:r>
      <w:r>
        <w:rPr>
          <w:rFonts w:hint="default" w:ascii="Times New Roman" w:hAnsi="Times New Roman" w:cs="Times New Roman"/>
          <w:b/>
          <w:bCs w:val="0"/>
          <w:spacing w:val="6"/>
          <w:sz w:val="24"/>
          <w:u w:val="none" w:color="auto"/>
        </w:rPr>
        <w:t>划》</w:t>
      </w:r>
    </w:p>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Cs/>
          <w:spacing w:val="6"/>
          <w:sz w:val="24"/>
          <w:u w:val="none" w:color="auto"/>
        </w:rPr>
      </w:pPr>
      <w:r>
        <w:rPr>
          <w:rFonts w:hint="default" w:ascii="Times New Roman" w:hAnsi="Times New Roman" w:cs="Times New Roman"/>
          <w:bCs/>
          <w:spacing w:val="6"/>
          <w:sz w:val="24"/>
          <w:u w:val="none" w:color="auto"/>
        </w:rPr>
        <w:t>《湖南省主体功能区</w:t>
      </w:r>
      <w:r>
        <w:rPr>
          <w:rFonts w:hint="eastAsia" w:ascii="Times New Roman" w:hAnsi="Times New Roman" w:cs="Times New Roman"/>
          <w:bCs/>
          <w:spacing w:val="6"/>
          <w:sz w:val="24"/>
          <w:u w:val="none" w:color="auto"/>
          <w:lang w:eastAsia="zh-CN"/>
        </w:rPr>
        <w:t>规</w:t>
      </w:r>
      <w:r>
        <w:rPr>
          <w:rFonts w:hint="default" w:ascii="Times New Roman" w:hAnsi="Times New Roman" w:cs="Times New Roman"/>
          <w:bCs/>
          <w:spacing w:val="6"/>
          <w:sz w:val="24"/>
          <w:u w:val="none" w:color="auto"/>
        </w:rPr>
        <w:t>划》将全省国土空间划分为以下主体功能区：按开发内容，分为城市化地区、农产品主产区和重点生态功能区；按开发方式和强度，分为重点开发区域、限制开发区域和禁止开发区域。</w:t>
      </w:r>
    </w:p>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Cs/>
          <w:spacing w:val="6"/>
          <w:sz w:val="24"/>
          <w:u w:val="none" w:color="auto"/>
        </w:rPr>
      </w:pPr>
      <w:r>
        <w:rPr>
          <w:rFonts w:hint="default" w:ascii="Times New Roman" w:hAnsi="Times New Roman" w:cs="Times New Roman"/>
          <w:bCs/>
          <w:spacing w:val="6"/>
          <w:sz w:val="24"/>
          <w:u w:val="none" w:color="auto"/>
        </w:rPr>
        <w:t>符合性分析：本工程位于</w:t>
      </w:r>
      <w:r>
        <w:rPr>
          <w:rFonts w:hint="eastAsia" w:cs="Times New Roman"/>
          <w:bCs/>
          <w:spacing w:val="6"/>
          <w:sz w:val="24"/>
          <w:u w:val="none" w:color="auto"/>
          <w:lang w:eastAsia="zh-CN"/>
        </w:rPr>
        <w:t>蓝山</w:t>
      </w:r>
      <w:r>
        <w:rPr>
          <w:rFonts w:hint="default" w:ascii="Times New Roman" w:hAnsi="Times New Roman" w:cs="Times New Roman"/>
          <w:bCs/>
          <w:spacing w:val="6"/>
          <w:sz w:val="24"/>
          <w:u w:val="none" w:color="auto"/>
        </w:rPr>
        <w:t>县</w:t>
      </w:r>
      <w:r>
        <w:rPr>
          <w:rFonts w:hint="eastAsia" w:ascii="Times New Roman" w:hAnsi="Times New Roman" w:cs="Times New Roman"/>
          <w:bCs/>
          <w:spacing w:val="6"/>
          <w:sz w:val="24"/>
          <w:u w:val="none" w:color="auto"/>
          <w:lang w:eastAsia="zh-CN"/>
        </w:rPr>
        <w:t>，位于限制开发区域，不位于禁止开发区域</w:t>
      </w:r>
      <w:r>
        <w:rPr>
          <w:rFonts w:hint="default" w:ascii="Times New Roman" w:hAnsi="Times New Roman" w:cs="Times New Roman"/>
          <w:bCs/>
          <w:spacing w:val="6"/>
          <w:sz w:val="24"/>
          <w:u w:val="none" w:color="auto"/>
        </w:rPr>
        <w:t>。</w:t>
      </w:r>
      <w:r>
        <w:rPr>
          <w:rFonts w:hint="eastAsia" w:cs="Times New Roman"/>
          <w:bCs/>
          <w:spacing w:val="6"/>
          <w:sz w:val="24"/>
          <w:u w:val="none" w:color="auto"/>
          <w:lang w:eastAsia="zh-CN"/>
        </w:rPr>
        <w:t>蓝山</w:t>
      </w:r>
      <w:r>
        <w:rPr>
          <w:rFonts w:hint="default" w:ascii="Times New Roman" w:hAnsi="Times New Roman" w:cs="Times New Roman"/>
          <w:bCs/>
          <w:spacing w:val="6"/>
          <w:sz w:val="24"/>
          <w:u w:val="none" w:color="auto"/>
        </w:rPr>
        <w:t>县为省级重点生态功能区，属于限制进行大规模高强度工业化城镇化开发的区域。限制开发区域的产业政策为“限制开发区域，积极发展生态友好型产业，</w:t>
      </w:r>
      <w:r>
        <w:rPr>
          <w:rFonts w:hint="default" w:ascii="Times New Roman" w:hAnsi="Times New Roman" w:eastAsia="宋体" w:cs="Times New Roman"/>
          <w:bCs/>
          <w:spacing w:val="6"/>
          <w:sz w:val="24"/>
          <w:u w:val="none" w:color="auto"/>
        </w:rPr>
        <w:t>支持农业产业化、规模化、集约化、标准化、良种化，鼓励生态农业、循环经济、清洁能源、休闲旅游及特色产业发展”。</w:t>
      </w:r>
      <w:r>
        <w:rPr>
          <w:rFonts w:hint="eastAsia" w:ascii="Times New Roman" w:hAnsi="Times New Roman" w:eastAsia="宋体" w:cs="Times New Roman"/>
          <w:bCs/>
          <w:spacing w:val="6"/>
          <w:sz w:val="24"/>
          <w:u w:val="none" w:color="auto"/>
        </w:rPr>
        <w:t>需要在国土空间开发中限制进行大规模高强度工业化城镇化开发，以保持并提高农产品生产能力的区域。</w:t>
      </w:r>
      <w:r>
        <w:rPr>
          <w:rFonts w:hint="default" w:ascii="Times New Roman" w:hAnsi="Times New Roman" w:eastAsia="宋体" w:cs="Times New Roman"/>
          <w:bCs/>
          <w:spacing w:val="6"/>
          <w:sz w:val="24"/>
          <w:u w:val="none" w:color="auto"/>
        </w:rPr>
        <w:t>风电项目属于清洁能源项目，为限制开发区域的产业政策中鼓励发展的产业；风电场</w:t>
      </w:r>
      <w:r>
        <w:rPr>
          <w:rFonts w:hint="eastAsia" w:ascii="Times New Roman" w:hAnsi="Times New Roman" w:eastAsia="宋体" w:cs="Times New Roman"/>
          <w:bCs/>
          <w:spacing w:val="6"/>
          <w:sz w:val="24"/>
          <w:u w:val="none" w:color="auto"/>
          <w:lang w:eastAsia="zh-CN"/>
        </w:rPr>
        <w:t>建设过程中通过采取各项生态环境保护和水土保持措施后</w:t>
      </w:r>
      <w:r>
        <w:rPr>
          <w:rFonts w:hint="default" w:ascii="Times New Roman" w:hAnsi="Times New Roman" w:cs="Times New Roman"/>
          <w:bCs/>
          <w:spacing w:val="6"/>
          <w:sz w:val="24"/>
          <w:u w:val="none" w:color="auto"/>
        </w:rPr>
        <w:t>对生态环境影响较小。因此，本工程建设符合《湖南省主体功能区规划》。</w:t>
      </w:r>
    </w:p>
    <w:p>
      <w:pPr>
        <w:pStyle w:val="3632"/>
        <w:keepNext w:val="0"/>
        <w:keepLines w:val="0"/>
        <w:pageBreakBefore w:val="0"/>
        <w:widowControl w:val="0"/>
        <w:kinsoku/>
        <w:wordWrap/>
        <w:overflowPunct/>
        <w:topLinePunct w:val="0"/>
        <w:autoSpaceDE/>
        <w:autoSpaceDN/>
        <w:bidi w:val="0"/>
        <w:adjustRightInd w:val="0"/>
        <w:snapToGrid w:val="0"/>
        <w:ind w:firstLine="480"/>
        <w:textAlignment w:val="auto"/>
        <w:rPr>
          <w:rFonts w:hint="eastAsia" w:hAnsi="宋体" w:cs="Times New Roman"/>
          <w:b/>
          <w:bCs/>
          <w:color w:val="auto"/>
          <w:szCs w:val="22"/>
          <w:u w:val="none" w:color="auto"/>
          <w:lang w:eastAsia="zh-CN"/>
        </w:rPr>
      </w:pPr>
      <w:r>
        <w:rPr>
          <w:rFonts w:hint="eastAsia" w:hAnsi="宋体" w:cs="Times New Roman"/>
          <w:b/>
          <w:bCs/>
          <w:color w:val="auto"/>
          <w:szCs w:val="22"/>
          <w:u w:val="none" w:color="auto"/>
          <w:lang w:eastAsia="zh-CN"/>
        </w:rPr>
        <w:t>（</w:t>
      </w:r>
      <w:r>
        <w:rPr>
          <w:rFonts w:hint="eastAsia" w:hAnsi="宋体" w:cs="Times New Roman"/>
          <w:b/>
          <w:bCs/>
          <w:color w:val="auto"/>
          <w:szCs w:val="22"/>
          <w:u w:val="none" w:color="auto"/>
          <w:lang w:val="en-US" w:eastAsia="zh-CN"/>
        </w:rPr>
        <w:t>2</w:t>
      </w:r>
      <w:r>
        <w:rPr>
          <w:rFonts w:hint="eastAsia" w:hAnsi="宋体" w:cs="Times New Roman"/>
          <w:b/>
          <w:bCs/>
          <w:color w:val="auto"/>
          <w:szCs w:val="22"/>
          <w:u w:val="none" w:color="auto"/>
          <w:lang w:eastAsia="zh-CN"/>
        </w:rPr>
        <w:t>）</w:t>
      </w:r>
      <w:r>
        <w:rPr>
          <w:b/>
          <w:bCs/>
          <w:spacing w:val="-4"/>
          <w:sz w:val="24"/>
          <w:u w:val="none" w:color="auto"/>
        </w:rPr>
        <w:t>《</w:t>
      </w:r>
      <w:r>
        <w:rPr>
          <w:rFonts w:hint="eastAsia"/>
          <w:b/>
          <w:bCs/>
          <w:spacing w:val="-4"/>
          <w:sz w:val="24"/>
          <w:u w:val="none" w:color="auto"/>
          <w:lang w:eastAsia="zh-CN"/>
        </w:rPr>
        <w:t>湖南省</w:t>
      </w:r>
      <w:r>
        <w:rPr>
          <w:b/>
          <w:bCs/>
          <w:spacing w:val="-4"/>
          <w:sz w:val="24"/>
          <w:u w:val="none" w:color="auto"/>
        </w:rPr>
        <w:t>永州市主体功能区规划（2014-2020）》</w:t>
      </w:r>
    </w:p>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Cs/>
          <w:spacing w:val="6"/>
          <w:sz w:val="24"/>
          <w:u w:val="none" w:color="auto"/>
        </w:rPr>
      </w:pPr>
      <w:r>
        <w:rPr>
          <w:rFonts w:hint="default" w:ascii="Times New Roman" w:hAnsi="Times New Roman" w:cs="Times New Roman"/>
          <w:bCs/>
          <w:spacing w:val="6"/>
          <w:sz w:val="24"/>
          <w:u w:val="none" w:color="auto"/>
        </w:rPr>
        <w:t>根据《湖南省永州市主体功能区规划（2014-2020）》中相关内容，永州市根据资源环境承载力、开发</w:t>
      </w:r>
      <w:r>
        <w:rPr>
          <w:rFonts w:hint="default"/>
        </w:rPr>
        <w:t>现状</w:t>
      </w:r>
      <w:r>
        <w:rPr>
          <w:rFonts w:hint="default" w:ascii="Times New Roman" w:hAnsi="Times New Roman" w:cs="Times New Roman"/>
          <w:bCs/>
          <w:spacing w:val="6"/>
          <w:sz w:val="24"/>
          <w:u w:val="none" w:color="auto"/>
        </w:rPr>
        <w:t>和发展潜力，将国土空间划分为重点开发区、农产品主产区、重点生态功能区、</w:t>
      </w:r>
      <w:r>
        <w:rPr>
          <w:rFonts w:hint="default"/>
        </w:rPr>
        <w:t>禁止</w:t>
      </w:r>
      <w:r>
        <w:rPr>
          <w:rFonts w:hint="default" w:ascii="Times New Roman" w:hAnsi="Times New Roman" w:cs="Times New Roman"/>
          <w:bCs/>
          <w:spacing w:val="6"/>
          <w:sz w:val="24"/>
          <w:u w:val="none" w:color="auto"/>
        </w:rPr>
        <w:t>开发区四类主体功能区。</w:t>
      </w:r>
    </w:p>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Cs/>
          <w:spacing w:val="6"/>
          <w:sz w:val="24"/>
          <w:u w:val="none" w:color="auto"/>
        </w:rPr>
      </w:pPr>
      <w:r>
        <w:rPr>
          <w:rFonts w:hint="default" w:ascii="Times New Roman" w:hAnsi="Times New Roman" w:cs="Times New Roman"/>
          <w:bCs/>
          <w:spacing w:val="6"/>
          <w:sz w:val="24"/>
          <w:u w:val="none" w:color="auto"/>
        </w:rPr>
        <w:t>本项目位于蓝山县，蓝山县属于重点生态功能区，属于限制进行大规模高强度工业化城镇化开发的</w:t>
      </w:r>
      <w:r>
        <w:rPr>
          <w:rFonts w:hint="default"/>
        </w:rPr>
        <w:t>生态</w:t>
      </w:r>
      <w:r>
        <w:rPr>
          <w:rFonts w:hint="default" w:ascii="Times New Roman" w:hAnsi="Times New Roman" w:cs="Times New Roman"/>
          <w:bCs/>
          <w:spacing w:val="6"/>
          <w:sz w:val="24"/>
          <w:u w:val="none" w:color="auto"/>
        </w:rPr>
        <w:t>区域，本项目为风电项目，不属于《湖南省永州市主体功能区规划》中重点生态功能区严格控制的高污染高风险行业，属于其中鼓励的低污染、无污染的项目。本目所涉区域未涉及自然保护区、风景名胜区、森林公园等环境敏感区域。</w:t>
      </w:r>
    </w:p>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Cs/>
          <w:spacing w:val="6"/>
          <w:sz w:val="24"/>
          <w:u w:val="none" w:color="auto"/>
        </w:rPr>
      </w:pPr>
      <w:r>
        <w:rPr>
          <w:rFonts w:hint="default" w:ascii="Times New Roman" w:hAnsi="Times New Roman" w:cs="Times New Roman"/>
          <w:bCs/>
          <w:spacing w:val="6"/>
          <w:sz w:val="24"/>
          <w:u w:val="none" w:color="auto"/>
        </w:rPr>
        <w:t>因此，本项目</w:t>
      </w:r>
      <w:r>
        <w:rPr>
          <w:rFonts w:hint="default"/>
        </w:rPr>
        <w:t>建设</w:t>
      </w:r>
      <w:r>
        <w:rPr>
          <w:rFonts w:hint="default" w:ascii="Times New Roman" w:hAnsi="Times New Roman" w:cs="Times New Roman"/>
          <w:bCs/>
          <w:spacing w:val="6"/>
          <w:sz w:val="24"/>
          <w:u w:val="none" w:color="auto"/>
        </w:rPr>
        <w:t>与《湖南省永州市主体功能区划》相符。</w:t>
      </w:r>
    </w:p>
    <w:p>
      <w:pPr>
        <w:keepNext w:val="0"/>
        <w:keepLines w:val="0"/>
        <w:pageBreakBefore w:val="0"/>
        <w:widowControl w:val="0"/>
        <w:kinsoku/>
        <w:wordWrap/>
        <w:overflowPunct/>
        <w:topLinePunct w:val="0"/>
        <w:autoSpaceDE/>
        <w:autoSpaceDN/>
        <w:bidi w:val="0"/>
        <w:adjustRightInd w:val="0"/>
        <w:snapToGrid w:val="0"/>
        <w:spacing w:line="360" w:lineRule="auto"/>
        <w:ind w:firstLine="505" w:firstLineChars="200"/>
        <w:textAlignment w:val="auto"/>
        <w:rPr>
          <w:rFonts w:hint="default" w:ascii="Times New Roman" w:hAnsi="Times New Roman" w:cs="Times New Roman"/>
          <w:b/>
          <w:bCs w:val="0"/>
          <w:spacing w:val="6"/>
          <w:sz w:val="24"/>
          <w:u w:val="none" w:color="auto"/>
        </w:rPr>
      </w:pPr>
      <w:r>
        <w:rPr>
          <w:rFonts w:hint="eastAsia" w:ascii="Times New Roman" w:hAnsi="Times New Roman" w:cs="Times New Roman"/>
          <w:b/>
          <w:bCs w:val="0"/>
          <w:spacing w:val="6"/>
          <w:sz w:val="24"/>
          <w:u w:val="none" w:color="auto"/>
          <w:lang w:eastAsia="zh-CN"/>
        </w:rPr>
        <w:t>（</w:t>
      </w:r>
      <w:r>
        <w:rPr>
          <w:rFonts w:hint="eastAsia" w:ascii="Times New Roman" w:hAnsi="Times New Roman" w:cs="Times New Roman"/>
          <w:b/>
          <w:bCs w:val="0"/>
          <w:spacing w:val="6"/>
          <w:sz w:val="24"/>
          <w:u w:val="none" w:color="auto"/>
          <w:lang w:val="en-US" w:eastAsia="zh-CN"/>
        </w:rPr>
        <w:t>3</w:t>
      </w:r>
      <w:r>
        <w:rPr>
          <w:rFonts w:hint="eastAsia" w:ascii="Times New Roman" w:hAnsi="Times New Roman" w:cs="Times New Roman"/>
          <w:b/>
          <w:bCs w:val="0"/>
          <w:spacing w:val="6"/>
          <w:sz w:val="24"/>
          <w:u w:val="none" w:color="auto"/>
          <w:lang w:eastAsia="zh-CN"/>
        </w:rPr>
        <w:t>）</w:t>
      </w:r>
      <w:r>
        <w:rPr>
          <w:rFonts w:hint="default" w:ascii="Times New Roman" w:hAnsi="Times New Roman" w:cs="Times New Roman"/>
          <w:b/>
          <w:bCs w:val="0"/>
          <w:spacing w:val="6"/>
          <w:sz w:val="24"/>
          <w:u w:val="none" w:color="auto"/>
        </w:rPr>
        <w:t>《湖南省国家重点生态功能区产业准入负面清单》</w:t>
      </w:r>
    </w:p>
    <w:p>
      <w:pPr>
        <w:bidi w:val="0"/>
        <w:rPr>
          <w:rFonts w:hint="default" w:ascii="Times New Roman" w:hAnsi="Times New Roman" w:eastAsia="宋体" w:cs="Times New Roman"/>
          <w:bCs/>
          <w:spacing w:val="6"/>
          <w:sz w:val="24"/>
          <w:u w:val="none" w:color="auto"/>
        </w:rPr>
      </w:pPr>
      <w:r>
        <w:rPr>
          <w:rFonts w:hint="default" w:ascii="Times New Roman" w:hAnsi="Times New Roman" w:eastAsia="宋体" w:cs="Times New Roman"/>
          <w:bCs/>
          <w:spacing w:val="6"/>
          <w:sz w:val="24"/>
          <w:u w:val="none" w:color="auto"/>
        </w:rPr>
        <w:t>根据湖南省发展和改革委员会发布的《湖南省国家重点生态功能区产业准入负面清单》（湘发改规划〔2018〕</w:t>
      </w:r>
      <w:r>
        <w:rPr>
          <w:rFonts w:hint="eastAsia" w:cs="Times New Roman"/>
          <w:bCs/>
          <w:spacing w:val="6"/>
          <w:sz w:val="24"/>
          <w:u w:val="none" w:color="auto"/>
          <w:lang w:val="en-US" w:eastAsia="zh-CN"/>
        </w:rPr>
        <w:t>373</w:t>
      </w:r>
      <w:r>
        <w:rPr>
          <w:rFonts w:hint="default" w:ascii="Times New Roman" w:hAnsi="Times New Roman" w:eastAsia="宋体" w:cs="Times New Roman"/>
          <w:bCs/>
          <w:spacing w:val="6"/>
          <w:sz w:val="24"/>
          <w:u w:val="none" w:color="auto"/>
        </w:rPr>
        <w:t>号）</w:t>
      </w:r>
      <w:r>
        <w:rPr>
          <w:rFonts w:hint="eastAsia" w:cs="Times New Roman"/>
          <w:bCs/>
          <w:spacing w:val="6"/>
          <w:sz w:val="24"/>
          <w:u w:val="none" w:color="auto"/>
          <w:lang w:eastAsia="zh-CN"/>
        </w:rPr>
        <w:t>，蓝山县地处南岭山地森林及生物多样性国家重点生态功能区。本负面清单涉及国民经济行业4个门类10个大类14个中类15个小类。其中禁止类涉及国民经济行业1个门类1大类2中类2小类，限制类涉及国民经济行业3个门类10大类12中类13小类。</w:t>
      </w:r>
      <w:r>
        <w:rPr>
          <w:rFonts w:hint="default" w:ascii="Times New Roman" w:hAnsi="Times New Roman" w:eastAsia="宋体" w:cs="Times New Roman"/>
          <w:bCs/>
          <w:spacing w:val="6"/>
          <w:sz w:val="24"/>
          <w:u w:val="none" w:color="auto"/>
        </w:rPr>
        <w:t>本项目属于风力发电，未被列入</w:t>
      </w:r>
      <w:r>
        <w:rPr>
          <w:rFonts w:hint="eastAsia" w:cs="Times New Roman"/>
          <w:bCs/>
          <w:spacing w:val="6"/>
          <w:sz w:val="24"/>
          <w:u w:val="none" w:color="auto"/>
          <w:lang w:eastAsia="zh-CN"/>
        </w:rPr>
        <w:t>蓝山</w:t>
      </w:r>
      <w:r>
        <w:rPr>
          <w:rFonts w:hint="default" w:ascii="Times New Roman" w:hAnsi="Times New Roman" w:eastAsia="宋体" w:cs="Times New Roman"/>
          <w:bCs/>
          <w:spacing w:val="6"/>
          <w:sz w:val="24"/>
          <w:u w:val="none" w:color="auto"/>
        </w:rPr>
        <w:t>县产业准入负面清单中，因此，项目与《湖南省新增19个国家重点生态功能区产业准入负面清单（试行）》相符。</w:t>
      </w:r>
    </w:p>
    <w:p>
      <w:pPr>
        <w:pStyle w:val="457"/>
        <w:ind w:firstLine="643"/>
        <w:rPr>
          <w:rFonts w:hint="eastAsia" w:ascii="Times New Roman" w:hAnsi="Times New Roman" w:eastAsia="宋体" w:cs="Times New Roman"/>
          <w:color w:val="000000" w:themeColor="text1"/>
          <w:u w:val="none" w:color="auto"/>
          <w:lang w:val="en-US" w:eastAsia="zh-CN"/>
          <w14:textFill>
            <w14:solidFill>
              <w14:schemeClr w14:val="tx1"/>
            </w14:solidFill>
          </w14:textFill>
        </w:rPr>
      </w:pPr>
      <w:bookmarkStart w:id="112" w:name="_Toc2320"/>
      <w:r>
        <w:rPr>
          <w:rFonts w:hint="eastAsia" w:ascii="Times New Roman" w:hAnsi="Times New Roman" w:eastAsia="宋体" w:cs="Times New Roman"/>
          <w:color w:val="000000" w:themeColor="text1"/>
          <w:u w:val="none" w:color="auto"/>
          <w:lang w:val="en-US" w:eastAsia="zh-CN"/>
          <w14:textFill>
            <w14:solidFill>
              <w14:schemeClr w14:val="tx1"/>
            </w14:solidFill>
          </w14:textFill>
        </w:rPr>
        <w:t>与《湖南省饮用水水源保护条例》的符合性分析</w:t>
      </w:r>
      <w:bookmarkEnd w:id="112"/>
    </w:p>
    <w:p>
      <w:pPr>
        <w:bidi w:val="0"/>
        <w:rPr>
          <w:rFonts w:hint="default" w:ascii="Times New Roman" w:hAnsi="Times New Roman" w:eastAsia="宋体" w:cs="Times New Roman"/>
          <w:b w:val="0"/>
          <w:bCs/>
          <w:spacing w:val="6"/>
          <w:sz w:val="24"/>
          <w:u w:val="none" w:color="auto"/>
          <w:lang w:val="en-US" w:eastAsia="zh-CN"/>
        </w:rPr>
      </w:pPr>
      <w:r>
        <w:rPr>
          <w:rFonts w:hint="eastAsia"/>
          <w:kern w:val="0"/>
          <w:sz w:val="24"/>
          <w:u w:val="none" w:color="auto"/>
          <w:lang w:eastAsia="zh-CN"/>
        </w:rPr>
        <w:t>本项目所有风机位均不在</w:t>
      </w:r>
      <w:r>
        <w:rPr>
          <w:rFonts w:hint="eastAsia"/>
          <w:kern w:val="0"/>
          <w:sz w:val="24"/>
          <w:u w:val="none" w:color="auto"/>
          <w:lang w:val="en-US" w:eastAsia="zh-CN"/>
        </w:rPr>
        <w:t>饮用水源</w:t>
      </w:r>
      <w:r>
        <w:rPr>
          <w:rFonts w:hint="eastAsia"/>
          <w:kern w:val="0"/>
          <w:sz w:val="24"/>
          <w:u w:val="none" w:color="auto"/>
          <w:lang w:eastAsia="zh-CN"/>
        </w:rPr>
        <w:t>保护区范围内，</w:t>
      </w:r>
      <w:r>
        <w:rPr>
          <w:rFonts w:hint="eastAsia"/>
          <w:kern w:val="0"/>
          <w:sz w:val="24"/>
          <w:u w:val="none" w:color="auto"/>
          <w:lang w:val="en-US" w:eastAsia="zh-CN"/>
        </w:rPr>
        <w:t>项目周边分布有</w:t>
      </w:r>
      <w:r>
        <w:rPr>
          <w:rFonts w:hint="eastAsia"/>
        </w:rPr>
        <w:t>蓝山县千人以上饮用水水源保护区</w:t>
      </w:r>
      <w:r>
        <w:rPr>
          <w:rFonts w:hint="eastAsia"/>
          <w:kern w:val="0"/>
          <w:sz w:val="24"/>
          <w:u w:val="none" w:color="auto"/>
          <w:lang w:val="en-US" w:eastAsia="zh-CN"/>
        </w:rPr>
        <w:t>。</w:t>
      </w:r>
      <w:r>
        <w:rPr>
          <w:rFonts w:hint="eastAsia" w:ascii="Times New Roman" w:hAnsi="Times New Roman" w:eastAsia="宋体" w:cs="Times New Roman"/>
          <w:b w:val="0"/>
          <w:bCs/>
          <w:spacing w:val="6"/>
          <w:sz w:val="24"/>
          <w:u w:val="none" w:color="auto"/>
          <w:lang w:val="en-US" w:eastAsia="zh-CN"/>
        </w:rPr>
        <w:t>本项目与湖南省饮用水源保护条例符合性分析见下表。</w:t>
      </w:r>
    </w:p>
    <w:p>
      <w:pPr>
        <w:pStyle w:val="3588"/>
        <w:bidi w:val="0"/>
        <w:rPr>
          <w:rFonts w:hint="eastAsia"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与《湖南省饮用水水源保护条例》符合性分析一览表</w:t>
      </w:r>
    </w:p>
    <w:tbl>
      <w:tblPr>
        <w:tblStyle w:val="89"/>
        <w:tblW w:w="925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196"/>
        <w:gridCol w:w="3172"/>
        <w:gridCol w:w="8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5196" w:type="dxa"/>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保护措施要求</w:t>
            </w:r>
          </w:p>
        </w:tc>
        <w:tc>
          <w:tcPr>
            <w:tcW w:w="3172" w:type="dxa"/>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本</w:t>
            </w:r>
            <w:r>
              <w:rPr>
                <w:rFonts w:hint="eastAsia" w:ascii="Times New Roman" w:hAnsi="Times New Roman" w:eastAsia="宋体" w:cs="Times New Roman"/>
                <w:bCs/>
                <w:spacing w:val="6"/>
                <w:sz w:val="21"/>
                <w:szCs w:val="21"/>
                <w:highlight w:val="none"/>
                <w:u w:val="none" w:color="auto"/>
                <w:vertAlign w:val="baseline"/>
                <w:lang w:eastAsia="zh-CN"/>
              </w:rPr>
              <w:t>项目情况</w:t>
            </w:r>
          </w:p>
        </w:tc>
        <w:tc>
          <w:tcPr>
            <w:tcW w:w="891" w:type="dxa"/>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96" w:type="dxa"/>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第十九条 在饮用水水源二级保护区内，除第十八条规定的禁止行为外，还禁止下列行为：</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（一）设置排污口；</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（二）新建、改建、扩建排放污染物的建设项目；</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（三）设置畜禽养殖场、养殖小区；</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（四）设置装卸垃圾、油类及其他有毒有害物品的码头；</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（五）水上运输剧毒化学品及国家禁止运输的其他危险化学品；</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（六）使用农药。</w:t>
            </w:r>
          </w:p>
        </w:tc>
        <w:tc>
          <w:tcPr>
            <w:tcW w:w="3172" w:type="dxa"/>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本项目</w:t>
            </w:r>
            <w:r>
              <w:rPr>
                <w:rFonts w:hint="eastAsia" w:cs="Times New Roman"/>
                <w:sz w:val="21"/>
                <w:szCs w:val="21"/>
                <w:u w:val="none" w:color="auto"/>
                <w:lang w:val="en-US" w:eastAsia="zh-CN"/>
              </w:rPr>
              <w:t>12、13号风机之间场内道路紧邻</w:t>
            </w:r>
            <w:r>
              <w:rPr>
                <w:rFonts w:hint="eastAsia" w:ascii="Times New Roman" w:hAnsi="Times New Roman" w:cs="Times New Roman"/>
                <w:sz w:val="21"/>
                <w:szCs w:val="21"/>
                <w:u w:val="none" w:color="auto"/>
                <w:lang w:val="en-US" w:eastAsia="zh-CN"/>
              </w:rPr>
              <w:t>蓝山县</w:t>
            </w:r>
            <w:r>
              <w:rPr>
                <w:rFonts w:hint="default" w:ascii="Times New Roman" w:hAnsi="Times New Roman" w:eastAsia="宋体" w:cs="Times New Roman"/>
                <w:sz w:val="21"/>
                <w:szCs w:val="21"/>
                <w:u w:val="none" w:color="auto"/>
              </w:rPr>
              <w:t>塔峰镇岭脚村山溪水饮用水水源保护区</w:t>
            </w:r>
            <w:r>
              <w:rPr>
                <w:rFonts w:hint="eastAsia" w:cs="Times New Roman"/>
                <w:sz w:val="21"/>
                <w:szCs w:val="21"/>
                <w:u w:val="none" w:color="auto"/>
                <w:lang w:val="en-US" w:eastAsia="zh-CN"/>
              </w:rPr>
              <w:t>二级陆域保护区</w:t>
            </w:r>
            <w:r>
              <w:rPr>
                <w:rFonts w:hint="eastAsia" w:ascii="Times New Roman" w:hAnsi="Times New Roman" w:eastAsia="宋体" w:cs="Times New Roman"/>
                <w:sz w:val="21"/>
                <w:szCs w:val="21"/>
                <w:u w:val="none" w:color="auto"/>
                <w:lang w:eastAsia="zh-CN"/>
              </w:rPr>
              <w:t>，</w:t>
            </w:r>
            <w:r>
              <w:rPr>
                <w:rFonts w:hint="eastAsia" w:ascii="Times New Roman" w:hAnsi="Times New Roman" w:eastAsia="宋体" w:cs="Times New Roman"/>
                <w:bCs/>
                <w:spacing w:val="6"/>
                <w:sz w:val="21"/>
                <w:szCs w:val="21"/>
                <w:u w:val="none" w:color="auto"/>
                <w:vertAlign w:val="baseline"/>
                <w:lang w:eastAsia="zh-CN"/>
              </w:rPr>
              <w:t>施工废水经隔油沉淀池处理后回用，不外排，运营期无废水、废气、废渣排放。本项目</w:t>
            </w:r>
            <w:r>
              <w:rPr>
                <w:rFonts w:hint="eastAsia" w:cs="Times New Roman"/>
                <w:bCs/>
                <w:spacing w:val="6"/>
                <w:sz w:val="21"/>
                <w:szCs w:val="21"/>
                <w:u w:val="none" w:color="auto"/>
                <w:vertAlign w:val="baseline"/>
                <w:lang w:eastAsia="zh-CN"/>
              </w:rPr>
              <w:t>汇集站</w:t>
            </w:r>
            <w:r>
              <w:rPr>
                <w:rFonts w:hint="eastAsia" w:ascii="Times New Roman" w:hAnsi="Times New Roman" w:eastAsia="宋体" w:cs="Times New Roman"/>
                <w:bCs/>
                <w:spacing w:val="6"/>
                <w:sz w:val="21"/>
                <w:szCs w:val="21"/>
                <w:u w:val="none" w:color="auto"/>
                <w:vertAlign w:val="baseline"/>
                <w:lang w:eastAsia="zh-CN"/>
              </w:rPr>
              <w:t>不在饮用水源保护区范围内，生活污水经处理后</w:t>
            </w:r>
            <w:r>
              <w:rPr>
                <w:rFonts w:hint="eastAsia" w:cs="Times New Roman"/>
                <w:bCs/>
                <w:spacing w:val="6"/>
                <w:sz w:val="21"/>
                <w:szCs w:val="21"/>
                <w:u w:val="none" w:color="auto"/>
                <w:vertAlign w:val="baseline"/>
                <w:lang w:eastAsia="zh-CN"/>
              </w:rPr>
              <w:t>回</w:t>
            </w:r>
            <w:r>
              <w:rPr>
                <w:rFonts w:hint="eastAsia" w:ascii="Times New Roman" w:hAnsi="Times New Roman" w:eastAsia="宋体" w:cs="Times New Roman"/>
                <w:bCs/>
                <w:spacing w:val="6"/>
                <w:sz w:val="21"/>
                <w:szCs w:val="21"/>
                <w:u w:val="none" w:color="auto"/>
                <w:vertAlign w:val="baseline"/>
                <w:lang w:eastAsia="zh-CN"/>
              </w:rPr>
              <w:t>用于</w:t>
            </w:r>
            <w:r>
              <w:rPr>
                <w:rFonts w:hint="eastAsia" w:cs="Times New Roman"/>
                <w:bCs/>
                <w:spacing w:val="6"/>
                <w:sz w:val="21"/>
                <w:szCs w:val="21"/>
                <w:u w:val="none" w:color="auto"/>
                <w:vertAlign w:val="baseline"/>
                <w:lang w:eastAsia="zh-CN"/>
              </w:rPr>
              <w:t>绿化</w:t>
            </w:r>
            <w:r>
              <w:rPr>
                <w:rFonts w:hint="eastAsia" w:ascii="Times New Roman" w:hAnsi="Times New Roman" w:eastAsia="宋体" w:cs="Times New Roman"/>
                <w:bCs/>
                <w:spacing w:val="6"/>
                <w:sz w:val="21"/>
                <w:szCs w:val="21"/>
                <w:u w:val="none" w:color="auto"/>
                <w:vertAlign w:val="baseline"/>
                <w:lang w:eastAsia="zh-CN"/>
              </w:rPr>
              <w:t>，不设置排污口。</w:t>
            </w:r>
          </w:p>
        </w:tc>
        <w:tc>
          <w:tcPr>
            <w:tcW w:w="891" w:type="dxa"/>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34" w:hRule="atLeast"/>
          <w:jc w:val="center"/>
        </w:trPr>
        <w:tc>
          <w:tcPr>
            <w:tcW w:w="5196" w:type="dxa"/>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第二十条 在饮用水水源一级保护区内，除第十八条、第十九条规定的禁止行为外，还禁止下列行为：</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（一）新建、改建、扩建与供水设施和保护水源无关的建设项目；</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（二）水上餐饮；</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（三）网箱养殖、旅游、游泳、垂钓。</w:t>
            </w:r>
          </w:p>
        </w:tc>
        <w:tc>
          <w:tcPr>
            <w:tcW w:w="3172" w:type="dxa"/>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eastAsia="zh-CN"/>
              </w:rPr>
              <w:t>本项目不在</w:t>
            </w:r>
            <w:r>
              <w:rPr>
                <w:rFonts w:hint="default" w:ascii="Times New Roman" w:hAnsi="Times New Roman" w:eastAsia="宋体" w:cs="Times New Roman"/>
                <w:sz w:val="21"/>
                <w:szCs w:val="21"/>
                <w:u w:val="none" w:color="auto"/>
              </w:rPr>
              <w:t>饮用水水源保护区</w:t>
            </w:r>
            <w:r>
              <w:rPr>
                <w:rFonts w:hint="eastAsia" w:ascii="Times New Roman" w:hAnsi="Times New Roman" w:eastAsia="宋体" w:cs="Times New Roman"/>
                <w:bCs/>
                <w:spacing w:val="6"/>
                <w:sz w:val="21"/>
                <w:szCs w:val="21"/>
                <w:u w:val="none" w:color="auto"/>
                <w:vertAlign w:val="baseline"/>
                <w:lang w:eastAsia="zh-CN"/>
              </w:rPr>
              <w:t>一级保护区范围内</w:t>
            </w:r>
            <w:r>
              <w:rPr>
                <w:rFonts w:hint="eastAsia" w:ascii="Times New Roman" w:hAnsi="Times New Roman" w:eastAsia="宋体" w:cs="Times New Roman"/>
                <w:b w:val="0"/>
                <w:bCs/>
                <w:spacing w:val="6"/>
                <w:sz w:val="21"/>
                <w:szCs w:val="21"/>
                <w:u w:val="none" w:color="auto"/>
                <w:lang w:val="en-US" w:eastAsia="zh-CN"/>
              </w:rPr>
              <w:t>。</w:t>
            </w:r>
          </w:p>
        </w:tc>
        <w:tc>
          <w:tcPr>
            <w:tcW w:w="891" w:type="dxa"/>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9" w:hRule="atLeast"/>
          <w:jc w:val="center"/>
        </w:trPr>
        <w:tc>
          <w:tcPr>
            <w:tcW w:w="5196" w:type="dxa"/>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第二十一条 在饮用水水源二级保护区划定前已建成的排放污染物的建设项目、在饮用水水源一级保护区划定前已建成的与供水设施和保护水源无关的建设项目，由县级以上人民政府责令拆除或者关闭。因建设项目和设施被拆除或者关闭，导致所有者或者经营者的合法权益受到损害的，有关人民政府应当依法予以补偿。</w:t>
            </w:r>
          </w:p>
        </w:tc>
        <w:tc>
          <w:tcPr>
            <w:tcW w:w="3172" w:type="dxa"/>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本项目</w:t>
            </w:r>
            <w:r>
              <w:rPr>
                <w:rFonts w:hint="eastAsia" w:cs="Times New Roman"/>
                <w:bCs/>
                <w:spacing w:val="6"/>
                <w:sz w:val="21"/>
                <w:szCs w:val="21"/>
                <w:u w:val="none" w:color="auto"/>
                <w:vertAlign w:val="baseline"/>
                <w:lang w:val="en-US" w:eastAsia="zh-CN"/>
              </w:rPr>
              <w:t>不设置排污口，运营期无废水排放</w:t>
            </w:r>
            <w:r>
              <w:rPr>
                <w:rFonts w:hint="eastAsia" w:ascii="Times New Roman" w:hAnsi="Times New Roman" w:eastAsia="宋体" w:cs="Times New Roman"/>
                <w:bCs/>
                <w:spacing w:val="6"/>
                <w:sz w:val="21"/>
                <w:szCs w:val="21"/>
                <w:u w:val="none" w:color="auto"/>
                <w:vertAlign w:val="baseline"/>
                <w:lang w:eastAsia="zh-CN"/>
              </w:rPr>
              <w:t>。</w:t>
            </w:r>
          </w:p>
        </w:tc>
        <w:tc>
          <w:tcPr>
            <w:tcW w:w="891" w:type="dxa"/>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25" w:hRule="atLeast"/>
          <w:jc w:val="center"/>
        </w:trPr>
        <w:tc>
          <w:tcPr>
            <w:tcW w:w="5196" w:type="dxa"/>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第二十三条 乡（镇）、村饮用水水源保护范围内禁止下列行为：</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（一）设置畜禽养殖场、养殖小区；</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（二）使用剧毒、高残留农药；</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（三）向水体倾倒排放生活垃圾、污水以及其他可能污染水体的物质；</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（四）其他可能污染饮用水水体的行为。</w:t>
            </w:r>
          </w:p>
        </w:tc>
        <w:tc>
          <w:tcPr>
            <w:tcW w:w="3172" w:type="dxa"/>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fldChar w:fldCharType="begin"/>
            </w:r>
            <w:r>
              <w:rPr>
                <w:rFonts w:hint="eastAsia" w:ascii="Times New Roman" w:hAnsi="Times New Roman" w:eastAsia="宋体" w:cs="Times New Roman"/>
                <w:bCs/>
                <w:spacing w:val="6"/>
                <w:sz w:val="21"/>
                <w:szCs w:val="21"/>
                <w:u w:val="none" w:color="auto"/>
                <w:vertAlign w:val="baseline"/>
                <w:lang w:eastAsia="zh-CN"/>
              </w:rPr>
              <w:instrText xml:space="preserve"> = 1 \* GB3 \* MERGEFORMAT </w:instrText>
            </w:r>
            <w:r>
              <w:rPr>
                <w:rFonts w:hint="eastAsia" w:ascii="Times New Roman" w:hAnsi="Times New Roman" w:eastAsia="宋体" w:cs="Times New Roman"/>
                <w:bCs/>
                <w:spacing w:val="6"/>
                <w:sz w:val="21"/>
                <w:szCs w:val="21"/>
                <w:u w:val="none" w:color="auto"/>
                <w:vertAlign w:val="baseline"/>
                <w:lang w:eastAsia="zh-CN"/>
              </w:rPr>
              <w:fldChar w:fldCharType="separate"/>
            </w:r>
            <w:r>
              <w:rPr>
                <w:sz w:val="21"/>
                <w:szCs w:val="21"/>
                <w:u w:val="none" w:color="auto"/>
              </w:rPr>
              <w:t>①</w:t>
            </w:r>
            <w:r>
              <w:rPr>
                <w:rFonts w:hint="eastAsia" w:ascii="Times New Roman" w:hAnsi="Times New Roman" w:eastAsia="宋体" w:cs="Times New Roman"/>
                <w:bCs/>
                <w:spacing w:val="6"/>
                <w:sz w:val="21"/>
                <w:szCs w:val="21"/>
                <w:u w:val="none" w:color="auto"/>
                <w:vertAlign w:val="baseline"/>
                <w:lang w:eastAsia="zh-CN"/>
              </w:rPr>
              <w:fldChar w:fldCharType="end"/>
            </w:r>
            <w:r>
              <w:rPr>
                <w:rFonts w:hint="eastAsia" w:ascii="Times New Roman" w:hAnsi="Times New Roman" w:eastAsia="宋体" w:cs="Times New Roman"/>
                <w:bCs/>
                <w:spacing w:val="6"/>
                <w:sz w:val="21"/>
                <w:szCs w:val="21"/>
                <w:u w:val="none" w:color="auto"/>
                <w:vertAlign w:val="baseline"/>
                <w:lang w:eastAsia="zh-CN"/>
              </w:rPr>
              <w:t>本项目施工废水经沉淀池沉淀后回用，不外排。</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fldChar w:fldCharType="begin"/>
            </w:r>
            <w:r>
              <w:rPr>
                <w:rFonts w:hint="eastAsia" w:ascii="Times New Roman" w:hAnsi="Times New Roman" w:eastAsia="宋体" w:cs="Times New Roman"/>
                <w:bCs/>
                <w:spacing w:val="6"/>
                <w:sz w:val="21"/>
                <w:szCs w:val="21"/>
                <w:u w:val="none" w:color="auto"/>
                <w:vertAlign w:val="baseline"/>
                <w:lang w:eastAsia="zh-CN"/>
              </w:rPr>
              <w:instrText xml:space="preserve"> = 2 \* GB3 \* MERGEFORMAT </w:instrText>
            </w:r>
            <w:r>
              <w:rPr>
                <w:rFonts w:hint="eastAsia" w:ascii="Times New Roman" w:hAnsi="Times New Roman" w:eastAsia="宋体" w:cs="Times New Roman"/>
                <w:bCs/>
                <w:spacing w:val="6"/>
                <w:sz w:val="21"/>
                <w:szCs w:val="21"/>
                <w:u w:val="none" w:color="auto"/>
                <w:vertAlign w:val="baseline"/>
                <w:lang w:eastAsia="zh-CN"/>
              </w:rPr>
              <w:fldChar w:fldCharType="separate"/>
            </w:r>
            <w:r>
              <w:rPr>
                <w:sz w:val="21"/>
                <w:szCs w:val="21"/>
                <w:u w:val="none" w:color="auto"/>
              </w:rPr>
              <w:t>②</w:t>
            </w:r>
            <w:r>
              <w:rPr>
                <w:rFonts w:hint="eastAsia" w:ascii="Times New Roman" w:hAnsi="Times New Roman" w:eastAsia="宋体" w:cs="Times New Roman"/>
                <w:bCs/>
                <w:spacing w:val="6"/>
                <w:sz w:val="21"/>
                <w:szCs w:val="21"/>
                <w:u w:val="none" w:color="auto"/>
                <w:vertAlign w:val="baseline"/>
                <w:lang w:eastAsia="zh-CN"/>
              </w:rPr>
              <w:fldChar w:fldCharType="end"/>
            </w:r>
            <w:r>
              <w:rPr>
                <w:rFonts w:hint="eastAsia" w:ascii="Times New Roman" w:hAnsi="Times New Roman" w:eastAsia="宋体" w:cs="Times New Roman"/>
                <w:bCs/>
                <w:spacing w:val="6"/>
                <w:sz w:val="21"/>
                <w:szCs w:val="21"/>
                <w:u w:val="none" w:color="auto"/>
                <w:vertAlign w:val="baseline"/>
                <w:lang w:eastAsia="zh-CN"/>
              </w:rPr>
              <w:t>严格落实水土保持措施，</w:t>
            </w:r>
            <w:r>
              <w:rPr>
                <w:rFonts w:hint="default" w:ascii="Times New Roman" w:hAnsi="Times New Roman" w:eastAsia="宋体" w:cs="Times New Roman"/>
                <w:bCs/>
                <w:spacing w:val="6"/>
                <w:sz w:val="21"/>
                <w:szCs w:val="21"/>
                <w:u w:val="none" w:color="auto"/>
                <w:vertAlign w:val="baseline"/>
                <w:lang w:eastAsia="zh-CN"/>
              </w:rPr>
              <w:t>工程施工时设置截、排、引流</w:t>
            </w:r>
            <w:r>
              <w:rPr>
                <w:rFonts w:hint="eastAsia" w:ascii="Times New Roman" w:hAnsi="Times New Roman" w:eastAsia="宋体" w:cs="Times New Roman"/>
                <w:bCs/>
                <w:spacing w:val="6"/>
                <w:sz w:val="21"/>
                <w:szCs w:val="21"/>
                <w:u w:val="none" w:color="auto"/>
                <w:vertAlign w:val="baseline"/>
                <w:lang w:eastAsia="zh-CN"/>
              </w:rPr>
              <w:t>、</w:t>
            </w:r>
            <w:r>
              <w:rPr>
                <w:rFonts w:hint="default" w:ascii="Times New Roman" w:hAnsi="Times New Roman" w:eastAsia="宋体" w:cs="Times New Roman"/>
                <w:bCs/>
                <w:spacing w:val="6"/>
                <w:sz w:val="21"/>
                <w:szCs w:val="21"/>
                <w:u w:val="none" w:color="auto"/>
                <w:vertAlign w:val="baseline"/>
                <w:lang w:eastAsia="zh-CN"/>
              </w:rPr>
              <w:t>拦挡措施</w:t>
            </w:r>
            <w:r>
              <w:rPr>
                <w:rFonts w:hint="eastAsia" w:ascii="Times New Roman" w:hAnsi="Times New Roman" w:eastAsia="宋体" w:cs="Times New Roman"/>
                <w:bCs/>
                <w:spacing w:val="6"/>
                <w:sz w:val="21"/>
                <w:szCs w:val="21"/>
                <w:u w:val="none" w:color="auto"/>
                <w:vertAlign w:val="baseline"/>
                <w:lang w:eastAsia="zh-CN"/>
              </w:rPr>
              <w:t>，做好临时堆土覆盖措施，</w:t>
            </w:r>
            <w:r>
              <w:rPr>
                <w:rFonts w:hint="default" w:ascii="Times New Roman" w:hAnsi="Times New Roman" w:eastAsia="宋体" w:cs="Times New Roman"/>
                <w:bCs/>
                <w:spacing w:val="6"/>
                <w:sz w:val="21"/>
                <w:szCs w:val="21"/>
                <w:u w:val="none" w:color="auto"/>
                <w:vertAlign w:val="baseline"/>
                <w:lang w:eastAsia="zh-CN"/>
              </w:rPr>
              <w:t>确保所有</w:t>
            </w:r>
            <w:r>
              <w:rPr>
                <w:rFonts w:hint="eastAsia" w:ascii="Times New Roman" w:hAnsi="Times New Roman" w:eastAsia="宋体" w:cs="Times New Roman"/>
                <w:bCs/>
                <w:spacing w:val="6"/>
                <w:sz w:val="21"/>
                <w:szCs w:val="21"/>
                <w:u w:val="none" w:color="auto"/>
                <w:vertAlign w:val="baseline"/>
                <w:lang w:eastAsia="zh-CN"/>
              </w:rPr>
              <w:t>施工</w:t>
            </w:r>
            <w:r>
              <w:rPr>
                <w:rFonts w:hint="default" w:ascii="Times New Roman" w:hAnsi="Times New Roman" w:eastAsia="宋体" w:cs="Times New Roman"/>
                <w:bCs/>
                <w:spacing w:val="6"/>
                <w:sz w:val="21"/>
                <w:szCs w:val="21"/>
                <w:u w:val="none" w:color="auto"/>
                <w:vertAlign w:val="baseline"/>
                <w:lang w:eastAsia="zh-CN"/>
              </w:rPr>
              <w:t>废水不进入</w:t>
            </w:r>
            <w:r>
              <w:rPr>
                <w:rFonts w:hint="eastAsia" w:cs="Times New Roman"/>
                <w:bCs/>
                <w:spacing w:val="6"/>
                <w:sz w:val="21"/>
                <w:szCs w:val="21"/>
                <w:u w:val="none" w:color="auto"/>
                <w:vertAlign w:val="baseline"/>
                <w:lang w:val="en-US" w:eastAsia="zh-CN"/>
              </w:rPr>
              <w:t>两江口</w:t>
            </w:r>
            <w:r>
              <w:rPr>
                <w:rFonts w:hint="eastAsia" w:ascii="Times New Roman" w:hAnsi="Times New Roman" w:eastAsia="宋体" w:cs="Times New Roman"/>
                <w:bCs/>
                <w:spacing w:val="6"/>
                <w:sz w:val="21"/>
                <w:szCs w:val="21"/>
                <w:u w:val="none" w:color="auto"/>
                <w:vertAlign w:val="baseline"/>
                <w:lang w:eastAsia="zh-CN"/>
              </w:rPr>
              <w:t>水库汇水范围</w:t>
            </w:r>
            <w:r>
              <w:rPr>
                <w:rFonts w:hint="default" w:ascii="Times New Roman" w:hAnsi="Times New Roman" w:eastAsia="宋体" w:cs="Times New Roman"/>
                <w:bCs/>
                <w:spacing w:val="6"/>
                <w:sz w:val="21"/>
                <w:szCs w:val="21"/>
                <w:u w:val="none" w:color="auto"/>
                <w:vertAlign w:val="baseline"/>
                <w:lang w:eastAsia="zh-CN"/>
              </w:rPr>
              <w:t>内</w:t>
            </w:r>
            <w:r>
              <w:rPr>
                <w:rFonts w:hint="eastAsia" w:ascii="Times New Roman" w:hAnsi="Times New Roman" w:eastAsia="宋体" w:cs="Times New Roman"/>
                <w:bCs/>
                <w:spacing w:val="6"/>
                <w:sz w:val="21"/>
                <w:szCs w:val="21"/>
                <w:u w:val="none" w:color="auto"/>
                <w:vertAlign w:val="baseline"/>
                <w:lang w:eastAsia="zh-CN"/>
              </w:rPr>
              <w:t>。</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fldChar w:fldCharType="begin"/>
            </w:r>
            <w:r>
              <w:rPr>
                <w:rFonts w:hint="eastAsia" w:ascii="Times New Roman" w:hAnsi="Times New Roman" w:eastAsia="宋体" w:cs="Times New Roman"/>
                <w:bCs/>
                <w:spacing w:val="6"/>
                <w:sz w:val="21"/>
                <w:szCs w:val="21"/>
                <w:u w:val="none" w:color="auto"/>
                <w:vertAlign w:val="baseline"/>
                <w:lang w:eastAsia="zh-CN"/>
              </w:rPr>
              <w:instrText xml:space="preserve"> = 3 \* GB3 \* MERGEFORMAT </w:instrText>
            </w:r>
            <w:r>
              <w:rPr>
                <w:rFonts w:hint="eastAsia" w:ascii="Times New Roman" w:hAnsi="Times New Roman" w:eastAsia="宋体" w:cs="Times New Roman"/>
                <w:bCs/>
                <w:spacing w:val="6"/>
                <w:sz w:val="21"/>
                <w:szCs w:val="21"/>
                <w:u w:val="none" w:color="auto"/>
                <w:vertAlign w:val="baseline"/>
                <w:lang w:eastAsia="zh-CN"/>
              </w:rPr>
              <w:fldChar w:fldCharType="separate"/>
            </w:r>
            <w:r>
              <w:rPr>
                <w:sz w:val="21"/>
                <w:szCs w:val="21"/>
                <w:u w:val="none" w:color="auto"/>
              </w:rPr>
              <w:t>③</w:t>
            </w:r>
            <w:r>
              <w:rPr>
                <w:rFonts w:hint="eastAsia" w:ascii="Times New Roman" w:hAnsi="Times New Roman" w:eastAsia="宋体" w:cs="Times New Roman"/>
                <w:bCs/>
                <w:spacing w:val="6"/>
                <w:sz w:val="21"/>
                <w:szCs w:val="21"/>
                <w:u w:val="none" w:color="auto"/>
                <w:vertAlign w:val="baseline"/>
                <w:lang w:eastAsia="zh-CN"/>
              </w:rPr>
              <w:fldChar w:fldCharType="end"/>
            </w:r>
            <w:r>
              <w:rPr>
                <w:rFonts w:hint="eastAsia" w:ascii="Times New Roman" w:hAnsi="Times New Roman" w:eastAsia="宋体" w:cs="Times New Roman"/>
                <w:bCs/>
                <w:spacing w:val="6"/>
                <w:sz w:val="21"/>
                <w:szCs w:val="21"/>
                <w:u w:val="none" w:color="auto"/>
                <w:vertAlign w:val="baseline"/>
                <w:lang w:eastAsia="zh-CN"/>
              </w:rPr>
              <w:t>运营期风机无废水、废气、废渣排放。</w:t>
            </w:r>
          </w:p>
        </w:tc>
        <w:tc>
          <w:tcPr>
            <w:tcW w:w="891" w:type="dxa"/>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符合</w:t>
            </w:r>
          </w:p>
        </w:tc>
      </w:tr>
    </w:tbl>
    <w:p>
      <w:pPr>
        <w:bidi w:val="0"/>
        <w:rPr>
          <w:rFonts w:hint="eastAsia" w:cs="Times New Roman"/>
          <w:b w:val="0"/>
          <w:bCs/>
          <w:spacing w:val="6"/>
          <w:sz w:val="24"/>
          <w:u w:val="none" w:color="auto"/>
          <w:lang w:val="en-US" w:eastAsia="zh-CN"/>
        </w:rPr>
      </w:pPr>
      <w:r>
        <w:rPr>
          <w:rFonts w:hint="eastAsia" w:cs="Times New Roman"/>
          <w:color w:val="000000"/>
          <w:sz w:val="24"/>
          <w:u w:val="none" w:color="auto"/>
          <w:lang w:val="en-US" w:eastAsia="zh-CN"/>
        </w:rPr>
        <w:t>根据</w:t>
      </w:r>
      <w:r>
        <w:rPr>
          <w:rFonts w:hint="default" w:ascii="Times New Roman" w:hAnsi="Times New Roman" w:cs="Times New Roman"/>
          <w:color w:val="000000"/>
          <w:sz w:val="24"/>
          <w:u w:val="none" w:color="auto"/>
          <w:lang w:val="en-US" w:eastAsia="zh-CN"/>
        </w:rPr>
        <w:t>湖南省生态环境厅出具的《关于反馈2023年重点推进的风电和光伏发电项目意见的函》</w:t>
      </w:r>
      <w:r>
        <w:rPr>
          <w:rFonts w:hint="eastAsia" w:cs="Times New Roman"/>
          <w:color w:val="000000"/>
          <w:sz w:val="24"/>
          <w:u w:val="none" w:color="auto"/>
          <w:lang w:val="en-US" w:eastAsia="zh-CN"/>
        </w:rPr>
        <w:t>，文件中</w:t>
      </w:r>
      <w:r>
        <w:rPr>
          <w:rFonts w:hint="default" w:ascii="Times New Roman" w:hAnsi="Times New Roman" w:cs="Times New Roman"/>
          <w:color w:val="000000"/>
          <w:sz w:val="24"/>
          <w:u w:val="none" w:color="auto"/>
          <w:lang w:val="en-US" w:eastAsia="zh-CN"/>
        </w:rPr>
        <w:t>明确</w:t>
      </w:r>
      <w:r>
        <w:rPr>
          <w:rFonts w:hint="eastAsia" w:cs="Times New Roman"/>
          <w:color w:val="000000"/>
          <w:sz w:val="24"/>
          <w:u w:val="none" w:color="auto"/>
          <w:lang w:val="en-US" w:eastAsia="zh-CN"/>
        </w:rPr>
        <w:t>：</w:t>
      </w:r>
      <w:r>
        <w:rPr>
          <w:rFonts w:hint="default" w:ascii="Times New Roman" w:hAnsi="Times New Roman" w:cs="Times New Roman"/>
          <w:color w:val="000000"/>
          <w:sz w:val="24"/>
          <w:u w:val="none" w:color="auto"/>
          <w:lang w:val="en-US" w:eastAsia="zh-CN"/>
        </w:rPr>
        <w:t>“如建设项目涉及饮用水源二级保护区的，应充分论证对涵养水源的影响，在不破坏水源涵养功能的前提下可以建设”。</w:t>
      </w:r>
      <w:r>
        <w:rPr>
          <w:rFonts w:hint="eastAsia" w:cs="Times New Roman"/>
          <w:color w:val="000000"/>
          <w:sz w:val="24"/>
          <w:u w:val="none" w:color="auto"/>
          <w:lang w:val="en-US" w:eastAsia="zh-CN"/>
        </w:rPr>
        <w:t>本项目场内道路</w:t>
      </w:r>
      <w:r>
        <w:rPr>
          <w:rFonts w:hint="default" w:ascii="Times New Roman" w:hAnsi="Times New Roman" w:cs="Times New Roman"/>
          <w:color w:val="000000"/>
          <w:sz w:val="24"/>
          <w:u w:val="none" w:color="auto"/>
          <w:lang w:val="en-US" w:eastAsia="zh-CN"/>
        </w:rPr>
        <w:t>路段施工期已完成，</w:t>
      </w:r>
      <w:r>
        <w:rPr>
          <w:rFonts w:hint="eastAsia" w:cs="Times New Roman"/>
          <w:color w:val="000000"/>
          <w:sz w:val="24"/>
          <w:u w:val="none" w:color="auto"/>
          <w:lang w:val="en-US" w:eastAsia="zh-CN"/>
        </w:rPr>
        <w:t>正在进行</w:t>
      </w:r>
      <w:r>
        <w:rPr>
          <w:rFonts w:hint="default" w:ascii="Times New Roman" w:hAnsi="Times New Roman" w:cs="Times New Roman"/>
          <w:color w:val="000000"/>
          <w:sz w:val="24"/>
          <w:u w:val="none" w:color="auto"/>
          <w:lang w:val="en-US" w:eastAsia="zh-CN"/>
        </w:rPr>
        <w:t>植被恢复，项目建设对水源涵养功能影响较小。</w:t>
      </w:r>
      <w:r>
        <w:rPr>
          <w:rFonts w:hint="eastAsia" w:cs="Times New Roman"/>
          <w:color w:val="000000"/>
          <w:sz w:val="24"/>
          <w:u w:val="none" w:color="auto"/>
          <w:lang w:val="en-US" w:eastAsia="zh-CN"/>
        </w:rPr>
        <w:t>因此，本项目符合《</w:t>
      </w:r>
      <w:r>
        <w:rPr>
          <w:rFonts w:hint="eastAsia" w:ascii="Times New Roman" w:hAnsi="Times New Roman" w:eastAsia="宋体" w:cs="Times New Roman"/>
          <w:b w:val="0"/>
          <w:bCs/>
          <w:spacing w:val="6"/>
          <w:sz w:val="24"/>
          <w:u w:val="none" w:color="auto"/>
          <w:lang w:val="en-US" w:eastAsia="zh-CN"/>
        </w:rPr>
        <w:t>湖南省饮用水源保护条例</w:t>
      </w:r>
      <w:r>
        <w:rPr>
          <w:rFonts w:hint="eastAsia" w:cs="Times New Roman"/>
          <w:color w:val="000000"/>
          <w:sz w:val="24"/>
          <w:u w:val="none" w:color="auto"/>
          <w:lang w:val="en-US" w:eastAsia="zh-CN"/>
        </w:rPr>
        <w:t>》</w:t>
      </w:r>
      <w:r>
        <w:rPr>
          <w:rFonts w:hint="eastAsia" w:cs="Times New Roman"/>
          <w:b w:val="0"/>
          <w:bCs/>
          <w:spacing w:val="6"/>
          <w:sz w:val="24"/>
          <w:u w:val="none" w:color="auto"/>
          <w:lang w:val="en-US" w:eastAsia="zh-CN"/>
        </w:rPr>
        <w:t>要求。</w:t>
      </w:r>
    </w:p>
    <w:p>
      <w:pPr>
        <w:pStyle w:val="3"/>
        <w:tabs>
          <w:tab w:val="clear" w:pos="480"/>
          <w:tab w:val="clear" w:pos="630"/>
        </w:tabs>
        <w:adjustRightInd w:val="0"/>
        <w:snapToGrid w:val="0"/>
        <w:spacing w:before="0" w:after="0"/>
        <w:rPr>
          <w:b w:val="0"/>
          <w:kern w:val="24"/>
          <w:sz w:val="30"/>
          <w:szCs w:val="30"/>
        </w:rPr>
      </w:pPr>
      <w:bookmarkStart w:id="113" w:name="_Toc3905"/>
      <w:bookmarkStart w:id="114" w:name="_Toc181802695"/>
      <w:r>
        <w:rPr>
          <w:rFonts w:hint="eastAsia"/>
          <w:sz w:val="30"/>
          <w:szCs w:val="30"/>
          <w:lang w:val="en-US"/>
        </w:rPr>
        <w:t>与《饮用水水源保护区污染防治管理规定》的相符性分析</w:t>
      </w:r>
      <w:bookmarkEnd w:id="113"/>
      <w:bookmarkEnd w:id="114"/>
      <w:r>
        <w:rPr>
          <w:kern w:val="24"/>
          <w:sz w:val="30"/>
          <w:szCs w:val="30"/>
        </w:rPr>
        <w:t xml:space="preserve"> </w:t>
      </w:r>
    </w:p>
    <w:p>
      <w:pPr>
        <w:tabs>
          <w:tab w:val="clear" w:pos="480"/>
        </w:tabs>
        <w:adjustRightInd w:val="0"/>
        <w:snapToGrid w:val="0"/>
        <w:ind w:firstLine="480"/>
      </w:pPr>
      <w:r>
        <w:rPr>
          <w:rFonts w:hint="eastAsia"/>
        </w:rPr>
        <w:t>本项目与《饮用水水源保护区污染防治管理规定》符合性分析见下表。</w:t>
      </w:r>
    </w:p>
    <w:p>
      <w:pPr>
        <w:pStyle w:val="3588"/>
        <w:bidi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与《</w:t>
      </w:r>
      <w:r>
        <w:rPr>
          <w:rFonts w:hint="eastAsia" w:ascii="Times New Roman" w:hAnsi="Times New Roman" w:eastAsia="宋体" w:cs="Times New Roman"/>
          <w:u w:val="none" w:color="auto"/>
          <w:lang w:val="en-US" w:eastAsia="zh-CN"/>
        </w:rPr>
        <w:t>饮用水水源保护区污染防治管理规定</w:t>
      </w:r>
      <w:r>
        <w:rPr>
          <w:rFonts w:hint="default" w:ascii="Times New Roman" w:hAnsi="Times New Roman" w:eastAsia="宋体" w:cs="Times New Roman"/>
          <w:u w:val="none" w:color="auto"/>
          <w:lang w:val="en-US" w:eastAsia="zh-CN"/>
        </w:rPr>
        <w:t>》符合性分析一览表</w:t>
      </w:r>
    </w:p>
    <w:tbl>
      <w:tblPr>
        <w:tblStyle w:val="8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291"/>
        <w:gridCol w:w="3286"/>
        <w:gridCol w:w="7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8" w:type="pct"/>
            <w:vAlign w:val="center"/>
          </w:tcPr>
          <w:p>
            <w:pPr>
              <w:pStyle w:val="3656"/>
              <w:spacing w:line="240" w:lineRule="auto"/>
              <w:ind w:firstLine="0" w:firstLineChars="0"/>
              <w:jc w:val="center"/>
              <w:rPr>
                <w:rFonts w:cs="Times New Roman"/>
                <w:spacing w:val="6"/>
                <w:sz w:val="21"/>
                <w:szCs w:val="21"/>
                <w:u w:val="none" w:color="auto"/>
              </w:rPr>
            </w:pPr>
            <w:r>
              <w:rPr>
                <w:rFonts w:hint="eastAsia" w:cs="Times New Roman"/>
                <w:spacing w:val="6"/>
                <w:sz w:val="21"/>
                <w:szCs w:val="21"/>
                <w:u w:val="none" w:color="auto"/>
              </w:rPr>
              <w:t>保护措施要求</w:t>
            </w:r>
          </w:p>
        </w:tc>
        <w:tc>
          <w:tcPr>
            <w:tcW w:w="1769" w:type="pct"/>
            <w:vAlign w:val="center"/>
          </w:tcPr>
          <w:p>
            <w:pPr>
              <w:pStyle w:val="3656"/>
              <w:spacing w:line="240" w:lineRule="auto"/>
              <w:ind w:firstLine="0" w:firstLineChars="0"/>
              <w:jc w:val="center"/>
              <w:rPr>
                <w:rFonts w:cs="Times New Roman"/>
                <w:spacing w:val="6"/>
                <w:sz w:val="21"/>
                <w:szCs w:val="21"/>
                <w:u w:val="none" w:color="auto"/>
              </w:rPr>
            </w:pPr>
            <w:r>
              <w:rPr>
                <w:rFonts w:hint="eastAsia" w:cs="Times New Roman"/>
                <w:spacing w:val="6"/>
                <w:sz w:val="21"/>
                <w:szCs w:val="21"/>
                <w:u w:val="none" w:color="auto"/>
              </w:rPr>
              <w:t>本项目情况</w:t>
            </w:r>
          </w:p>
        </w:tc>
        <w:tc>
          <w:tcPr>
            <w:tcW w:w="382" w:type="pct"/>
            <w:vAlign w:val="center"/>
          </w:tcPr>
          <w:p>
            <w:pPr>
              <w:pStyle w:val="3656"/>
              <w:spacing w:line="240" w:lineRule="auto"/>
              <w:ind w:firstLine="0" w:firstLineChars="0"/>
              <w:jc w:val="center"/>
              <w:rPr>
                <w:rFonts w:cs="Times New Roman"/>
                <w:spacing w:val="6"/>
                <w:sz w:val="21"/>
                <w:szCs w:val="21"/>
                <w:u w:val="none" w:color="auto"/>
              </w:rPr>
            </w:pPr>
            <w:r>
              <w:rPr>
                <w:rFonts w:hint="eastAsia" w:cs="Times New Roman"/>
                <w:spacing w:val="6"/>
                <w:sz w:val="21"/>
                <w:szCs w:val="21"/>
                <w:u w:val="none" w:color="auto"/>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8" w:type="pct"/>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饮用水地表水源各级保护区及准保护区均需遵守下列规定：一、禁止一切破坏水环境生态平衡的活动以及破坏水源林、护岸林、与水源保护相关植被的活动。二、禁止向水域倾倒工业废渣、城市垃圾、粪便及其它废弃物。三、运输有毒有害物质、油类、粪便的船舶和车辆一般不准进入保护区，必须进入者应事先申请并经有关部门批准、登记并设置防渗、防溢、防漏设施。四、禁止使用剧毒和高残留农药，不得滥用化肥，不得使用炸药、毒品捕杀鱼类。</w:t>
            </w:r>
          </w:p>
        </w:tc>
        <w:tc>
          <w:tcPr>
            <w:tcW w:w="1769" w:type="pct"/>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cs="Times New Roman"/>
                <w:bCs/>
                <w:spacing w:val="6"/>
                <w:sz w:val="21"/>
                <w:szCs w:val="21"/>
                <w:u w:val="none" w:color="auto"/>
                <w:vertAlign w:val="baseline"/>
                <w:lang w:val="en-US" w:eastAsia="zh-CN"/>
              </w:rPr>
              <w:t>场内</w:t>
            </w:r>
            <w:r>
              <w:rPr>
                <w:rFonts w:hint="eastAsia" w:ascii="Times New Roman" w:hAnsi="Times New Roman" w:eastAsia="宋体" w:cs="Times New Roman"/>
                <w:bCs/>
                <w:spacing w:val="6"/>
                <w:sz w:val="21"/>
                <w:szCs w:val="21"/>
                <w:u w:val="none" w:color="auto"/>
                <w:vertAlign w:val="baseline"/>
                <w:lang w:val="en-US" w:eastAsia="zh-CN"/>
              </w:rPr>
              <w:t>道路改造路段</w:t>
            </w:r>
            <w:r>
              <w:rPr>
                <w:rFonts w:hint="eastAsia" w:ascii="Times New Roman" w:hAnsi="Times New Roman" w:eastAsia="宋体" w:cs="Times New Roman"/>
                <w:bCs/>
                <w:spacing w:val="6"/>
                <w:sz w:val="21"/>
                <w:szCs w:val="21"/>
                <w:u w:val="none" w:color="auto"/>
                <w:vertAlign w:val="baseline"/>
                <w:lang w:eastAsia="zh-CN"/>
              </w:rPr>
              <w:t>施工占地破坏了部分植被，但未破坏水环境生态平衡，未破坏水源涵养功能；项目该路段已施工完成，无向水域倾倒废渣行为；该区域不涉及运输有毒有害物质、油类、粪便；本项目为风力发电项目，项目不使用剧毒和高残留农药，不使用化肥。</w:t>
            </w:r>
          </w:p>
        </w:tc>
        <w:tc>
          <w:tcPr>
            <w:tcW w:w="382" w:type="pct"/>
            <w:vAlign w:val="center"/>
          </w:tcPr>
          <w:p>
            <w:pPr>
              <w:pStyle w:val="3656"/>
              <w:spacing w:line="240" w:lineRule="auto"/>
              <w:ind w:firstLine="0" w:firstLineChars="0"/>
              <w:jc w:val="center"/>
              <w:rPr>
                <w:rFonts w:cs="Times New Roman"/>
                <w:spacing w:val="6"/>
                <w:sz w:val="21"/>
                <w:szCs w:val="21"/>
                <w:u w:val="none" w:color="auto"/>
              </w:rPr>
            </w:pPr>
            <w:r>
              <w:rPr>
                <w:rFonts w:hint="eastAsia" w:cs="Times New Roman"/>
                <w:spacing w:val="6"/>
                <w:sz w:val="21"/>
                <w:szCs w:val="21"/>
                <w:u w:val="none" w:color="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8" w:type="pct"/>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饮用水地表水源一级保护区需遵守下列规定：禁止新建、扩建与供水设施和保护水源无关的建设项目；禁止向水域排放污水，已设置的排污口必须拆除；不得设置与供水需要无关的码头，禁止停靠船舶；　　禁止堆置和存放工业废渣、城市垃圾、粪便和其他废弃物；禁止设置油库；禁止从事种植、放养禽畜，严格控制网箱养殖活动；禁止可能污染水源的旅游活动和其他活动。</w:t>
            </w:r>
          </w:p>
        </w:tc>
        <w:tc>
          <w:tcPr>
            <w:tcW w:w="1769" w:type="pct"/>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 xml:space="preserve">本项目不在饮用水水源一级保护区内 </w:t>
            </w:r>
          </w:p>
        </w:tc>
        <w:tc>
          <w:tcPr>
            <w:tcW w:w="382" w:type="pct"/>
            <w:vAlign w:val="center"/>
          </w:tcPr>
          <w:p>
            <w:pPr>
              <w:pStyle w:val="3656"/>
              <w:spacing w:line="240" w:lineRule="auto"/>
              <w:ind w:firstLine="0" w:firstLineChars="0"/>
              <w:jc w:val="center"/>
              <w:rPr>
                <w:rFonts w:cs="Times New Roman"/>
                <w:spacing w:val="6"/>
                <w:sz w:val="21"/>
                <w:szCs w:val="21"/>
                <w:u w:val="none" w:color="auto"/>
              </w:rPr>
            </w:pPr>
            <w:r>
              <w:rPr>
                <w:rFonts w:hint="eastAsia" w:cs="Times New Roman"/>
                <w:spacing w:val="6"/>
                <w:sz w:val="21"/>
                <w:szCs w:val="21"/>
                <w:u w:val="none" w:color="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8" w:type="pct"/>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饮用水地表水源二级保护区需遵守下列规定：不准新建、扩建向水体排放污染物的建设项目。改建项目必须削减污染物排放量；原有排污口必须削减污水排放量，保证保护区内水质满足规定的水质标准；禁止设立装卸垃圾、粪便、油类和有毒物品的码头。</w:t>
            </w:r>
          </w:p>
        </w:tc>
        <w:tc>
          <w:tcPr>
            <w:tcW w:w="1769" w:type="pct"/>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 xml:space="preserve">项目为生态型项目，不属于直接排放污染物项目；项目施工期未向水体排放污染物；运营期生活污水经一体化污水处理设施处理后用于站内绿化，不外排。 </w:t>
            </w:r>
          </w:p>
        </w:tc>
        <w:tc>
          <w:tcPr>
            <w:tcW w:w="382" w:type="pct"/>
            <w:vAlign w:val="center"/>
          </w:tcPr>
          <w:p>
            <w:pPr>
              <w:pStyle w:val="3656"/>
              <w:spacing w:line="240" w:lineRule="auto"/>
              <w:ind w:firstLine="0" w:firstLineChars="0"/>
              <w:jc w:val="center"/>
              <w:rPr>
                <w:rFonts w:cs="Times New Roman"/>
                <w:spacing w:val="6"/>
                <w:sz w:val="21"/>
                <w:szCs w:val="21"/>
                <w:u w:val="none" w:color="auto"/>
              </w:rPr>
            </w:pPr>
            <w:r>
              <w:rPr>
                <w:rFonts w:hint="eastAsia" w:cs="Times New Roman"/>
                <w:spacing w:val="6"/>
                <w:sz w:val="21"/>
                <w:szCs w:val="21"/>
                <w:u w:val="none" w:color="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8" w:type="pct"/>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饮用水地表水源准保护区需遵守下列规定：直接或间接向水域排放废水，必须符合国家及地方规定的废水排放标准。当排放总量不能保证保护区内水质满足规定的标准时，必须削减排污负荷。</w:t>
            </w:r>
          </w:p>
        </w:tc>
        <w:tc>
          <w:tcPr>
            <w:tcW w:w="1769" w:type="pct"/>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cs="Times New Roman"/>
                <w:sz w:val="21"/>
                <w:szCs w:val="21"/>
                <w:u w:val="none" w:color="auto"/>
                <w:lang w:val="en-US" w:eastAsia="zh-CN"/>
              </w:rPr>
              <w:t>蓝山县</w:t>
            </w:r>
            <w:r>
              <w:rPr>
                <w:rFonts w:hint="default" w:ascii="Times New Roman" w:hAnsi="Times New Roman" w:eastAsia="宋体" w:cs="Times New Roman"/>
                <w:sz w:val="21"/>
                <w:szCs w:val="21"/>
                <w:u w:val="none" w:color="auto"/>
              </w:rPr>
              <w:t>塔峰镇岭脚村山溪水饮用水水源保护区</w:t>
            </w:r>
            <w:r>
              <w:rPr>
                <w:rFonts w:hint="eastAsia" w:ascii="Times New Roman" w:hAnsi="Times New Roman" w:eastAsia="宋体" w:cs="Times New Roman"/>
                <w:bCs/>
                <w:spacing w:val="6"/>
                <w:sz w:val="21"/>
                <w:szCs w:val="21"/>
                <w:u w:val="none" w:color="auto"/>
                <w:vertAlign w:val="baseline"/>
                <w:lang w:eastAsia="zh-CN"/>
              </w:rPr>
              <w:t>未</w:t>
            </w:r>
            <w:r>
              <w:rPr>
                <w:rFonts w:hint="eastAsia" w:ascii="Times New Roman" w:hAnsi="Times New Roman" w:eastAsia="宋体" w:cs="Times New Roman"/>
                <w:bCs/>
                <w:spacing w:val="6"/>
                <w:sz w:val="21"/>
                <w:szCs w:val="21"/>
                <w:u w:val="none" w:color="auto"/>
                <w:vertAlign w:val="baseline"/>
                <w:lang w:val="en-US" w:eastAsia="zh-CN"/>
              </w:rPr>
              <w:t>划定</w:t>
            </w:r>
            <w:r>
              <w:rPr>
                <w:rFonts w:hint="eastAsia" w:ascii="Times New Roman" w:hAnsi="Times New Roman" w:eastAsia="宋体" w:cs="Times New Roman"/>
                <w:bCs/>
                <w:spacing w:val="6"/>
                <w:sz w:val="21"/>
                <w:szCs w:val="21"/>
                <w:u w:val="none" w:color="auto"/>
                <w:vertAlign w:val="baseline"/>
                <w:lang w:eastAsia="zh-CN"/>
              </w:rPr>
              <w:t>准保护区。</w:t>
            </w:r>
          </w:p>
        </w:tc>
        <w:tc>
          <w:tcPr>
            <w:tcW w:w="382" w:type="pct"/>
            <w:vAlign w:val="center"/>
          </w:tcPr>
          <w:p>
            <w:pPr>
              <w:pStyle w:val="3656"/>
              <w:spacing w:line="240" w:lineRule="auto"/>
              <w:ind w:firstLine="0" w:firstLineChars="0"/>
              <w:jc w:val="center"/>
              <w:rPr>
                <w:rFonts w:cs="Times New Roman"/>
                <w:spacing w:val="6"/>
                <w:sz w:val="21"/>
                <w:szCs w:val="21"/>
                <w:u w:val="none" w:color="auto"/>
              </w:rPr>
            </w:pPr>
            <w:r>
              <w:rPr>
                <w:rFonts w:hint="eastAsia" w:cs="Times New Roman"/>
                <w:spacing w:val="6"/>
                <w:sz w:val="21"/>
                <w:szCs w:val="21"/>
                <w:u w:val="none" w:color="auto"/>
              </w:rPr>
              <w:t>符合</w:t>
            </w:r>
          </w:p>
        </w:tc>
      </w:tr>
    </w:tbl>
    <w:p>
      <w:pPr>
        <w:bidi w:val="0"/>
        <w:rPr>
          <w:rFonts w:hint="default"/>
          <w:lang w:val="en-US" w:eastAsia="zh-CN"/>
        </w:rPr>
      </w:pPr>
      <w:r>
        <w:rPr>
          <w:rFonts w:hint="eastAsia"/>
        </w:rPr>
        <w:t>综上，本项目与《饮用水水源保护区污染防治管理规定》相符。</w:t>
      </w:r>
    </w:p>
    <w:p>
      <w:pPr>
        <w:pStyle w:val="457"/>
        <w:ind w:firstLine="643"/>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115" w:name="_Toc17379"/>
      <w:r>
        <w:rPr>
          <w:rFonts w:hint="default" w:ascii="Times New Roman" w:hAnsi="Times New Roman" w:eastAsia="宋体" w:cs="Times New Roman"/>
          <w:color w:val="000000" w:themeColor="text1"/>
          <w:u w:val="none" w:color="auto"/>
          <w:lang w:val="en-US" w:eastAsia="zh-CN"/>
          <w14:textFill>
            <w14:solidFill>
              <w14:schemeClr w14:val="tx1"/>
            </w14:solidFill>
          </w14:textFill>
        </w:rPr>
        <w:t>与《湖南省长江经济带发展负面清单实施细则（试行，2022年版）》符合性分析</w:t>
      </w:r>
      <w:bookmarkEnd w:id="115"/>
    </w:p>
    <w:p>
      <w:pPr>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占地范围不涉及纳入管控的重要支流、重要湖泊以及自然保护区、风景名胜区、饮用水水源保护区、水产种质资源保护区、国家湿地公园等各类保护区，不属于《湖南省长江经济带发展负面清单实施细则（试行，2022年版）》中禁止项目。</w:t>
      </w:r>
    </w:p>
    <w:p>
      <w:pPr>
        <w:pStyle w:val="3588"/>
        <w:bidi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《湖南省长江经济带发展负面清单实施细则（试行，2022年版）》</w:t>
      </w:r>
      <w:r>
        <w:rPr>
          <w:rFonts w:hint="default" w:ascii="Times New Roman" w:hAnsi="Times New Roman" w:eastAsia="宋体" w:cs="Times New Roman"/>
          <w:u w:val="none" w:color="auto"/>
          <w:lang w:val="en-US" w:eastAsia="zh-CN"/>
        </w:rPr>
        <w:t>符合性分析一览表</w:t>
      </w:r>
    </w:p>
    <w:tbl>
      <w:tblPr>
        <w:tblStyle w:val="89"/>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47"/>
        <w:gridCol w:w="5929"/>
        <w:gridCol w:w="2165"/>
        <w:gridCol w:w="63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95"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序号</w:t>
            </w:r>
          </w:p>
        </w:tc>
        <w:tc>
          <w:tcPr>
            <w:tcW w:w="3193"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eastAsia="zh-CN"/>
              </w:rPr>
              <w:t>具体要求</w:t>
            </w:r>
          </w:p>
        </w:tc>
        <w:tc>
          <w:tcPr>
            <w:tcW w:w="1166"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eastAsia="zh-CN"/>
              </w:rPr>
              <w:t>本项目情况</w:t>
            </w:r>
          </w:p>
        </w:tc>
        <w:tc>
          <w:tcPr>
            <w:tcW w:w="344"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eastAsia="zh-CN"/>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95"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1</w:t>
            </w:r>
          </w:p>
        </w:tc>
        <w:tc>
          <w:tcPr>
            <w:tcW w:w="3193"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eastAsia="zh-CN"/>
              </w:rPr>
              <w:t>禁止建设不符合全国和省级港口布局规划以及港口总体规划的码头项目。对不符合港口总体规划的新建、改建和扩建的码头工程（含舾装码头工程）及其同时建设的配套设施、防波堤、锚地、护岸等工程，投资主管部门不得审批或核准。码头工程建设项目需要使用港口岸线的，项目单位应当按照国省港口岸线使用的管理规定办理港口岸线使用手续。未取得岸线使用批准文件或者岸线使用意见的，不得开工建设。禁止建设不符合《长江干线过江通道布局规划( 2020-2035年)》的过长江通道项目。</w:t>
            </w:r>
          </w:p>
        </w:tc>
        <w:tc>
          <w:tcPr>
            <w:tcW w:w="1166"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本项目不涉及码头建设及长江通道建设。</w:t>
            </w:r>
          </w:p>
        </w:tc>
        <w:tc>
          <w:tcPr>
            <w:tcW w:w="344"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95"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2</w:t>
            </w:r>
          </w:p>
        </w:tc>
        <w:tc>
          <w:tcPr>
            <w:tcW w:w="3193"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禁止在自然保护区核心区、缓冲区的岸线和河段范围内投资建设</w:t>
            </w:r>
            <w:r>
              <w:rPr>
                <w:rFonts w:hint="eastAsia" w:ascii="Times New Roman" w:hAnsi="Times New Roman" w:eastAsia="宋体" w:cs="Times New Roman"/>
                <w:bCs/>
                <w:spacing w:val="6"/>
                <w:sz w:val="21"/>
                <w:szCs w:val="21"/>
                <w:u w:val="none" w:color="auto"/>
                <w:vertAlign w:val="baseline"/>
                <w:lang w:val="en-US" w:eastAsia="zh-CN"/>
              </w:rPr>
              <w:t>以下</w:t>
            </w:r>
            <w:r>
              <w:rPr>
                <w:rFonts w:hint="eastAsia" w:ascii="Times New Roman" w:hAnsi="Times New Roman" w:eastAsia="宋体" w:cs="Times New Roman"/>
                <w:bCs/>
                <w:spacing w:val="6"/>
                <w:sz w:val="21"/>
                <w:szCs w:val="21"/>
                <w:u w:val="none" w:color="auto"/>
                <w:vertAlign w:val="baseline"/>
                <w:lang w:eastAsia="zh-CN"/>
              </w:rPr>
              <w:t>旅游和生产经营项目：</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(一)高尔夫球场开发、房地产开发、索道建设、会所建设等项目；</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(二）光伏发电、风力发电、火力发电建设项目；</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(三）社会资金进行商业性探矿勘查，以及不属于国家紧缺矿种资源的基础地质调查和矿产远景调查等公益性工作的设施建设；</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(四）野生动物驯养繁殖、展览基地建设项目；</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(五）污染环境、破坏自然资源或自然景观的建设设施；</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(六）对自然保护区主要保护对象产生重大影响、改变自然生态系统完整性、原真性、破坏自然景观的设施；</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(七）其他不符合自然保护区主体功能定位和国家禁止的设施。</w:t>
            </w:r>
          </w:p>
        </w:tc>
        <w:tc>
          <w:tcPr>
            <w:tcW w:w="1166"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本项目不涉及自然保护区。</w:t>
            </w:r>
          </w:p>
        </w:tc>
        <w:tc>
          <w:tcPr>
            <w:tcW w:w="344"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295"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3</w:t>
            </w:r>
          </w:p>
        </w:tc>
        <w:tc>
          <w:tcPr>
            <w:tcW w:w="3193"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机场、铁路、公路、水利、围堰等公益性基础设施的选址选线应多方案优化比选，尽量避让相关自然保护区域、野生动物迁徙</w:t>
            </w:r>
            <w:r>
              <w:rPr>
                <w:rFonts w:hint="eastAsia" w:cs="Times New Roman"/>
                <w:bCs/>
                <w:spacing w:val="6"/>
                <w:sz w:val="21"/>
                <w:szCs w:val="21"/>
                <w:u w:val="none" w:color="auto"/>
                <w:vertAlign w:val="baseline"/>
                <w:lang w:val="en-US" w:eastAsia="zh-CN"/>
              </w:rPr>
              <w:t>洄游</w:t>
            </w:r>
            <w:r>
              <w:rPr>
                <w:rFonts w:hint="eastAsia" w:ascii="Times New Roman" w:hAnsi="Times New Roman" w:eastAsia="宋体" w:cs="Times New Roman"/>
                <w:bCs/>
                <w:spacing w:val="6"/>
                <w:sz w:val="21"/>
                <w:szCs w:val="21"/>
                <w:u w:val="none" w:color="auto"/>
                <w:vertAlign w:val="baseline"/>
                <w:lang w:eastAsia="zh-CN"/>
              </w:rPr>
              <w:t>通道；无法避让的，应当采取修建野生动物通道、过鱼设施等措施，消除或者减少对野生动物的不利影响。</w:t>
            </w:r>
          </w:p>
        </w:tc>
        <w:tc>
          <w:tcPr>
            <w:tcW w:w="1166"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本项目不涉及自然保护区及</w:t>
            </w:r>
            <w:r>
              <w:rPr>
                <w:rFonts w:hint="eastAsia" w:ascii="Times New Roman" w:hAnsi="Times New Roman" w:eastAsia="宋体" w:cs="Times New Roman"/>
                <w:bCs/>
                <w:spacing w:val="6"/>
                <w:sz w:val="21"/>
                <w:szCs w:val="21"/>
                <w:u w:val="none" w:color="auto"/>
                <w:vertAlign w:val="baseline"/>
                <w:lang w:eastAsia="zh-CN"/>
              </w:rPr>
              <w:t>野生动物迁徙徊游通道。</w:t>
            </w:r>
          </w:p>
        </w:tc>
        <w:tc>
          <w:tcPr>
            <w:tcW w:w="344"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95"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4</w:t>
            </w:r>
          </w:p>
        </w:tc>
        <w:tc>
          <w:tcPr>
            <w:tcW w:w="3193"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禁止违反风景名胜区规划，在风景名胜区内设立各类开发区和在核心景区内建设宾馆、招待所、培训中心、疗养院以及与风景名胜资源保护无关的其他建筑物；已经建设的，应当按照风景名胜区规划，逐步迁出。</w:t>
            </w:r>
          </w:p>
        </w:tc>
        <w:tc>
          <w:tcPr>
            <w:tcW w:w="1166"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本项目不涉及风景名胜区。</w:t>
            </w:r>
          </w:p>
        </w:tc>
        <w:tc>
          <w:tcPr>
            <w:tcW w:w="344"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95"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5</w:t>
            </w:r>
          </w:p>
        </w:tc>
        <w:tc>
          <w:tcPr>
            <w:tcW w:w="3193"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饮用水水源一级保护区内禁止新建、改建、扩建与供水设施和保护水源无关的建设项目，以及网箱养殖、畜禽养殖、旅游等可能污染饮用水水体的投资建设项目；禁止向水域排放污水，已设置的排污口必须拆除；不得设置与供水需要无关的码头，禁止停靠船舶；禁止堆置和存放工业废渣、城市垃圾、粪便和其它废弃物；禁止设置油库；禁止使用含磷洗涤用品。</w:t>
            </w:r>
          </w:p>
        </w:tc>
        <w:tc>
          <w:tcPr>
            <w:tcW w:w="1166" w:type="pct"/>
            <w:tcBorders>
              <w:tl2br w:val="nil"/>
              <w:tr2bl w:val="nil"/>
            </w:tcBorders>
            <w:shd w:val="clear" w:color="auto" w:fill="auto"/>
            <w:noWrap w:val="0"/>
            <w:vAlign w:val="center"/>
          </w:tcPr>
          <w:p>
            <w:pPr>
              <w:widowControl/>
              <w:tabs>
                <w:tab w:val="clear" w:pos="480"/>
              </w:tabs>
              <w:adjustRightInd w:val="0"/>
              <w:snapToGrid w:val="0"/>
              <w:spacing w:line="240" w:lineRule="auto"/>
              <w:ind w:firstLine="0" w:firstLineChars="0"/>
              <w:jc w:val="center"/>
              <w:rPr>
                <w:rFonts w:hint="default" w:ascii="Times New Roman" w:hAnsi="Times New Roman" w:eastAsia="宋体" w:cs="Times New Roman"/>
                <w:bCs/>
                <w:spacing w:val="6"/>
                <w:sz w:val="21"/>
                <w:szCs w:val="21"/>
                <w:u w:val="none" w:color="auto"/>
                <w:vertAlign w:val="baseline"/>
                <w:lang w:val="en-US" w:eastAsia="zh-CN"/>
              </w:rPr>
            </w:pPr>
            <w:r>
              <w:rPr>
                <w:sz w:val="21"/>
                <w:szCs w:val="21"/>
              </w:rPr>
              <w:t>本项目</w:t>
            </w:r>
            <w:r>
              <w:rPr>
                <w:rFonts w:hint="eastAsia"/>
                <w:sz w:val="21"/>
                <w:szCs w:val="21"/>
              </w:rPr>
              <w:t>不涉及</w:t>
            </w:r>
            <w:r>
              <w:rPr>
                <w:sz w:val="21"/>
                <w:szCs w:val="21"/>
              </w:rPr>
              <w:t>饮用水水源一级保护区</w:t>
            </w:r>
          </w:p>
        </w:tc>
        <w:tc>
          <w:tcPr>
            <w:tcW w:w="344"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95"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6</w:t>
            </w:r>
          </w:p>
        </w:tc>
        <w:tc>
          <w:tcPr>
            <w:tcW w:w="3193"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饮用水水源二级保护区内禁止新建、改建、扩建向水体排放污染物的投资建设项目。原有排污口依法拆除或关闭。禁止设立装卸垃圾、粪便、油类和有毒物品的码头。</w:t>
            </w:r>
          </w:p>
        </w:tc>
        <w:tc>
          <w:tcPr>
            <w:tcW w:w="1166" w:type="pct"/>
            <w:tcBorders>
              <w:tl2br w:val="nil"/>
              <w:tr2bl w:val="nil"/>
            </w:tcBorders>
            <w:shd w:val="clear" w:color="auto" w:fill="auto"/>
            <w:noWrap w:val="0"/>
            <w:vAlign w:val="center"/>
          </w:tcPr>
          <w:p>
            <w:pPr>
              <w:widowControl/>
              <w:tabs>
                <w:tab w:val="clear" w:pos="480"/>
              </w:tabs>
              <w:adjustRightInd w:val="0"/>
              <w:snapToGrid w:val="0"/>
              <w:spacing w:line="240" w:lineRule="auto"/>
              <w:ind w:firstLine="0" w:firstLineChars="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sz w:val="21"/>
                <w:szCs w:val="21"/>
              </w:rPr>
              <w:t>本项目</w:t>
            </w:r>
            <w:r>
              <w:rPr>
                <w:rFonts w:hint="eastAsia"/>
                <w:sz w:val="21"/>
                <w:szCs w:val="21"/>
                <w:lang w:val="en-US" w:eastAsia="zh-CN"/>
              </w:rPr>
              <w:t>场内道路</w:t>
            </w:r>
            <w:r>
              <w:rPr>
                <w:rFonts w:hint="eastAsia"/>
                <w:sz w:val="21"/>
                <w:szCs w:val="21"/>
              </w:rPr>
              <w:t>涉及</w:t>
            </w:r>
            <w:r>
              <w:rPr>
                <w:sz w:val="21"/>
                <w:szCs w:val="21"/>
              </w:rPr>
              <w:t>饮用水水源二级保护区</w:t>
            </w:r>
            <w:r>
              <w:rPr>
                <w:rFonts w:hint="eastAsia"/>
                <w:sz w:val="21"/>
                <w:szCs w:val="21"/>
              </w:rPr>
              <w:t>，</w:t>
            </w:r>
            <w:r>
              <w:rPr>
                <w:rFonts w:hint="eastAsia"/>
                <w:sz w:val="21"/>
                <w:szCs w:val="21"/>
                <w:lang w:val="en-US" w:eastAsia="zh-CN"/>
              </w:rPr>
              <w:t>该</w:t>
            </w:r>
            <w:r>
              <w:rPr>
                <w:rFonts w:hint="eastAsia"/>
                <w:sz w:val="21"/>
                <w:szCs w:val="21"/>
              </w:rPr>
              <w:t>路段为临时工程，不设排污口，不向水体排放污染物</w:t>
            </w:r>
          </w:p>
        </w:tc>
        <w:tc>
          <w:tcPr>
            <w:tcW w:w="344"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95"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7</w:t>
            </w:r>
          </w:p>
        </w:tc>
        <w:tc>
          <w:tcPr>
            <w:tcW w:w="3193"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禁止在水产种质资源保护区的岸线和河段范围内新建排污口、实施非法围垦河道和围湖造田造地等投资建设项目。</w:t>
            </w:r>
          </w:p>
        </w:tc>
        <w:tc>
          <w:tcPr>
            <w:tcW w:w="1166"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本项目不涉及</w:t>
            </w:r>
            <w:r>
              <w:rPr>
                <w:rFonts w:hint="eastAsia" w:ascii="Times New Roman" w:hAnsi="Times New Roman" w:eastAsia="宋体" w:cs="Times New Roman"/>
                <w:bCs/>
                <w:spacing w:val="6"/>
                <w:sz w:val="21"/>
                <w:szCs w:val="21"/>
                <w:u w:val="none" w:color="auto"/>
                <w:vertAlign w:val="baseline"/>
                <w:lang w:eastAsia="zh-CN"/>
              </w:rPr>
              <w:t>水产种质资源保护</w:t>
            </w:r>
            <w:r>
              <w:rPr>
                <w:rFonts w:hint="eastAsia" w:ascii="Times New Roman" w:hAnsi="Times New Roman" w:eastAsia="宋体" w:cs="Times New Roman"/>
                <w:bCs/>
                <w:spacing w:val="6"/>
                <w:sz w:val="21"/>
                <w:szCs w:val="21"/>
                <w:u w:val="none" w:color="auto"/>
                <w:vertAlign w:val="baseline"/>
                <w:lang w:val="en-US" w:eastAsia="zh-CN"/>
              </w:rPr>
              <w:t>区</w:t>
            </w:r>
            <w:r>
              <w:rPr>
                <w:rFonts w:hint="eastAsia" w:ascii="Times New Roman" w:hAnsi="Times New Roman" w:eastAsia="宋体" w:cs="Times New Roman"/>
                <w:bCs/>
                <w:spacing w:val="6"/>
                <w:sz w:val="21"/>
                <w:szCs w:val="21"/>
                <w:u w:val="none" w:color="auto"/>
                <w:vertAlign w:val="baseline"/>
                <w:lang w:eastAsia="zh-CN"/>
              </w:rPr>
              <w:t>。</w:t>
            </w:r>
          </w:p>
        </w:tc>
        <w:tc>
          <w:tcPr>
            <w:tcW w:w="344"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95"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8</w:t>
            </w:r>
          </w:p>
        </w:tc>
        <w:tc>
          <w:tcPr>
            <w:tcW w:w="3193"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default" w:ascii="Times New Roman" w:hAnsi="Times New Roman" w:eastAsia="宋体" w:cs="Times New Roman"/>
                <w:bCs/>
                <w:spacing w:val="6"/>
                <w:sz w:val="21"/>
                <w:szCs w:val="21"/>
                <w:u w:val="none" w:color="auto"/>
                <w:vertAlign w:val="baseline"/>
                <w:lang w:eastAsia="zh-CN"/>
              </w:rPr>
              <w:t>除《中华人民共和国防洪法》规定的紧急防汛期采取的紧急措施外，禁止在国家湿地公园的岸线和河段范围内挖沙、采矿，以及以下不符合主体功能定位的行为和活动：</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(一)开（围）垦、填埋或者排干湿地。</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(二）截断湿地水源。</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(三）倾倒有毒有害物质、废弃物、垃圾。</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(四）从事房地产、度假村、高尔夫球场、风力发电、光伏发电等任何不符合主体功能定位的建设项目和开发活动。</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(五）破坏野生动物栖息地和迁徙通道、鱼类</w:t>
            </w:r>
            <w:r>
              <w:rPr>
                <w:rFonts w:hint="eastAsia" w:cs="Times New Roman"/>
                <w:bCs/>
                <w:spacing w:val="6"/>
                <w:sz w:val="21"/>
                <w:szCs w:val="21"/>
                <w:u w:val="none" w:color="auto"/>
                <w:vertAlign w:val="baseline"/>
                <w:lang w:val="en-US" w:eastAsia="zh-CN"/>
              </w:rPr>
              <w:t>洄游</w:t>
            </w:r>
            <w:r>
              <w:rPr>
                <w:rFonts w:hint="eastAsia" w:ascii="Times New Roman" w:hAnsi="Times New Roman" w:eastAsia="宋体" w:cs="Times New Roman"/>
                <w:bCs/>
                <w:spacing w:val="6"/>
                <w:sz w:val="21"/>
                <w:szCs w:val="21"/>
                <w:u w:val="none" w:color="auto"/>
                <w:vertAlign w:val="baseline"/>
                <w:lang w:eastAsia="zh-CN"/>
              </w:rPr>
              <w:t>通道，滥采滥捕野生动植物。</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(六）引入外来物种。</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(七）擅自放牧、捕捞、取土、取水、排污、放生。</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(八）其他破坏湿地及其生态功能的活动。</w:t>
            </w:r>
          </w:p>
        </w:tc>
        <w:tc>
          <w:tcPr>
            <w:tcW w:w="1166"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本项目不涉及</w:t>
            </w:r>
            <w:r>
              <w:rPr>
                <w:rFonts w:hint="eastAsia" w:ascii="Times New Roman" w:hAnsi="Times New Roman" w:eastAsia="宋体" w:cs="Times New Roman"/>
                <w:bCs/>
                <w:spacing w:val="6"/>
                <w:sz w:val="21"/>
                <w:szCs w:val="21"/>
                <w:u w:val="none" w:color="auto"/>
                <w:vertAlign w:val="baseline"/>
                <w:lang w:eastAsia="zh-CN"/>
              </w:rPr>
              <w:t>国家湿地公园。</w:t>
            </w:r>
          </w:p>
        </w:tc>
        <w:tc>
          <w:tcPr>
            <w:tcW w:w="344"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95"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9</w:t>
            </w:r>
          </w:p>
        </w:tc>
        <w:tc>
          <w:tcPr>
            <w:tcW w:w="3193"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w:t>
            </w:r>
          </w:p>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禁止填湖造地、围湖造田及非法围垦河道，禁止非法建设矮围网围、填埋湿地等侵占河湖水域或者违法利用、占用河湖岸线的行为。</w:t>
            </w:r>
          </w:p>
        </w:tc>
        <w:tc>
          <w:tcPr>
            <w:tcW w:w="1166"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本项目不涉及</w:t>
            </w:r>
            <w:r>
              <w:rPr>
                <w:rFonts w:hint="eastAsia" w:ascii="Times New Roman" w:hAnsi="Times New Roman" w:eastAsia="宋体" w:cs="Times New Roman"/>
                <w:bCs/>
                <w:spacing w:val="6"/>
                <w:sz w:val="21"/>
                <w:szCs w:val="21"/>
                <w:u w:val="none" w:color="auto"/>
                <w:vertAlign w:val="baseline"/>
                <w:lang w:eastAsia="zh-CN"/>
              </w:rPr>
              <w:t>《长江岸线保护和开发利用总体规划》划定的岸线保护区和保留区。</w:t>
            </w:r>
          </w:p>
        </w:tc>
        <w:tc>
          <w:tcPr>
            <w:tcW w:w="344"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95"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10</w:t>
            </w:r>
          </w:p>
        </w:tc>
        <w:tc>
          <w:tcPr>
            <w:tcW w:w="3193"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禁止在《全国重要江河湖泊水功能区划》划定的河段及湖泊保护区、保留区内投资建设不利于水资源及自然生态保护的项目。</w:t>
            </w:r>
          </w:p>
        </w:tc>
        <w:tc>
          <w:tcPr>
            <w:tcW w:w="1166"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本项目不涉及</w:t>
            </w:r>
            <w:r>
              <w:rPr>
                <w:rFonts w:hint="eastAsia" w:ascii="Times New Roman" w:hAnsi="Times New Roman" w:eastAsia="宋体" w:cs="Times New Roman"/>
                <w:bCs/>
                <w:spacing w:val="6"/>
                <w:sz w:val="21"/>
                <w:szCs w:val="21"/>
                <w:u w:val="none" w:color="auto"/>
                <w:vertAlign w:val="baseline"/>
                <w:lang w:eastAsia="zh-CN"/>
              </w:rPr>
              <w:t>《全国重要江河湖泊水功能区划》划定的河段及湖泊保护区、保留区</w:t>
            </w:r>
          </w:p>
        </w:tc>
        <w:tc>
          <w:tcPr>
            <w:tcW w:w="344"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95"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11</w:t>
            </w:r>
          </w:p>
        </w:tc>
        <w:tc>
          <w:tcPr>
            <w:tcW w:w="3193"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eastAsia="zh-CN"/>
              </w:rPr>
              <w:t>禁止未经许可在长江干支流及湖泊新设、改设或扩大排污</w:t>
            </w:r>
            <w:r>
              <w:rPr>
                <w:rFonts w:hint="eastAsia" w:ascii="Times New Roman" w:hAnsi="Times New Roman" w:eastAsia="宋体" w:cs="Times New Roman"/>
                <w:bCs/>
                <w:spacing w:val="6"/>
                <w:sz w:val="21"/>
                <w:szCs w:val="21"/>
                <w:u w:val="none" w:color="auto"/>
                <w:vertAlign w:val="baseline"/>
                <w:lang w:val="en-US" w:eastAsia="zh-CN"/>
              </w:rPr>
              <w:t>口</w:t>
            </w:r>
          </w:p>
        </w:tc>
        <w:tc>
          <w:tcPr>
            <w:tcW w:w="1166"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本项目</w:t>
            </w:r>
            <w:r>
              <w:rPr>
                <w:rFonts w:hint="eastAsia" w:ascii="Times New Roman" w:hAnsi="Times New Roman" w:eastAsia="宋体" w:cs="Times New Roman"/>
                <w:bCs/>
                <w:spacing w:val="6"/>
                <w:sz w:val="21"/>
                <w:szCs w:val="21"/>
                <w:u w:val="none" w:color="auto"/>
                <w:vertAlign w:val="baseline"/>
                <w:lang w:eastAsia="zh-CN"/>
              </w:rPr>
              <w:t>生活污水经站内设置的污水处理装置处置后用于厂区绿化，</w:t>
            </w:r>
            <w:r>
              <w:rPr>
                <w:rFonts w:hint="eastAsia" w:ascii="Times New Roman" w:hAnsi="Times New Roman" w:eastAsia="宋体" w:cs="Times New Roman"/>
                <w:bCs/>
                <w:spacing w:val="6"/>
                <w:sz w:val="21"/>
                <w:szCs w:val="21"/>
                <w:u w:val="none" w:color="auto"/>
                <w:vertAlign w:val="baseline"/>
                <w:lang w:val="en-US" w:eastAsia="zh-CN"/>
              </w:rPr>
              <w:t>不设置排污口</w:t>
            </w:r>
            <w:r>
              <w:rPr>
                <w:rFonts w:hint="eastAsia" w:ascii="Times New Roman" w:hAnsi="Times New Roman" w:eastAsia="宋体" w:cs="Times New Roman"/>
                <w:bCs/>
                <w:spacing w:val="6"/>
                <w:sz w:val="21"/>
                <w:szCs w:val="21"/>
                <w:u w:val="none" w:color="auto"/>
                <w:vertAlign w:val="baseline"/>
                <w:lang w:eastAsia="zh-CN"/>
              </w:rPr>
              <w:t>。</w:t>
            </w:r>
          </w:p>
        </w:tc>
        <w:tc>
          <w:tcPr>
            <w:tcW w:w="344"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95"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12</w:t>
            </w:r>
          </w:p>
        </w:tc>
        <w:tc>
          <w:tcPr>
            <w:tcW w:w="3193"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禁止在洞庭湖、湘江、资江、沅江、澧水干流和45个水生生物保护区开展生产性捕捞。在相关自然保护区域和禁猎（渔）区、禁猎（渔）期内，禁止猎捕以及其他妨碍野生动物生息繁衍的活动，但法律法规另有规定的除外。</w:t>
            </w:r>
          </w:p>
        </w:tc>
        <w:tc>
          <w:tcPr>
            <w:tcW w:w="1166"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本项目不涉及生产性捕捞。</w:t>
            </w:r>
          </w:p>
        </w:tc>
        <w:tc>
          <w:tcPr>
            <w:tcW w:w="344"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95"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13</w:t>
            </w:r>
          </w:p>
        </w:tc>
        <w:tc>
          <w:tcPr>
            <w:tcW w:w="3193"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禁止在长江湖南段和洞庭湖、湘江、资江、沅江、澧水干流岸线一公里范围内新建、扩建化工园区和化工项目。禁止在长江湖南段岸线三公里范围内和湘江、资江、沅江、澧水岸线一公里范围内新建、改建、扩建尾矿库、冶炼渣库和磷石膏库，以提升安全、生态环境保护水平为目的的改建除外。</w:t>
            </w:r>
          </w:p>
        </w:tc>
        <w:tc>
          <w:tcPr>
            <w:tcW w:w="1166"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本项目不涉及化工、尾矿库、</w:t>
            </w:r>
            <w:r>
              <w:rPr>
                <w:rFonts w:hint="eastAsia" w:ascii="Times New Roman" w:hAnsi="Times New Roman" w:eastAsia="宋体" w:cs="Times New Roman"/>
                <w:bCs/>
                <w:spacing w:val="6"/>
                <w:sz w:val="21"/>
                <w:szCs w:val="21"/>
                <w:u w:val="none" w:color="auto"/>
                <w:vertAlign w:val="baseline"/>
                <w:lang w:eastAsia="zh-CN"/>
              </w:rPr>
              <w:t>冶炼渣库和磷石膏库。</w:t>
            </w:r>
          </w:p>
        </w:tc>
        <w:tc>
          <w:tcPr>
            <w:tcW w:w="344"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5"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14</w:t>
            </w:r>
          </w:p>
        </w:tc>
        <w:tc>
          <w:tcPr>
            <w:tcW w:w="3193"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禁止在合规园区外新建、扩建钢铁、石化、化工、焦化、建材、有色、制浆造纸等高污染项目。高污染项目严格按照生态环境部《环境保护综合名录(2021年版)》有关要求执行。</w:t>
            </w:r>
          </w:p>
        </w:tc>
        <w:tc>
          <w:tcPr>
            <w:tcW w:w="1166"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本项目不涉及</w:t>
            </w:r>
            <w:r>
              <w:rPr>
                <w:rFonts w:hint="eastAsia" w:ascii="Times New Roman" w:hAnsi="Times New Roman" w:eastAsia="宋体" w:cs="Times New Roman"/>
                <w:bCs/>
                <w:spacing w:val="6"/>
                <w:sz w:val="21"/>
                <w:szCs w:val="21"/>
                <w:u w:val="none" w:color="auto"/>
                <w:vertAlign w:val="baseline"/>
                <w:lang w:eastAsia="zh-CN"/>
              </w:rPr>
              <w:t>钢铁、石化、化工、焦化、建材、有色、制浆造纸</w:t>
            </w:r>
            <w:r>
              <w:rPr>
                <w:rFonts w:hint="eastAsia" w:ascii="Times New Roman" w:hAnsi="Times New Roman" w:eastAsia="宋体" w:cs="Times New Roman"/>
                <w:bCs/>
                <w:spacing w:val="6"/>
                <w:sz w:val="21"/>
                <w:szCs w:val="21"/>
                <w:u w:val="none" w:color="auto"/>
                <w:vertAlign w:val="baseline"/>
                <w:lang w:val="en-US" w:eastAsia="zh-CN"/>
              </w:rPr>
              <w:t>行业。</w:t>
            </w:r>
          </w:p>
        </w:tc>
        <w:tc>
          <w:tcPr>
            <w:tcW w:w="344"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95"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15</w:t>
            </w:r>
          </w:p>
        </w:tc>
        <w:tc>
          <w:tcPr>
            <w:tcW w:w="3193"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禁止新建、扩建不符合国家石化、现代煤化工等产业布局规划的项目。未通过认定的化工园区，不得新建、改扩建化工项目（安全、环保、节能和智能化改造项目除外)。</w:t>
            </w:r>
          </w:p>
        </w:tc>
        <w:tc>
          <w:tcPr>
            <w:tcW w:w="1166"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本项目为风电项目，属于清洁能源。</w:t>
            </w:r>
          </w:p>
        </w:tc>
        <w:tc>
          <w:tcPr>
            <w:tcW w:w="344"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95"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val="en-US" w:eastAsia="zh-CN"/>
              </w:rPr>
              <w:t>16</w:t>
            </w:r>
          </w:p>
        </w:tc>
        <w:tc>
          <w:tcPr>
            <w:tcW w:w="3193"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禁止新建、扩建法律法规和相关政策明令禁止的落后产能项目；对不符合要求的落后产能存量项目依法依规退出。禁止新建、扩建不符合国家产能置换要求的严重过剩产能行业（钢铁、水泥、电解铝、平板玻璃、船舶等行业）的项目。对确有必要新建、扩建的，必须严格执行产能置换实施办法，实施减量或等量置换，依法依规办理有关手续。禁止新建、扩建不符合要求的高耗能高排放项目。</w:t>
            </w:r>
          </w:p>
        </w:tc>
        <w:tc>
          <w:tcPr>
            <w:tcW w:w="1166"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pacing w:val="6"/>
                <w:sz w:val="21"/>
                <w:szCs w:val="21"/>
                <w:u w:val="none" w:color="auto"/>
                <w:vertAlign w:val="baseline"/>
                <w:lang w:val="en-US" w:eastAsia="zh-CN"/>
              </w:rPr>
            </w:pPr>
            <w:r>
              <w:rPr>
                <w:rFonts w:hint="eastAsia" w:ascii="Times New Roman" w:hAnsi="Times New Roman" w:eastAsia="宋体" w:cs="Times New Roman"/>
                <w:bCs/>
                <w:spacing w:val="6"/>
                <w:sz w:val="21"/>
                <w:szCs w:val="21"/>
                <w:u w:val="none" w:color="auto"/>
                <w:vertAlign w:val="baseline"/>
                <w:lang w:eastAsia="zh-CN"/>
              </w:rPr>
              <w:t>本项目为</w:t>
            </w:r>
            <w:r>
              <w:rPr>
                <w:rFonts w:hint="eastAsia" w:ascii="Times New Roman" w:hAnsi="Times New Roman" w:eastAsia="宋体" w:cs="Times New Roman"/>
                <w:bCs/>
                <w:spacing w:val="6"/>
                <w:sz w:val="21"/>
                <w:szCs w:val="21"/>
                <w:u w:val="none" w:color="auto"/>
                <w:vertAlign w:val="baseline"/>
                <w:lang w:val="en-US" w:eastAsia="zh-CN"/>
              </w:rPr>
              <w:t>风电项目</w:t>
            </w:r>
            <w:r>
              <w:rPr>
                <w:rFonts w:hint="eastAsia" w:ascii="Times New Roman" w:hAnsi="Times New Roman" w:eastAsia="宋体" w:cs="Times New Roman"/>
                <w:bCs/>
                <w:spacing w:val="6"/>
                <w:sz w:val="21"/>
                <w:szCs w:val="21"/>
                <w:u w:val="none" w:color="auto"/>
                <w:vertAlign w:val="baseline"/>
                <w:lang w:eastAsia="zh-CN"/>
              </w:rPr>
              <w:t>，不属于高耗能高排放项目。</w:t>
            </w:r>
          </w:p>
        </w:tc>
        <w:tc>
          <w:tcPr>
            <w:tcW w:w="344" w:type="pct"/>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spacing w:val="6"/>
                <w:sz w:val="21"/>
                <w:szCs w:val="21"/>
                <w:u w:val="none" w:color="auto"/>
                <w:vertAlign w:val="baseline"/>
                <w:lang w:eastAsia="zh-CN"/>
              </w:rPr>
            </w:pPr>
            <w:r>
              <w:rPr>
                <w:rFonts w:hint="eastAsia" w:ascii="Times New Roman" w:hAnsi="Times New Roman" w:eastAsia="宋体" w:cs="Times New Roman"/>
                <w:bCs/>
                <w:spacing w:val="6"/>
                <w:sz w:val="21"/>
                <w:szCs w:val="21"/>
                <w:u w:val="none" w:color="auto"/>
                <w:vertAlign w:val="baseline"/>
                <w:lang w:eastAsia="zh-CN"/>
              </w:rPr>
              <w:t>符合</w:t>
            </w:r>
          </w:p>
        </w:tc>
      </w:tr>
    </w:tbl>
    <w:p>
      <w:pPr>
        <w:rPr>
          <w:rFonts w:hint="default"/>
          <w:lang w:val="en-US" w:eastAsia="zh-CN"/>
        </w:rPr>
      </w:pPr>
    </w:p>
    <w:p>
      <w:pPr>
        <w:pStyle w:val="457"/>
        <w:ind w:firstLine="643"/>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116" w:name="_Toc13003"/>
      <w:r>
        <w:rPr>
          <w:rFonts w:hint="eastAsia" w:ascii="Times New Roman" w:cs="Times New Roman"/>
          <w:color w:val="000000" w:themeColor="text1"/>
          <w:u w:val="none" w:color="auto"/>
          <w:lang w:val="en-US" w:eastAsia="zh-CN"/>
          <w14:textFill>
            <w14:solidFill>
              <w14:schemeClr w14:val="tx1"/>
            </w14:solidFill>
          </w14:textFill>
        </w:rPr>
        <w:t>生态环境分区管控符合</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性分析</w:t>
      </w:r>
      <w:bookmarkEnd w:id="116"/>
    </w:p>
    <w:p>
      <w:pPr>
        <w:pStyle w:val="3656"/>
        <w:keepNext w:val="0"/>
        <w:keepLines w:val="0"/>
        <w:pageBreakBefore w:val="0"/>
        <w:widowControl w:val="0"/>
        <w:numPr>
          <w:ilvl w:val="0"/>
          <w:numId w:val="0"/>
        </w:numPr>
        <w:kinsoku/>
        <w:wordWrap/>
        <w:overflowPunct/>
        <w:topLinePunct w:val="0"/>
        <w:autoSpaceDE/>
        <w:autoSpaceDN/>
        <w:bidi w:val="0"/>
        <w:adjustRightInd/>
        <w:snapToGrid/>
        <w:ind w:leftChars="0" w:firstLine="504" w:firstLineChars="200"/>
        <w:textAlignment w:val="auto"/>
        <w:rPr>
          <w:rFonts w:hint="eastAsia" w:ascii="Times New Roman" w:hAnsi="Times New Roman" w:eastAsia="宋体" w:cs="Times New Roman"/>
          <w:bCs/>
          <w:spacing w:val="6"/>
          <w:sz w:val="24"/>
          <w:highlight w:val="none"/>
          <w:u w:val="none" w:color="auto"/>
          <w:lang w:eastAsia="zh-CN"/>
        </w:rPr>
      </w:pPr>
      <w:r>
        <w:rPr>
          <w:rFonts w:hint="eastAsia" w:ascii="Times New Roman" w:hAnsi="Times New Roman" w:eastAsia="宋体" w:cs="Times New Roman"/>
          <w:bCs/>
          <w:spacing w:val="6"/>
          <w:sz w:val="24"/>
          <w:highlight w:val="none"/>
          <w:u w:val="none" w:color="auto"/>
          <w:lang w:eastAsia="zh-CN"/>
        </w:rPr>
        <w:t>永州市生态环境局于2024年12月17日发布了《关于发布永州市生态环境分区管控更新成果（2023版）的通知》（永环发[2024]31号）。对照“永州市环境管控单元（省级以上产业园区除外）生态环境准入清单</w:t>
      </w:r>
      <w:r>
        <w:rPr>
          <w:rFonts w:hint="eastAsia" w:cs="Times New Roman"/>
          <w:bCs/>
          <w:spacing w:val="6"/>
          <w:sz w:val="24"/>
          <w:highlight w:val="none"/>
          <w:u w:val="none" w:color="auto"/>
          <w:lang w:eastAsia="zh-CN"/>
        </w:rPr>
        <w:t>（</w:t>
      </w:r>
      <w:r>
        <w:rPr>
          <w:rFonts w:hint="eastAsia" w:cs="Times New Roman"/>
          <w:bCs/>
          <w:spacing w:val="6"/>
          <w:sz w:val="24"/>
          <w:highlight w:val="none"/>
          <w:u w:val="none" w:color="auto"/>
          <w:lang w:val="en-US" w:eastAsia="zh-CN"/>
        </w:rPr>
        <w:t>2023版</w:t>
      </w:r>
      <w:r>
        <w:rPr>
          <w:rFonts w:hint="eastAsia" w:cs="Times New Roman"/>
          <w:bCs/>
          <w:spacing w:val="6"/>
          <w:sz w:val="24"/>
          <w:highlight w:val="none"/>
          <w:u w:val="none" w:color="auto"/>
          <w:lang w:eastAsia="zh-CN"/>
        </w:rPr>
        <w:t>）</w:t>
      </w:r>
      <w:r>
        <w:rPr>
          <w:rFonts w:hint="eastAsia" w:ascii="Times New Roman" w:hAnsi="Times New Roman" w:eastAsia="宋体" w:cs="Times New Roman"/>
          <w:bCs/>
          <w:spacing w:val="6"/>
          <w:sz w:val="24"/>
          <w:highlight w:val="none"/>
          <w:u w:val="none" w:color="auto"/>
          <w:lang w:eastAsia="zh-CN"/>
        </w:rPr>
        <w:t>”可知，</w:t>
      </w:r>
      <w:r>
        <w:rPr>
          <w:rFonts w:hint="eastAsia" w:cs="Times New Roman"/>
          <w:bCs/>
          <w:spacing w:val="6"/>
          <w:sz w:val="24"/>
          <w:highlight w:val="none"/>
          <w:u w:val="none" w:color="auto"/>
          <w:lang w:val="en-US" w:eastAsia="zh-CN"/>
        </w:rPr>
        <w:t>蓝山</w:t>
      </w:r>
      <w:r>
        <w:rPr>
          <w:rFonts w:hint="eastAsia" w:ascii="Times New Roman" w:hAnsi="Times New Roman" w:eastAsia="宋体" w:cs="Times New Roman"/>
          <w:bCs/>
          <w:spacing w:val="6"/>
          <w:sz w:val="24"/>
          <w:highlight w:val="none"/>
          <w:u w:val="none" w:color="auto"/>
          <w:lang w:eastAsia="zh-CN"/>
        </w:rPr>
        <w:t>县</w:t>
      </w:r>
      <w:r>
        <w:rPr>
          <w:rFonts w:hint="eastAsia" w:cs="Times New Roman"/>
          <w:bCs/>
          <w:spacing w:val="6"/>
          <w:sz w:val="24"/>
          <w:highlight w:val="none"/>
          <w:u w:val="none" w:color="auto"/>
          <w:lang w:val="en-US" w:eastAsia="zh-CN"/>
        </w:rPr>
        <w:t>汇源</w:t>
      </w:r>
      <w:r>
        <w:rPr>
          <w:rFonts w:hint="eastAsia" w:ascii="Times New Roman" w:hAnsi="Times New Roman" w:eastAsia="宋体" w:cs="Times New Roman"/>
          <w:bCs/>
          <w:spacing w:val="6"/>
          <w:sz w:val="24"/>
          <w:highlight w:val="none"/>
          <w:u w:val="none" w:color="auto"/>
          <w:lang w:eastAsia="zh-CN"/>
        </w:rPr>
        <w:t>瑶族乡</w:t>
      </w:r>
      <w:r>
        <w:rPr>
          <w:rFonts w:hint="eastAsia" w:cs="Times New Roman"/>
          <w:bCs/>
          <w:spacing w:val="6"/>
          <w:sz w:val="24"/>
          <w:highlight w:val="none"/>
          <w:u w:val="none" w:color="auto"/>
          <w:lang w:val="en-US" w:eastAsia="zh-CN"/>
        </w:rPr>
        <w:t>和所城镇</w:t>
      </w:r>
      <w:r>
        <w:rPr>
          <w:rFonts w:hint="eastAsia" w:ascii="Times New Roman" w:hAnsi="Times New Roman" w:eastAsia="宋体" w:cs="Times New Roman"/>
          <w:bCs/>
          <w:spacing w:val="6"/>
          <w:sz w:val="24"/>
          <w:highlight w:val="none"/>
          <w:u w:val="none" w:color="auto"/>
          <w:lang w:eastAsia="zh-CN"/>
        </w:rPr>
        <w:t>为优先保护单元。本项目与管控要求符合性分析见下表，根据对比分析，本项目符合永州市环境管控单元（省级以上产业园区除外）生态环境准入清单要求。</w:t>
      </w:r>
    </w:p>
    <w:p>
      <w:pPr>
        <w:pStyle w:val="3656"/>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s="Times New Roman"/>
          <w:bCs/>
          <w:spacing w:val="6"/>
          <w:sz w:val="24"/>
          <w:highlight w:val="none"/>
          <w:u w:val="none" w:color="auto"/>
          <w:lang w:eastAsia="zh-CN"/>
        </w:rPr>
      </w:pPr>
      <w:r>
        <mc:AlternateContent>
          <mc:Choice Requires="wps">
            <w:drawing>
              <wp:anchor distT="0" distB="0" distL="114300" distR="114300" simplePos="0" relativeHeight="251694080" behindDoc="0" locked="0" layoutInCell="1" allowOverlap="1">
                <wp:simplePos x="0" y="0"/>
                <wp:positionH relativeFrom="column">
                  <wp:posOffset>3669030</wp:posOffset>
                </wp:positionH>
                <wp:positionV relativeFrom="paragraph">
                  <wp:posOffset>2313305</wp:posOffset>
                </wp:positionV>
                <wp:extent cx="728980" cy="300990"/>
                <wp:effectExtent l="762000" t="5080" r="13970" b="17780"/>
                <wp:wrapNone/>
                <wp:docPr id="2" name="圆角矩形标注 2"/>
                <wp:cNvGraphicFramePr/>
                <a:graphic xmlns:a="http://schemas.openxmlformats.org/drawingml/2006/main">
                  <a:graphicData uri="http://schemas.microsoft.com/office/word/2010/wordprocessingShape">
                    <wps:wsp>
                      <wps:cNvSpPr/>
                      <wps:spPr>
                        <a:xfrm>
                          <a:off x="0" y="0"/>
                          <a:ext cx="728980" cy="300990"/>
                        </a:xfrm>
                        <a:prstGeom prst="wedgeRoundRectCallout">
                          <a:avLst>
                            <a:gd name="adj1" fmla="val -149301"/>
                            <a:gd name="adj2" fmla="val 9282"/>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rPr>
                                <w:sz w:val="15"/>
                                <w:szCs w:val="15"/>
                              </w:rPr>
                            </w:pPr>
                            <w:r>
                              <w:rPr>
                                <w:rFonts w:hint="eastAsia"/>
                                <w:sz w:val="15"/>
                                <w:szCs w:val="15"/>
                              </w:rPr>
                              <w:t>项目所在地</w:t>
                            </w:r>
                          </w:p>
                        </w:txbxContent>
                      </wps:txbx>
                      <wps:bodyPr upright="true"/>
                    </wps:wsp>
                  </a:graphicData>
                </a:graphic>
              </wp:anchor>
            </w:drawing>
          </mc:Choice>
          <mc:Fallback>
            <w:pict>
              <v:shape id="_x0000_s1026" o:spid="_x0000_s1026" o:spt="62" type="#_x0000_t62" style="position:absolute;left:0pt;margin-left:288.9pt;margin-top:182.15pt;height:23.7pt;width:57.4pt;z-index:251694080;mso-width-relative:page;mso-height-relative:page;" fillcolor="#FFFFFF" filled="t" stroked="t" coordsize="21600,21600" o:gfxdata="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JtMlWdwAAAAL&#10;AQAADwAAAAAAAAABACAAAAA4AAAAZHJzL2Rvd25yZXYueG1sUEsBAhQAFAAAAAgAh07iQJTEG2A7&#10;AgAAcAQAAA4AAAAAAAAAAQAgAAAAQQEAAGRycy9lMm9Eb2MueG1sUEsFBgAAAAAGAAYAWQEAAO4F&#10;AAAAAA==&#10;" adj="0,12805,14400">
                <v:fill on="t" focussize="0,0"/>
                <v:stroke color="#000000" joinstyle="miter"/>
                <v:imagedata o:title=""/>
                <o:lock v:ext="edit" aspectratio="f"/>
                <v:textbox>
                  <w:txbxContent>
                    <w:p>
                      <w:pPr>
                        <w:spacing w:line="240" w:lineRule="auto"/>
                        <w:ind w:firstLine="0" w:firstLineChars="0"/>
                        <w:rPr>
                          <w:sz w:val="15"/>
                          <w:szCs w:val="15"/>
                        </w:rPr>
                      </w:pPr>
                      <w:r>
                        <w:rPr>
                          <w:rFonts w:hint="eastAsia"/>
                          <w:sz w:val="15"/>
                          <w:szCs w:val="15"/>
                        </w:rPr>
                        <w:t>项目所在地</w:t>
                      </w:r>
                    </w:p>
                  </w:txbxContent>
                </v:textbox>
              </v:shape>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2818130</wp:posOffset>
                </wp:positionH>
                <wp:positionV relativeFrom="paragraph">
                  <wp:posOffset>2437765</wp:posOffset>
                </wp:positionV>
                <wp:extent cx="90805" cy="90805"/>
                <wp:effectExtent l="4445" t="4445" r="19050" b="19050"/>
                <wp:wrapNone/>
                <wp:docPr id="4" name="椭圆 4"/>
                <wp:cNvGraphicFramePr/>
                <a:graphic xmlns:a="http://schemas.openxmlformats.org/drawingml/2006/main">
                  <a:graphicData uri="http://schemas.microsoft.com/office/word/2010/wordprocessingShape">
                    <wps:wsp>
                      <wps:cNvSpPr/>
                      <wps:spPr>
                        <a:xfrm>
                          <a:off x="0" y="0"/>
                          <a:ext cx="90805" cy="90805"/>
                        </a:xfrm>
                        <a:prstGeom prst="ellipse">
                          <a:avLst/>
                        </a:prstGeom>
                        <a:solidFill>
                          <a:srgbClr val="FF0000"/>
                        </a:solidFill>
                        <a:ln w="9525" cap="flat" cmpd="sng">
                          <a:solidFill>
                            <a:srgbClr val="000000"/>
                          </a:solidFill>
                          <a:prstDash val="solid"/>
                          <a:headEnd type="none" w="med" len="med"/>
                          <a:tailEnd type="none" w="med" len="med"/>
                        </a:ln>
                      </wps:spPr>
                      <wps:bodyPr upright="true"/>
                    </wps:wsp>
                  </a:graphicData>
                </a:graphic>
              </wp:anchor>
            </w:drawing>
          </mc:Choice>
          <mc:Fallback>
            <w:pict>
              <v:shape id="_x0000_s1026" o:spid="_x0000_s1026" o:spt="3" type="#_x0000_t3" style="position:absolute;left:0pt;margin-left:221.9pt;margin-top:191.95pt;height:7.15pt;width:7.15pt;z-index:251693056;mso-width-relative:page;mso-height-relative:page;" fillcolor="#FF0000" filled="t" stroked="t" coordsize="21600,21600" o:gfxdata="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WAAAAZHJzL1BLAQIUABQA&#10;AAAIAIdO4kAUHw5H2gAAAAsBAAAPAAAAAAAAAAEAIAAAADgAAABkcnMvZG93bnJldi54bWxQSwEC&#10;FAAUAAAACACHTuJABZo2cdwBAADJAwAADgAAAAAAAAABACAAAAA/AQAAZHJzL2Uyb0RvYy54bWxQ&#10;SwUGAAAAAAYABgBZAQAAjQUAAAAA&#10;">
                <v:fill on="t" focussize="0,0"/>
                <v:stroke color="#000000" joinstyle="round"/>
                <v:imagedata o:title=""/>
                <o:lock v:ext="edit" aspectratio="f"/>
              </v:shape>
            </w:pict>
          </mc:Fallback>
        </mc:AlternateContent>
      </w:r>
      <w:r>
        <w:drawing>
          <wp:inline distT="0" distB="0" distL="0" distR="0">
            <wp:extent cx="5643245" cy="3603625"/>
            <wp:effectExtent l="0" t="0" r="14605" b="15875"/>
            <wp:docPr id="1346412843"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46412843" name="图片 1"/>
                    <pic:cNvPicPr>
                      <a:picLocks noChangeAspect="true"/>
                    </pic:cNvPicPr>
                  </pic:nvPicPr>
                  <pic:blipFill>
                    <a:blip r:embed="rId75"/>
                    <a:stretch>
                      <a:fillRect/>
                    </a:stretch>
                  </pic:blipFill>
                  <pic:spPr>
                    <a:xfrm>
                      <a:off x="0" y="0"/>
                      <a:ext cx="5643245" cy="3603625"/>
                    </a:xfrm>
                    <a:prstGeom prst="rect">
                      <a:avLst/>
                    </a:prstGeom>
                  </pic:spPr>
                </pic:pic>
              </a:graphicData>
            </a:graphic>
          </wp:inline>
        </w:drawing>
      </w:r>
    </w:p>
    <w:p>
      <w:pPr>
        <w:rPr>
          <w:rFonts w:hint="eastAsia" w:ascii="Times New Roman" w:hAnsi="Times New Roman" w:eastAsia="宋体" w:cs="Times New Roman"/>
          <w:bCs/>
          <w:spacing w:val="6"/>
          <w:sz w:val="24"/>
          <w:u w:val="none" w:color="auto"/>
          <w:lang w:eastAsia="zh-CN"/>
        </w:rPr>
        <w:sectPr>
          <w:headerReference r:id="rId9" w:type="default"/>
          <w:footerReference r:id="rId10" w:type="default"/>
          <w:pgSz w:w="11905"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3" w:charSpace="0"/>
        </w:sectPr>
      </w:pPr>
    </w:p>
    <w:p>
      <w:pPr>
        <w:pStyle w:val="3588"/>
        <w:bidi w:val="0"/>
        <w:rPr>
          <w:rFonts w:hint="default"/>
          <w:u w:val="none" w:color="auto"/>
          <w:lang w:val="en-US" w:eastAsia="zh-CN"/>
        </w:rPr>
      </w:pPr>
      <w:r>
        <w:rPr>
          <w:rFonts w:hint="eastAsia"/>
          <w:u w:val="none" w:color="auto"/>
          <w:lang w:val="en-US" w:eastAsia="zh-CN"/>
        </w:rPr>
        <w:t>本项目与永州市蓝山县生态环境分区管控要求符合性分析</w:t>
      </w:r>
    </w:p>
    <w:tbl>
      <w:tblPr>
        <w:tblStyle w:val="89"/>
        <w:tblW w:w="1383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988"/>
        <w:gridCol w:w="1051"/>
        <w:gridCol w:w="437"/>
        <w:gridCol w:w="437"/>
        <w:gridCol w:w="438"/>
        <w:gridCol w:w="755"/>
        <w:gridCol w:w="770"/>
        <w:gridCol w:w="1788"/>
        <w:gridCol w:w="1773"/>
        <w:gridCol w:w="3942"/>
        <w:gridCol w:w="14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988"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eastAsia="宋体"/>
                <w:b/>
                <w:kern w:val="0"/>
                <w:sz w:val="21"/>
                <w:szCs w:val="21"/>
                <w:u w:val="none" w:color="auto"/>
              </w:rPr>
            </w:pPr>
            <w:r>
              <w:rPr>
                <w:rFonts w:eastAsia="宋体"/>
                <w:b/>
                <w:kern w:val="0"/>
                <w:sz w:val="21"/>
                <w:szCs w:val="21"/>
                <w:u w:val="none" w:color="auto"/>
              </w:rPr>
              <w:t>环境管控单元编码</w:t>
            </w:r>
          </w:p>
        </w:tc>
        <w:tc>
          <w:tcPr>
            <w:tcW w:w="1051"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eastAsia="宋体"/>
                <w:b/>
                <w:kern w:val="0"/>
                <w:sz w:val="21"/>
                <w:szCs w:val="21"/>
                <w:u w:val="none" w:color="auto"/>
              </w:rPr>
            </w:pPr>
            <w:r>
              <w:rPr>
                <w:rFonts w:eastAsia="宋体"/>
                <w:b/>
                <w:kern w:val="0"/>
                <w:sz w:val="21"/>
                <w:szCs w:val="21"/>
                <w:u w:val="none" w:color="auto"/>
              </w:rPr>
              <w:t>单元名称</w:t>
            </w:r>
          </w:p>
        </w:tc>
        <w:tc>
          <w:tcPr>
            <w:tcW w:w="1312" w:type="dxa"/>
            <w:gridSpan w:val="3"/>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eastAsia="宋体"/>
                <w:b/>
                <w:kern w:val="0"/>
                <w:sz w:val="21"/>
                <w:szCs w:val="21"/>
                <w:u w:val="none" w:color="auto"/>
              </w:rPr>
            </w:pPr>
            <w:r>
              <w:rPr>
                <w:rFonts w:eastAsia="宋体"/>
                <w:b/>
                <w:kern w:val="0"/>
                <w:sz w:val="21"/>
                <w:szCs w:val="21"/>
                <w:u w:val="none" w:color="auto"/>
              </w:rPr>
              <w:t>行政区划</w:t>
            </w:r>
          </w:p>
        </w:tc>
        <w:tc>
          <w:tcPr>
            <w:tcW w:w="755"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eastAsia="宋体"/>
                <w:b/>
                <w:kern w:val="0"/>
                <w:sz w:val="21"/>
                <w:szCs w:val="21"/>
                <w:u w:val="none" w:color="auto"/>
              </w:rPr>
            </w:pPr>
            <w:r>
              <w:rPr>
                <w:rFonts w:eastAsia="宋体"/>
                <w:b/>
                <w:kern w:val="0"/>
                <w:sz w:val="21"/>
                <w:szCs w:val="21"/>
                <w:u w:val="none" w:color="auto"/>
              </w:rPr>
              <w:t>单元</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eastAsia="宋体"/>
                <w:b/>
                <w:kern w:val="0"/>
                <w:sz w:val="21"/>
                <w:szCs w:val="21"/>
                <w:u w:val="none" w:color="auto"/>
              </w:rPr>
            </w:pPr>
            <w:r>
              <w:rPr>
                <w:rFonts w:eastAsia="宋体"/>
                <w:b/>
                <w:kern w:val="0"/>
                <w:sz w:val="21"/>
                <w:szCs w:val="21"/>
                <w:u w:val="none" w:color="auto"/>
              </w:rPr>
              <w:t>分类</w:t>
            </w:r>
          </w:p>
        </w:tc>
        <w:tc>
          <w:tcPr>
            <w:tcW w:w="770"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宋体"/>
                <w:b/>
                <w:kern w:val="0"/>
                <w:sz w:val="21"/>
                <w:szCs w:val="21"/>
                <w:u w:val="none" w:color="auto"/>
              </w:rPr>
            </w:pPr>
            <w:r>
              <w:rPr>
                <w:rFonts w:eastAsia="宋体"/>
                <w:b/>
                <w:kern w:val="0"/>
                <w:sz w:val="21"/>
                <w:szCs w:val="21"/>
                <w:u w:val="none" w:color="auto"/>
              </w:rPr>
              <w:t>单元面积（km</w:t>
            </w:r>
            <w:r>
              <w:rPr>
                <w:rFonts w:eastAsia="宋体"/>
                <w:b/>
                <w:kern w:val="0"/>
                <w:sz w:val="21"/>
                <w:szCs w:val="21"/>
                <w:u w:val="none" w:color="auto"/>
                <w:vertAlign w:val="superscript"/>
              </w:rPr>
              <w:t>2</w:t>
            </w:r>
            <w:r>
              <w:rPr>
                <w:rFonts w:eastAsia="宋体"/>
                <w:b/>
                <w:kern w:val="0"/>
                <w:sz w:val="21"/>
                <w:szCs w:val="21"/>
                <w:u w:val="none" w:color="auto"/>
              </w:rPr>
              <w:t>）</w:t>
            </w:r>
          </w:p>
        </w:tc>
        <w:tc>
          <w:tcPr>
            <w:tcW w:w="1788"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宋体"/>
                <w:b/>
                <w:kern w:val="0"/>
                <w:sz w:val="21"/>
                <w:szCs w:val="21"/>
                <w:u w:val="none" w:color="auto"/>
              </w:rPr>
            </w:pPr>
            <w:r>
              <w:rPr>
                <w:rFonts w:eastAsia="宋体"/>
                <w:b/>
                <w:kern w:val="0"/>
                <w:sz w:val="21"/>
                <w:szCs w:val="21"/>
                <w:u w:val="none" w:color="auto"/>
              </w:rPr>
              <w:t>涉及乡镇</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宋体"/>
                <w:b/>
                <w:kern w:val="0"/>
                <w:sz w:val="21"/>
                <w:szCs w:val="21"/>
                <w:u w:val="none" w:color="auto"/>
              </w:rPr>
            </w:pPr>
            <w:r>
              <w:rPr>
                <w:rFonts w:eastAsia="宋体"/>
                <w:b/>
                <w:kern w:val="0"/>
                <w:sz w:val="21"/>
                <w:szCs w:val="21"/>
                <w:u w:val="none" w:color="auto"/>
              </w:rPr>
              <w:t>（街道）</w:t>
            </w:r>
          </w:p>
        </w:tc>
        <w:tc>
          <w:tcPr>
            <w:tcW w:w="1773"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宋体"/>
                <w:b/>
                <w:kern w:val="0"/>
                <w:sz w:val="21"/>
                <w:szCs w:val="21"/>
                <w:u w:val="none" w:color="auto"/>
              </w:rPr>
            </w:pPr>
            <w:r>
              <w:rPr>
                <w:rFonts w:eastAsia="宋体"/>
                <w:b/>
                <w:kern w:val="0"/>
                <w:sz w:val="21"/>
                <w:szCs w:val="21"/>
                <w:u w:val="none" w:color="auto"/>
              </w:rPr>
              <w:t>主体功能定位</w:t>
            </w:r>
          </w:p>
        </w:tc>
        <w:tc>
          <w:tcPr>
            <w:tcW w:w="3942"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宋体"/>
                <w:b/>
                <w:kern w:val="0"/>
                <w:sz w:val="21"/>
                <w:szCs w:val="21"/>
                <w:u w:val="none" w:color="auto"/>
              </w:rPr>
            </w:pPr>
            <w:r>
              <w:rPr>
                <w:rFonts w:eastAsia="宋体"/>
                <w:b/>
                <w:kern w:val="0"/>
                <w:sz w:val="21"/>
                <w:szCs w:val="21"/>
                <w:u w:val="none" w:color="auto"/>
              </w:rPr>
              <w:t>经济产业布局</w:t>
            </w:r>
          </w:p>
        </w:tc>
        <w:tc>
          <w:tcPr>
            <w:tcW w:w="1455"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宋体"/>
                <w:b/>
                <w:kern w:val="0"/>
                <w:sz w:val="21"/>
                <w:szCs w:val="21"/>
                <w:u w:val="none" w:color="auto"/>
              </w:rPr>
            </w:pPr>
            <w:r>
              <w:rPr>
                <w:rFonts w:eastAsia="宋体"/>
                <w:b/>
                <w:kern w:val="0"/>
                <w:sz w:val="21"/>
                <w:szCs w:val="21"/>
                <w:u w:val="none" w:color="auto"/>
              </w:rPr>
              <w:t>主要环境问题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blHeader/>
          <w:jc w:val="center"/>
        </w:trPr>
        <w:tc>
          <w:tcPr>
            <w:tcW w:w="988"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eastAsia="宋体"/>
                <w:kern w:val="0"/>
                <w:sz w:val="21"/>
                <w:szCs w:val="21"/>
                <w:u w:val="none" w:color="auto"/>
              </w:rPr>
            </w:pPr>
          </w:p>
        </w:tc>
        <w:tc>
          <w:tcPr>
            <w:tcW w:w="105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eastAsia="宋体"/>
                <w:kern w:val="0"/>
                <w:sz w:val="21"/>
                <w:szCs w:val="21"/>
                <w:u w:val="none" w:color="auto"/>
              </w:rPr>
            </w:pPr>
          </w:p>
        </w:tc>
        <w:tc>
          <w:tcPr>
            <w:tcW w:w="43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宋体"/>
                <w:b/>
                <w:kern w:val="0"/>
                <w:sz w:val="21"/>
                <w:szCs w:val="21"/>
                <w:u w:val="none" w:color="auto"/>
              </w:rPr>
            </w:pPr>
            <w:r>
              <w:rPr>
                <w:rFonts w:eastAsia="宋体"/>
                <w:b/>
                <w:kern w:val="0"/>
                <w:sz w:val="21"/>
                <w:szCs w:val="21"/>
                <w:u w:val="none" w:color="auto"/>
              </w:rPr>
              <w:t>省</w:t>
            </w:r>
          </w:p>
        </w:tc>
        <w:tc>
          <w:tcPr>
            <w:tcW w:w="43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宋体"/>
                <w:b/>
                <w:kern w:val="0"/>
                <w:sz w:val="21"/>
                <w:szCs w:val="21"/>
                <w:u w:val="none" w:color="auto"/>
              </w:rPr>
            </w:pPr>
            <w:r>
              <w:rPr>
                <w:rFonts w:eastAsia="宋体"/>
                <w:b/>
                <w:kern w:val="0"/>
                <w:sz w:val="21"/>
                <w:szCs w:val="21"/>
                <w:u w:val="none" w:color="auto"/>
              </w:rPr>
              <w:t>市</w:t>
            </w:r>
          </w:p>
        </w:tc>
        <w:tc>
          <w:tcPr>
            <w:tcW w:w="43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宋体"/>
                <w:b/>
                <w:kern w:val="0"/>
                <w:sz w:val="21"/>
                <w:szCs w:val="21"/>
                <w:u w:val="none" w:color="auto"/>
              </w:rPr>
            </w:pPr>
            <w:r>
              <w:rPr>
                <w:rFonts w:eastAsia="宋体"/>
                <w:b/>
                <w:kern w:val="0"/>
                <w:sz w:val="21"/>
                <w:szCs w:val="21"/>
                <w:u w:val="none" w:color="auto"/>
              </w:rPr>
              <w:t>县</w:t>
            </w:r>
          </w:p>
        </w:tc>
        <w:tc>
          <w:tcPr>
            <w:tcW w:w="75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宋体"/>
                <w:kern w:val="0"/>
                <w:sz w:val="21"/>
                <w:szCs w:val="21"/>
                <w:u w:val="none" w:color="auto"/>
              </w:rPr>
            </w:pPr>
          </w:p>
        </w:tc>
        <w:tc>
          <w:tcPr>
            <w:tcW w:w="770"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宋体"/>
                <w:kern w:val="0"/>
                <w:sz w:val="21"/>
                <w:szCs w:val="21"/>
                <w:u w:val="none" w:color="auto"/>
              </w:rPr>
            </w:pPr>
          </w:p>
        </w:tc>
        <w:tc>
          <w:tcPr>
            <w:tcW w:w="178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宋体"/>
                <w:kern w:val="0"/>
                <w:sz w:val="21"/>
                <w:szCs w:val="21"/>
                <w:u w:val="none" w:color="auto"/>
              </w:rPr>
            </w:pPr>
          </w:p>
        </w:tc>
        <w:tc>
          <w:tcPr>
            <w:tcW w:w="177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宋体"/>
                <w:kern w:val="0"/>
                <w:sz w:val="21"/>
                <w:szCs w:val="21"/>
                <w:u w:val="none" w:color="auto"/>
              </w:rPr>
            </w:pPr>
          </w:p>
        </w:tc>
        <w:tc>
          <w:tcPr>
            <w:tcW w:w="3942"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宋体"/>
                <w:kern w:val="0"/>
                <w:sz w:val="21"/>
                <w:szCs w:val="21"/>
                <w:u w:val="none" w:color="auto"/>
              </w:rPr>
            </w:pPr>
          </w:p>
        </w:tc>
        <w:tc>
          <w:tcPr>
            <w:tcW w:w="1455" w:type="dxa"/>
            <w:vMerge w:val="continue"/>
            <w:tcBorders>
              <w:tl2br w:val="nil"/>
              <w:tr2bl w:val="nil"/>
            </w:tcBorders>
            <w:noWrap w:val="0"/>
            <w:vAlign w:val="top"/>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宋体"/>
                <w:kern w:val="0"/>
                <w:sz w:val="21"/>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888" w:hRule="atLeast"/>
          <w:jc w:val="center"/>
        </w:trPr>
        <w:tc>
          <w:tcPr>
            <w:tcW w:w="98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kern w:val="0"/>
                <w:sz w:val="21"/>
                <w:szCs w:val="21"/>
                <w:u w:val="none" w:color="auto"/>
                <w:lang w:val="en-US" w:eastAsia="zh-CN"/>
              </w:rPr>
            </w:pPr>
            <w:r>
              <w:rPr>
                <w:rFonts w:eastAsia="宋体"/>
                <w:kern w:val="0"/>
                <w:sz w:val="21"/>
                <w:szCs w:val="21"/>
                <w:u w:val="none" w:color="auto"/>
              </w:rPr>
              <w:t>ZH43</w:t>
            </w:r>
            <w:r>
              <w:rPr>
                <w:rFonts w:hint="eastAsia" w:eastAsia="宋体"/>
                <w:kern w:val="0"/>
                <w:sz w:val="21"/>
                <w:szCs w:val="21"/>
                <w:u w:val="none" w:color="auto"/>
                <w:lang w:val="en-US" w:eastAsia="zh-CN"/>
              </w:rPr>
              <w:t>112</w:t>
            </w:r>
            <w:r>
              <w:rPr>
                <w:rFonts w:hint="eastAsia"/>
                <w:kern w:val="0"/>
                <w:sz w:val="21"/>
                <w:szCs w:val="21"/>
                <w:u w:val="none" w:color="auto"/>
                <w:lang w:val="en-US" w:eastAsia="zh-CN"/>
              </w:rPr>
              <w:t>7</w:t>
            </w:r>
            <w:r>
              <w:rPr>
                <w:rFonts w:hint="eastAsia" w:eastAsia="宋体"/>
                <w:kern w:val="0"/>
                <w:sz w:val="21"/>
                <w:szCs w:val="21"/>
                <w:u w:val="none" w:color="auto"/>
                <w:lang w:val="en-US" w:eastAsia="zh-CN"/>
              </w:rPr>
              <w:t>10002</w:t>
            </w:r>
          </w:p>
        </w:tc>
        <w:tc>
          <w:tcPr>
            <w:tcW w:w="105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eastAsia="宋体"/>
                <w:kern w:val="0"/>
                <w:sz w:val="21"/>
                <w:szCs w:val="21"/>
                <w:u w:val="none" w:color="auto"/>
              </w:rPr>
            </w:pPr>
            <w:r>
              <w:rPr>
                <w:rFonts w:hint="eastAsia" w:eastAsia="宋体"/>
                <w:kern w:val="0"/>
                <w:sz w:val="21"/>
                <w:szCs w:val="21"/>
                <w:u w:val="none" w:color="auto"/>
              </w:rPr>
              <w:t>汇源瑶族乡/所城镇</w:t>
            </w:r>
          </w:p>
        </w:tc>
        <w:tc>
          <w:tcPr>
            <w:tcW w:w="43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eastAsia="宋体"/>
                <w:kern w:val="0"/>
                <w:sz w:val="21"/>
                <w:szCs w:val="21"/>
                <w:u w:val="none" w:color="auto"/>
              </w:rPr>
            </w:pPr>
            <w:r>
              <w:rPr>
                <w:rFonts w:eastAsia="宋体"/>
                <w:kern w:val="0"/>
                <w:sz w:val="21"/>
                <w:szCs w:val="21"/>
                <w:u w:val="none" w:color="auto"/>
              </w:rPr>
              <w:t>湖南省</w:t>
            </w:r>
          </w:p>
        </w:tc>
        <w:tc>
          <w:tcPr>
            <w:tcW w:w="43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eastAsia="宋体"/>
                <w:kern w:val="0"/>
                <w:sz w:val="21"/>
                <w:szCs w:val="21"/>
                <w:u w:val="none" w:color="auto"/>
              </w:rPr>
            </w:pPr>
            <w:r>
              <w:rPr>
                <w:rFonts w:hint="eastAsia" w:eastAsia="宋体"/>
                <w:kern w:val="0"/>
                <w:sz w:val="21"/>
                <w:szCs w:val="21"/>
                <w:u w:val="none" w:color="auto"/>
                <w:lang w:eastAsia="zh-CN"/>
              </w:rPr>
              <w:t>永州</w:t>
            </w:r>
            <w:r>
              <w:rPr>
                <w:rFonts w:eastAsia="宋体"/>
                <w:kern w:val="0"/>
                <w:sz w:val="21"/>
                <w:szCs w:val="21"/>
                <w:u w:val="none" w:color="auto"/>
              </w:rPr>
              <w:t>市</w:t>
            </w:r>
          </w:p>
        </w:tc>
        <w:tc>
          <w:tcPr>
            <w:tcW w:w="43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宋体"/>
                <w:kern w:val="0"/>
                <w:sz w:val="21"/>
                <w:szCs w:val="21"/>
                <w:u w:val="none" w:color="auto"/>
              </w:rPr>
            </w:pPr>
            <w:r>
              <w:rPr>
                <w:rFonts w:hint="eastAsia"/>
                <w:kern w:val="0"/>
                <w:sz w:val="21"/>
                <w:szCs w:val="21"/>
                <w:u w:val="none" w:color="auto"/>
                <w:lang w:eastAsia="zh-CN"/>
              </w:rPr>
              <w:t>蓝山</w:t>
            </w:r>
            <w:r>
              <w:rPr>
                <w:rFonts w:eastAsia="宋体"/>
                <w:kern w:val="0"/>
                <w:sz w:val="21"/>
                <w:szCs w:val="21"/>
                <w:u w:val="none" w:color="auto"/>
              </w:rPr>
              <w:t>县</w:t>
            </w:r>
          </w:p>
        </w:tc>
        <w:tc>
          <w:tcPr>
            <w:tcW w:w="75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宋体"/>
                <w:kern w:val="0"/>
                <w:sz w:val="21"/>
                <w:szCs w:val="21"/>
                <w:u w:val="none" w:color="auto"/>
              </w:rPr>
            </w:pPr>
            <w:r>
              <w:rPr>
                <w:rFonts w:hint="eastAsia" w:eastAsia="宋体"/>
                <w:kern w:val="0"/>
                <w:sz w:val="21"/>
                <w:szCs w:val="21"/>
                <w:u w:val="none" w:color="auto"/>
                <w:lang w:eastAsia="zh-CN"/>
              </w:rPr>
              <w:t>优先保护</w:t>
            </w:r>
            <w:r>
              <w:rPr>
                <w:rFonts w:eastAsia="宋体"/>
                <w:kern w:val="0"/>
                <w:sz w:val="21"/>
                <w:szCs w:val="21"/>
                <w:u w:val="none" w:color="auto"/>
              </w:rPr>
              <w:t>单元</w:t>
            </w:r>
          </w:p>
        </w:tc>
        <w:tc>
          <w:tcPr>
            <w:tcW w:w="770"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kern w:val="0"/>
                <w:sz w:val="21"/>
                <w:szCs w:val="21"/>
                <w:u w:val="none" w:color="auto"/>
                <w:lang w:val="en-US" w:eastAsia="zh-CN"/>
              </w:rPr>
            </w:pPr>
            <w:r>
              <w:rPr>
                <w:rFonts w:hint="eastAsia" w:eastAsia="宋体"/>
                <w:kern w:val="0"/>
                <w:sz w:val="21"/>
                <w:szCs w:val="21"/>
                <w:u w:val="none" w:color="auto"/>
                <w:lang w:val="en-US" w:eastAsia="zh-CN"/>
              </w:rPr>
              <w:t>/</w:t>
            </w:r>
          </w:p>
        </w:tc>
        <w:tc>
          <w:tcPr>
            <w:tcW w:w="178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宋体"/>
                <w:kern w:val="0"/>
                <w:sz w:val="21"/>
                <w:szCs w:val="21"/>
                <w:u w:val="none" w:color="auto"/>
              </w:rPr>
            </w:pPr>
            <w:r>
              <w:rPr>
                <w:rFonts w:hint="eastAsia" w:eastAsia="宋体"/>
                <w:kern w:val="0"/>
                <w:sz w:val="21"/>
                <w:szCs w:val="21"/>
                <w:u w:val="none" w:color="auto"/>
              </w:rPr>
              <w:t>汇源瑶族乡/所城镇</w:t>
            </w:r>
          </w:p>
        </w:tc>
        <w:tc>
          <w:tcPr>
            <w:tcW w:w="177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kern w:val="0"/>
                <w:sz w:val="21"/>
                <w:szCs w:val="21"/>
                <w:u w:val="none" w:color="auto"/>
                <w:lang w:eastAsia="zh-CN"/>
              </w:rPr>
            </w:pPr>
            <w:r>
              <w:rPr>
                <w:rFonts w:hint="eastAsia" w:eastAsia="宋体"/>
                <w:kern w:val="0"/>
                <w:sz w:val="21"/>
                <w:szCs w:val="21"/>
                <w:u w:val="none" w:color="auto"/>
                <w:lang w:eastAsia="zh-CN"/>
              </w:rPr>
              <w:t>重点生态功能区</w:t>
            </w:r>
          </w:p>
        </w:tc>
        <w:tc>
          <w:tcPr>
            <w:tcW w:w="394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eastAsia"/>
                <w:sz w:val="21"/>
                <w:szCs w:val="21"/>
                <w:u w:val="none" w:color="auto"/>
                <w:lang w:eastAsia="zh-CN"/>
              </w:rPr>
            </w:pPr>
            <w:r>
              <w:rPr>
                <w:rFonts w:hint="eastAsia"/>
                <w:sz w:val="21"/>
                <w:szCs w:val="21"/>
                <w:u w:val="none" w:color="auto"/>
                <w:lang w:eastAsia="zh-CN"/>
              </w:rPr>
              <w:t>农业、</w:t>
            </w:r>
            <w:r>
              <w:rPr>
                <w:rFonts w:hint="eastAsia"/>
                <w:sz w:val="21"/>
                <w:szCs w:val="21"/>
                <w:u w:val="none" w:color="auto"/>
                <w:lang w:val="en-US" w:eastAsia="zh-CN"/>
              </w:rPr>
              <w:t>林业、</w:t>
            </w:r>
            <w:r>
              <w:rPr>
                <w:rFonts w:hint="eastAsia"/>
                <w:sz w:val="21"/>
                <w:szCs w:val="21"/>
                <w:u w:val="none" w:color="auto"/>
                <w:lang w:eastAsia="zh-CN"/>
              </w:rPr>
              <w:t>养殖业、旅游业、</w:t>
            </w:r>
            <w:r>
              <w:rPr>
                <w:rFonts w:hint="eastAsia"/>
                <w:sz w:val="21"/>
                <w:szCs w:val="21"/>
                <w:u w:val="none" w:color="auto"/>
                <w:lang w:val="en-US" w:eastAsia="zh-CN"/>
              </w:rPr>
              <w:t>风电开发、采矿等</w:t>
            </w:r>
            <w:r>
              <w:rPr>
                <w:rFonts w:hint="eastAsia"/>
                <w:sz w:val="21"/>
                <w:szCs w:val="21"/>
                <w:u w:val="none" w:color="auto"/>
                <w:lang w:eastAsia="zh-CN"/>
              </w:rPr>
              <w:t>。</w:t>
            </w:r>
          </w:p>
        </w:tc>
        <w:tc>
          <w:tcPr>
            <w:tcW w:w="145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eastAsia="宋体"/>
                <w:kern w:val="0"/>
                <w:sz w:val="21"/>
                <w:szCs w:val="21"/>
                <w:u w:val="none" w:color="auto"/>
                <w:lang w:val="en-US" w:eastAsia="zh-CN"/>
              </w:rPr>
            </w:pPr>
            <w:r>
              <w:rPr>
                <w:rFonts w:hint="eastAsia" w:eastAsia="宋体"/>
                <w:kern w:val="0"/>
                <w:sz w:val="21"/>
                <w:szCs w:val="21"/>
                <w:u w:val="none" w:color="auto"/>
                <w:lang w:eastAsia="zh-CN"/>
              </w:rPr>
              <w:t>无明显环境问题</w:t>
            </w:r>
            <w:r>
              <w:rPr>
                <w:rFonts w:hint="eastAsia"/>
                <w:kern w:val="0"/>
                <w:sz w:val="21"/>
                <w:szCs w:val="21"/>
                <w:u w:val="none" w:color="auto"/>
                <w:lang w:eastAsia="zh-CN"/>
              </w:rPr>
              <w:t>。</w:t>
            </w:r>
            <w:r>
              <w:rPr>
                <w:rFonts w:hint="eastAsia"/>
                <w:kern w:val="0"/>
                <w:sz w:val="21"/>
                <w:szCs w:val="21"/>
                <w:u w:val="none" w:color="auto"/>
                <w:lang w:val="en-US" w:eastAsia="zh-CN"/>
              </w:rPr>
              <w:t>环保目标：湖南蓝山舜水河省级湿地公园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98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eastAsia="宋体"/>
                <w:b/>
                <w:kern w:val="0"/>
                <w:sz w:val="21"/>
                <w:szCs w:val="21"/>
                <w:u w:val="none" w:color="auto"/>
              </w:rPr>
            </w:pPr>
            <w:r>
              <w:rPr>
                <w:rFonts w:eastAsia="宋体"/>
                <w:b/>
                <w:kern w:val="0"/>
                <w:sz w:val="21"/>
                <w:szCs w:val="21"/>
                <w:u w:val="none" w:color="auto"/>
              </w:rPr>
              <w:t>管控维度</w:t>
            </w:r>
          </w:p>
        </w:tc>
        <w:tc>
          <w:tcPr>
            <w:tcW w:w="7449" w:type="dxa"/>
            <w:gridSpan w:val="8"/>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eastAsia="宋体"/>
                <w:b/>
                <w:kern w:val="0"/>
                <w:sz w:val="21"/>
                <w:szCs w:val="21"/>
                <w:u w:val="none" w:color="auto"/>
              </w:rPr>
            </w:pPr>
            <w:r>
              <w:rPr>
                <w:rFonts w:eastAsia="宋体"/>
                <w:b/>
                <w:kern w:val="0"/>
                <w:sz w:val="21"/>
                <w:szCs w:val="21"/>
                <w:u w:val="none" w:color="auto"/>
              </w:rPr>
              <w:t>管控要求</w:t>
            </w:r>
          </w:p>
        </w:tc>
        <w:tc>
          <w:tcPr>
            <w:tcW w:w="394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kern w:val="0"/>
                <w:sz w:val="21"/>
                <w:szCs w:val="21"/>
                <w:u w:val="none" w:color="auto"/>
                <w:lang w:eastAsia="zh-CN"/>
              </w:rPr>
            </w:pPr>
            <w:r>
              <w:rPr>
                <w:rFonts w:hint="eastAsia" w:eastAsia="宋体"/>
                <w:b/>
                <w:kern w:val="0"/>
                <w:sz w:val="21"/>
                <w:szCs w:val="21"/>
                <w:u w:val="none" w:color="auto"/>
                <w:lang w:eastAsia="zh-CN"/>
              </w:rPr>
              <w:t>项目情况</w:t>
            </w:r>
          </w:p>
        </w:tc>
        <w:tc>
          <w:tcPr>
            <w:tcW w:w="145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kern w:val="0"/>
                <w:sz w:val="21"/>
                <w:szCs w:val="21"/>
                <w:u w:val="none" w:color="auto"/>
                <w:lang w:eastAsia="zh-CN"/>
              </w:rPr>
            </w:pPr>
            <w:r>
              <w:rPr>
                <w:rFonts w:hint="eastAsia" w:eastAsia="宋体"/>
                <w:b/>
                <w:kern w:val="0"/>
                <w:sz w:val="21"/>
                <w:szCs w:val="21"/>
                <w:u w:val="none" w:color="auto"/>
                <w:lang w:eastAsia="zh-CN"/>
              </w:rPr>
              <w:t>符合性分析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902" w:hRule="atLeast"/>
          <w:jc w:val="center"/>
        </w:trPr>
        <w:tc>
          <w:tcPr>
            <w:tcW w:w="98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eastAsia="宋体"/>
                <w:kern w:val="0"/>
                <w:sz w:val="21"/>
                <w:szCs w:val="21"/>
                <w:u w:val="none" w:color="auto"/>
              </w:rPr>
            </w:pPr>
            <w:r>
              <w:rPr>
                <w:rFonts w:eastAsia="宋体"/>
                <w:kern w:val="0"/>
                <w:sz w:val="21"/>
                <w:szCs w:val="21"/>
                <w:u w:val="none" w:color="auto"/>
              </w:rPr>
              <w:t>空间布局约束</w:t>
            </w:r>
          </w:p>
        </w:tc>
        <w:tc>
          <w:tcPr>
            <w:tcW w:w="7449" w:type="dxa"/>
            <w:gridSpan w:val="8"/>
            <w:tcBorders>
              <w:tl2br w:val="nil"/>
              <w:tr2bl w:val="nil"/>
            </w:tcBorders>
            <w:noWrap w:val="0"/>
            <w:vAlign w:val="center"/>
          </w:tcPr>
          <w:p>
            <w:pPr>
              <w:keepNext w:val="0"/>
              <w:keepLines w:val="0"/>
              <w:pageBreakBefore w:val="0"/>
              <w:kinsoku/>
              <w:wordWrap/>
              <w:overflowPunct/>
              <w:topLinePunct w:val="0"/>
              <w:autoSpaceDE/>
              <w:autoSpaceDN/>
              <w:bidi w:val="0"/>
              <w:spacing w:beforeLines="0" w:afterLines="0" w:line="240" w:lineRule="auto"/>
              <w:ind w:firstLine="0" w:firstLineChars="0"/>
              <w:jc w:val="left"/>
              <w:textAlignment w:val="auto"/>
              <w:rPr>
                <w:rFonts w:hint="eastAsia" w:eastAsia="宋体"/>
                <w:sz w:val="21"/>
                <w:szCs w:val="21"/>
                <w:u w:val="none" w:color="auto"/>
                <w:lang w:eastAsia="zh-CN"/>
              </w:rPr>
            </w:pPr>
            <w:r>
              <w:rPr>
                <w:rFonts w:hint="default"/>
                <w:sz w:val="21"/>
                <w:szCs w:val="21"/>
                <w:u w:val="none" w:color="auto"/>
              </w:rPr>
              <w:t>（1.1）产业准入应严格执行国家、省级关于主体功能区划的环境保护及产业准入负面清单要求。</w:t>
            </w:r>
          </w:p>
          <w:p>
            <w:pPr>
              <w:keepNext w:val="0"/>
              <w:keepLines w:val="0"/>
              <w:pageBreakBefore w:val="0"/>
              <w:kinsoku/>
              <w:wordWrap/>
              <w:overflowPunct/>
              <w:topLinePunct w:val="0"/>
              <w:autoSpaceDE/>
              <w:autoSpaceDN/>
              <w:bidi w:val="0"/>
              <w:spacing w:beforeLines="0" w:afterLines="0" w:line="240" w:lineRule="auto"/>
              <w:ind w:firstLine="0" w:firstLineChars="0"/>
              <w:jc w:val="left"/>
              <w:textAlignment w:val="auto"/>
              <w:rPr>
                <w:rFonts w:hint="eastAsia" w:eastAsia="宋体"/>
                <w:sz w:val="21"/>
                <w:szCs w:val="21"/>
                <w:u w:val="none" w:color="auto"/>
                <w:lang w:eastAsia="zh-CN"/>
              </w:rPr>
            </w:pPr>
            <w:r>
              <w:rPr>
                <w:rFonts w:hint="eastAsia"/>
                <w:sz w:val="21"/>
                <w:szCs w:val="21"/>
                <w:u w:val="none" w:color="auto"/>
                <w:lang w:eastAsia="zh-CN"/>
              </w:rPr>
              <w:t>（</w:t>
            </w:r>
            <w:r>
              <w:rPr>
                <w:rFonts w:hint="eastAsia"/>
                <w:sz w:val="21"/>
                <w:szCs w:val="21"/>
                <w:u w:val="none" w:color="auto"/>
                <w:lang w:val="en-US" w:eastAsia="zh-CN"/>
              </w:rPr>
              <w:t>1.2</w:t>
            </w:r>
            <w:r>
              <w:rPr>
                <w:rFonts w:hint="eastAsia"/>
                <w:sz w:val="21"/>
                <w:szCs w:val="21"/>
                <w:u w:val="none" w:color="auto"/>
                <w:lang w:eastAsia="zh-CN"/>
              </w:rPr>
              <w:t>）畜禽养殖产业布局应符合《蓝山县畜禽养殖“三区”划定方案》。禁养区逐步退出养殖业，限养区不再新建、改建、扩建畜禽养殖场、小区</w:t>
            </w:r>
            <w:r>
              <w:rPr>
                <w:rFonts w:hint="default"/>
                <w:sz w:val="21"/>
                <w:szCs w:val="21"/>
                <w:u w:val="none" w:color="auto"/>
              </w:rPr>
              <w:t>。</w:t>
            </w:r>
          </w:p>
        </w:tc>
        <w:tc>
          <w:tcPr>
            <w:tcW w:w="3942" w:type="dxa"/>
            <w:tcBorders>
              <w:tl2br w:val="nil"/>
              <w:tr2bl w:val="nil"/>
            </w:tcBorders>
            <w:noWrap w:val="0"/>
            <w:vAlign w:val="center"/>
          </w:tcPr>
          <w:p>
            <w:pPr>
              <w:keepNext w:val="0"/>
              <w:keepLines w:val="0"/>
              <w:pageBreakBefore w:val="0"/>
              <w:tabs>
                <w:tab w:val="left" w:pos="1021"/>
                <w:tab w:val="clear" w:pos="480"/>
              </w:tabs>
              <w:kinsoku/>
              <w:wordWrap/>
              <w:overflowPunct/>
              <w:topLinePunct w:val="0"/>
              <w:autoSpaceDE/>
              <w:autoSpaceDN/>
              <w:bidi w:val="0"/>
              <w:adjustRightInd w:val="0"/>
              <w:snapToGrid w:val="0"/>
              <w:spacing w:line="240" w:lineRule="auto"/>
              <w:ind w:firstLine="0" w:firstLineChars="0"/>
              <w:textAlignment w:val="auto"/>
              <w:rPr>
                <w:rFonts w:hint="default"/>
                <w:sz w:val="21"/>
                <w:szCs w:val="21"/>
                <w:u w:val="none" w:color="auto"/>
                <w:lang w:val="en-US" w:eastAsia="zh-CN"/>
              </w:rPr>
            </w:pPr>
            <w:r>
              <w:rPr>
                <w:rFonts w:hint="eastAsia"/>
                <w:color w:val="auto"/>
                <w:sz w:val="21"/>
                <w:szCs w:val="21"/>
                <w:u w:val="none"/>
                <w:lang w:val="en-US" w:eastAsia="zh-CN"/>
              </w:rPr>
              <w:t>本项目符合</w:t>
            </w:r>
            <w:r>
              <w:rPr>
                <w:rFonts w:hint="eastAsia"/>
                <w:color w:val="auto"/>
                <w:sz w:val="21"/>
                <w:szCs w:val="21"/>
                <w:u w:val="none"/>
              </w:rPr>
              <w:t>《湖南省国家重点生态功能区产业准入负面清单》(湘发改规划〔2018〕373号）</w:t>
            </w:r>
            <w:r>
              <w:rPr>
                <w:rFonts w:hint="eastAsia"/>
                <w:color w:val="auto"/>
                <w:sz w:val="21"/>
                <w:szCs w:val="21"/>
                <w:u w:val="none"/>
                <w:lang w:val="en-US" w:eastAsia="zh-CN"/>
              </w:rPr>
              <w:t>、</w:t>
            </w:r>
            <w:r>
              <w:rPr>
                <w:rFonts w:hint="eastAsia"/>
                <w:color w:val="auto"/>
                <w:sz w:val="21"/>
                <w:szCs w:val="21"/>
                <w:u w:val="none"/>
              </w:rPr>
              <w:t>《长江经济带发展负面清单指南（试行，2022年版）》</w:t>
            </w:r>
            <w:r>
              <w:rPr>
                <w:rFonts w:hint="eastAsia"/>
                <w:color w:val="auto"/>
                <w:sz w:val="21"/>
                <w:szCs w:val="21"/>
                <w:u w:val="none"/>
                <w:lang w:val="en-US" w:eastAsia="zh-CN"/>
              </w:rPr>
              <w:t>要求</w:t>
            </w:r>
            <w:r>
              <w:rPr>
                <w:rFonts w:hint="eastAsia"/>
                <w:color w:val="auto"/>
                <w:sz w:val="21"/>
                <w:szCs w:val="21"/>
                <w:u w:val="none"/>
              </w:rPr>
              <w:t>。</w:t>
            </w:r>
          </w:p>
        </w:tc>
        <w:tc>
          <w:tcPr>
            <w:tcW w:w="1455" w:type="dxa"/>
            <w:tcBorders>
              <w:tl2br w:val="nil"/>
              <w:tr2bl w:val="nil"/>
            </w:tcBorders>
            <w:noWrap w:val="0"/>
            <w:vAlign w:val="center"/>
          </w:tcPr>
          <w:p>
            <w:pPr>
              <w:keepNext w:val="0"/>
              <w:keepLines w:val="0"/>
              <w:pageBreakBefore w:val="0"/>
              <w:tabs>
                <w:tab w:val="left" w:pos="1021"/>
                <w:tab w:val="clear"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kern w:val="0"/>
                <w:sz w:val="21"/>
                <w:szCs w:val="21"/>
                <w:u w:val="none" w:color="auto"/>
                <w:lang w:eastAsia="zh-CN"/>
              </w:rPr>
            </w:pPr>
            <w:r>
              <w:rPr>
                <w:rFonts w:hint="eastAsia" w:eastAsia="宋体"/>
                <w:kern w:val="0"/>
                <w:sz w:val="21"/>
                <w:szCs w:val="21"/>
                <w:u w:val="none" w:color="auto"/>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98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eastAsia="宋体"/>
                <w:kern w:val="0"/>
                <w:sz w:val="21"/>
                <w:szCs w:val="21"/>
                <w:u w:val="none" w:color="auto"/>
              </w:rPr>
            </w:pPr>
            <w:r>
              <w:rPr>
                <w:rFonts w:eastAsia="宋体"/>
                <w:kern w:val="0"/>
                <w:sz w:val="21"/>
                <w:szCs w:val="21"/>
                <w:u w:val="none" w:color="auto"/>
              </w:rPr>
              <w:t>污染物排放管控</w:t>
            </w:r>
          </w:p>
        </w:tc>
        <w:tc>
          <w:tcPr>
            <w:tcW w:w="7449" w:type="dxa"/>
            <w:gridSpan w:val="8"/>
            <w:tcBorders>
              <w:tl2br w:val="nil"/>
              <w:tr2bl w:val="nil"/>
            </w:tcBorders>
            <w:noWrap w:val="0"/>
            <w:vAlign w:val="center"/>
          </w:tcPr>
          <w:p>
            <w:pPr>
              <w:keepNext w:val="0"/>
              <w:keepLines w:val="0"/>
              <w:pageBreakBefore w:val="0"/>
              <w:kinsoku/>
              <w:wordWrap/>
              <w:overflowPunct/>
              <w:topLinePunct w:val="0"/>
              <w:autoSpaceDE/>
              <w:autoSpaceDN/>
              <w:bidi w:val="0"/>
              <w:spacing w:beforeLines="0" w:afterLines="0" w:line="240" w:lineRule="auto"/>
              <w:ind w:firstLine="0" w:firstLineChars="0"/>
              <w:jc w:val="left"/>
              <w:textAlignment w:val="auto"/>
              <w:rPr>
                <w:rFonts w:hint="eastAsia" w:ascii="Times New Roman" w:hAnsi="Times New Roman" w:eastAsia="宋体" w:cs="Times New Roman"/>
                <w:kern w:val="0"/>
                <w:sz w:val="21"/>
                <w:szCs w:val="21"/>
                <w:u w:val="none" w:color="auto"/>
                <w:lang w:eastAsia="zh-CN"/>
              </w:rPr>
            </w:pPr>
            <w:r>
              <w:rPr>
                <w:rFonts w:hint="eastAsia" w:ascii="Times New Roman" w:hAnsi="Times New Roman" w:eastAsia="宋体" w:cs="Times New Roman"/>
                <w:kern w:val="0"/>
                <w:sz w:val="21"/>
                <w:szCs w:val="21"/>
                <w:u w:val="none" w:color="auto"/>
                <w:lang w:eastAsia="zh-CN"/>
              </w:rPr>
              <w:t>（2.1）实施蓝山县舜水河、俊水河、钟水河、蓝溪水、濛溪水等河流水环境综合整治项目，严格控制湘江源头地区的开发活动，保护自然环境，防止生态退化。深入推进河流整治工作，加强流经蓝山的河流综合整治，改善水环境质量。</w:t>
            </w:r>
          </w:p>
          <w:p>
            <w:pPr>
              <w:keepNext w:val="0"/>
              <w:keepLines w:val="0"/>
              <w:pageBreakBefore w:val="0"/>
              <w:kinsoku/>
              <w:wordWrap/>
              <w:overflowPunct/>
              <w:topLinePunct w:val="0"/>
              <w:autoSpaceDE/>
              <w:autoSpaceDN/>
              <w:bidi w:val="0"/>
              <w:spacing w:beforeLines="0" w:afterLines="0" w:line="240" w:lineRule="auto"/>
              <w:ind w:firstLine="0" w:firstLineChars="0"/>
              <w:jc w:val="left"/>
              <w:textAlignment w:val="auto"/>
              <w:rPr>
                <w:rFonts w:hint="eastAsia" w:ascii="Times New Roman" w:hAnsi="Times New Roman" w:eastAsia="宋体" w:cs="Times New Roman"/>
                <w:kern w:val="0"/>
                <w:sz w:val="21"/>
                <w:szCs w:val="21"/>
                <w:u w:val="none" w:color="auto"/>
                <w:lang w:eastAsia="zh-CN"/>
              </w:rPr>
            </w:pPr>
            <w:r>
              <w:rPr>
                <w:rFonts w:hint="eastAsia" w:ascii="Times New Roman" w:hAnsi="Times New Roman" w:eastAsia="宋体" w:cs="Times New Roman"/>
                <w:kern w:val="0"/>
                <w:sz w:val="21"/>
                <w:szCs w:val="21"/>
                <w:u w:val="none" w:color="auto"/>
                <w:lang w:eastAsia="zh-CN"/>
              </w:rPr>
              <w:t>（2.2）依法取缔非法采矿、采石和采砂企业。新、改、扩建涉及VOCs 排放项目，从原辅材料和工艺过程大力推广使用低（无）VOCs 含量的涂料、有机溶剂、胶黏剂、油墨等原辅材料，配套改进生产工艺，强化末端深度治理工艺。</w:t>
            </w:r>
          </w:p>
          <w:p>
            <w:pPr>
              <w:keepNext w:val="0"/>
              <w:keepLines w:val="0"/>
              <w:pageBreakBefore w:val="0"/>
              <w:kinsoku/>
              <w:wordWrap/>
              <w:overflowPunct/>
              <w:topLinePunct w:val="0"/>
              <w:autoSpaceDE/>
              <w:autoSpaceDN/>
              <w:bidi w:val="0"/>
              <w:spacing w:beforeLines="0" w:afterLines="0" w:line="240" w:lineRule="auto"/>
              <w:ind w:firstLine="0" w:firstLineChars="0"/>
              <w:jc w:val="left"/>
              <w:textAlignment w:val="auto"/>
              <w:rPr>
                <w:rFonts w:hint="eastAsia" w:ascii="Times New Roman" w:hAnsi="Times New Roman" w:eastAsia="宋体" w:cs="Times New Roman"/>
                <w:kern w:val="0"/>
                <w:sz w:val="21"/>
                <w:szCs w:val="21"/>
                <w:u w:val="none" w:color="auto"/>
                <w:lang w:eastAsia="zh-CN"/>
              </w:rPr>
            </w:pPr>
            <w:r>
              <w:rPr>
                <w:rFonts w:hint="eastAsia" w:ascii="Times New Roman" w:hAnsi="Times New Roman" w:eastAsia="宋体" w:cs="Times New Roman"/>
                <w:kern w:val="0"/>
                <w:sz w:val="21"/>
                <w:szCs w:val="21"/>
                <w:u w:val="none" w:color="auto"/>
                <w:lang w:eastAsia="zh-CN"/>
              </w:rPr>
              <w:t>（2.3）全面推进农村环境综合整治。因地制宜地开展农村污水、垃圾污染治理。</w:t>
            </w:r>
          </w:p>
        </w:tc>
        <w:tc>
          <w:tcPr>
            <w:tcW w:w="3942" w:type="dxa"/>
            <w:tcBorders>
              <w:tl2br w:val="nil"/>
              <w:tr2bl w:val="nil"/>
            </w:tcBorders>
            <w:shd w:val="clear" w:color="auto" w:fill="auto"/>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Cs/>
                <w:color w:val="000000" w:themeColor="text1"/>
                <w:spacing w:val="6"/>
                <w:kern w:val="2"/>
                <w:sz w:val="21"/>
                <w:szCs w:val="21"/>
                <w:u w:val="none" w:color="auto"/>
                <w:vertAlign w:val="baseline"/>
                <w:lang w:val="en-US" w:eastAsia="zh-CN" w:bidi="ar-SA"/>
                <w14:textFill>
                  <w14:solidFill>
                    <w14:schemeClr w14:val="tx1"/>
                  </w14:solidFill>
                </w14:textFill>
              </w:rPr>
            </w:pPr>
            <w:r>
              <w:rPr>
                <w:rFonts w:hint="eastAsia" w:cs="Times New Roman"/>
                <w:bCs/>
                <w:spacing w:val="6"/>
                <w:sz w:val="21"/>
                <w:szCs w:val="21"/>
                <w:u w:val="none" w:color="auto"/>
                <w:vertAlign w:val="baseline"/>
                <w:lang w:val="en-US" w:eastAsia="zh-CN"/>
              </w:rPr>
              <w:t>本</w:t>
            </w:r>
            <w:r>
              <w:rPr>
                <w:rFonts w:hint="eastAsia" w:ascii="Times New Roman" w:hAnsi="Times New Roman" w:eastAsia="宋体" w:cs="Times New Roman"/>
                <w:bCs/>
                <w:spacing w:val="6"/>
                <w:sz w:val="21"/>
                <w:szCs w:val="21"/>
                <w:u w:val="none" w:color="auto"/>
                <w:vertAlign w:val="baseline"/>
                <w:lang w:eastAsia="zh-CN"/>
              </w:rPr>
              <w:t>项目不属于直接排放污染物项目；项目施工</w:t>
            </w:r>
            <w:r>
              <w:rPr>
                <w:rFonts w:hint="eastAsia" w:cs="Times New Roman"/>
                <w:bCs/>
                <w:spacing w:val="6"/>
                <w:sz w:val="21"/>
                <w:szCs w:val="21"/>
                <w:u w:val="none" w:color="auto"/>
                <w:vertAlign w:val="baseline"/>
                <w:lang w:val="en-US" w:eastAsia="zh-CN"/>
              </w:rPr>
              <w:t>废水经处理后回用不外排</w:t>
            </w:r>
            <w:r>
              <w:rPr>
                <w:rFonts w:hint="eastAsia" w:ascii="Times New Roman" w:hAnsi="Times New Roman" w:eastAsia="宋体" w:cs="Times New Roman"/>
                <w:bCs/>
                <w:spacing w:val="6"/>
                <w:sz w:val="21"/>
                <w:szCs w:val="21"/>
                <w:u w:val="none" w:color="auto"/>
                <w:vertAlign w:val="baseline"/>
                <w:lang w:eastAsia="zh-CN"/>
              </w:rPr>
              <w:t xml:space="preserve">；运营期生活污水经一体化污水处理设施处理后用于站内绿化，不外排。 </w:t>
            </w:r>
          </w:p>
        </w:tc>
        <w:tc>
          <w:tcPr>
            <w:tcW w:w="1455" w:type="dxa"/>
            <w:tcBorders>
              <w:tl2br w:val="nil"/>
              <w:tr2bl w:val="nil"/>
            </w:tcBorders>
            <w:noWrap w:val="0"/>
            <w:vAlign w:val="center"/>
          </w:tcPr>
          <w:p>
            <w:pPr>
              <w:keepNext w:val="0"/>
              <w:keepLines w:val="0"/>
              <w:pageBreakBefore w:val="0"/>
              <w:tabs>
                <w:tab w:val="left" w:pos="1021"/>
                <w:tab w:val="clear" w:pos="480"/>
              </w:tabs>
              <w:kinsoku/>
              <w:wordWrap/>
              <w:overflowPunct/>
              <w:topLinePunct w:val="0"/>
              <w:autoSpaceDE/>
              <w:autoSpaceDN/>
              <w:bidi w:val="0"/>
              <w:adjustRightInd w:val="0"/>
              <w:snapToGrid w:val="0"/>
              <w:spacing w:line="240" w:lineRule="auto"/>
              <w:ind w:left="115" w:leftChars="48" w:right="170" w:rightChars="71" w:firstLine="0" w:firstLineChars="0"/>
              <w:jc w:val="center"/>
              <w:textAlignment w:val="auto"/>
              <w:rPr>
                <w:rFonts w:hint="eastAsia"/>
                <w:sz w:val="21"/>
                <w:szCs w:val="21"/>
                <w:u w:val="none" w:color="auto"/>
                <w:lang w:val="en-US" w:eastAsia="zh-CN"/>
              </w:rPr>
            </w:pPr>
            <w:r>
              <w:rPr>
                <w:rFonts w:hint="eastAsia" w:eastAsia="宋体"/>
                <w:kern w:val="0"/>
                <w:sz w:val="21"/>
                <w:szCs w:val="21"/>
                <w:u w:val="none" w:color="auto"/>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551" w:hRule="atLeast"/>
          <w:jc w:val="center"/>
        </w:trPr>
        <w:tc>
          <w:tcPr>
            <w:tcW w:w="98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eastAsia="宋体"/>
                <w:kern w:val="0"/>
                <w:sz w:val="21"/>
                <w:szCs w:val="21"/>
                <w:u w:val="none" w:color="auto"/>
              </w:rPr>
            </w:pPr>
            <w:r>
              <w:rPr>
                <w:rFonts w:eastAsia="宋体"/>
                <w:kern w:val="0"/>
                <w:sz w:val="21"/>
                <w:szCs w:val="21"/>
                <w:u w:val="none" w:color="auto"/>
              </w:rPr>
              <w:t>环境风险防控</w:t>
            </w:r>
          </w:p>
        </w:tc>
        <w:tc>
          <w:tcPr>
            <w:tcW w:w="7449" w:type="dxa"/>
            <w:gridSpan w:val="8"/>
            <w:tcBorders>
              <w:tl2br w:val="nil"/>
              <w:tr2bl w:val="nil"/>
            </w:tcBorders>
            <w:noWrap w:val="0"/>
            <w:vAlign w:val="center"/>
          </w:tcPr>
          <w:p>
            <w:pPr>
              <w:keepNext w:val="0"/>
              <w:keepLines w:val="0"/>
              <w:pageBreakBefore w:val="0"/>
              <w:kinsoku/>
              <w:wordWrap/>
              <w:overflowPunct/>
              <w:topLinePunct w:val="0"/>
              <w:autoSpaceDE/>
              <w:autoSpaceDN/>
              <w:bidi w:val="0"/>
              <w:spacing w:beforeLines="0" w:afterLines="0" w:line="240" w:lineRule="auto"/>
              <w:ind w:firstLine="0" w:firstLineChars="0"/>
              <w:jc w:val="left"/>
              <w:textAlignment w:val="auto"/>
              <w:rPr>
                <w:rFonts w:hint="eastAsia" w:ascii="Times New Roman" w:hAnsi="Times New Roman" w:eastAsia="宋体" w:cs="Times New Roman"/>
                <w:kern w:val="0"/>
                <w:sz w:val="21"/>
                <w:szCs w:val="21"/>
                <w:u w:val="none" w:color="auto"/>
                <w:lang w:eastAsia="zh-CN"/>
              </w:rPr>
            </w:pPr>
            <w:r>
              <w:rPr>
                <w:rFonts w:hint="eastAsia" w:ascii="Times New Roman" w:hAnsi="Times New Roman" w:eastAsia="宋体" w:cs="Times New Roman"/>
                <w:kern w:val="0"/>
                <w:sz w:val="21"/>
                <w:szCs w:val="21"/>
                <w:u w:val="none" w:color="auto"/>
                <w:lang w:eastAsia="zh-CN"/>
              </w:rPr>
              <w:t>（3.1）加强集中式饮用水水源地环境监管，依法取缔保护区内违法建设项目和排污口，防止水源污染事故的发生。</w:t>
            </w:r>
          </w:p>
          <w:p>
            <w:pPr>
              <w:keepNext w:val="0"/>
              <w:keepLines w:val="0"/>
              <w:pageBreakBefore w:val="0"/>
              <w:kinsoku/>
              <w:wordWrap/>
              <w:overflowPunct/>
              <w:topLinePunct w:val="0"/>
              <w:autoSpaceDE/>
              <w:autoSpaceDN/>
              <w:bidi w:val="0"/>
              <w:spacing w:beforeLines="0" w:afterLines="0" w:line="240" w:lineRule="auto"/>
              <w:ind w:firstLine="0" w:firstLineChars="0"/>
              <w:jc w:val="left"/>
              <w:textAlignment w:val="auto"/>
              <w:rPr>
                <w:rFonts w:hint="eastAsia" w:ascii="Times New Roman" w:hAnsi="Times New Roman" w:eastAsia="宋体" w:cs="Times New Roman"/>
                <w:kern w:val="0"/>
                <w:sz w:val="21"/>
                <w:szCs w:val="21"/>
                <w:u w:val="none" w:color="auto"/>
                <w:lang w:eastAsia="zh-CN"/>
              </w:rPr>
            </w:pPr>
            <w:r>
              <w:rPr>
                <w:rFonts w:hint="eastAsia" w:ascii="Times New Roman" w:hAnsi="Times New Roman" w:eastAsia="宋体" w:cs="Times New Roman"/>
                <w:kern w:val="0"/>
                <w:sz w:val="21"/>
                <w:szCs w:val="21"/>
                <w:u w:val="none" w:color="auto"/>
                <w:lang w:eastAsia="zh-CN"/>
              </w:rPr>
              <w:t>（3.2）开展土壤环境污染调查。加强污染源、污染地块的监管。</w:t>
            </w:r>
          </w:p>
          <w:p>
            <w:pPr>
              <w:keepNext w:val="0"/>
              <w:keepLines w:val="0"/>
              <w:pageBreakBefore w:val="0"/>
              <w:kinsoku/>
              <w:wordWrap/>
              <w:overflowPunct/>
              <w:topLinePunct w:val="0"/>
              <w:autoSpaceDE/>
              <w:autoSpaceDN/>
              <w:bidi w:val="0"/>
              <w:spacing w:beforeLines="0" w:afterLines="0" w:line="240" w:lineRule="auto"/>
              <w:ind w:firstLine="0" w:firstLineChars="0"/>
              <w:jc w:val="left"/>
              <w:textAlignment w:val="auto"/>
              <w:rPr>
                <w:rFonts w:hint="eastAsia" w:ascii="Times New Roman" w:hAnsi="Times New Roman" w:eastAsia="宋体" w:cs="Times New Roman"/>
                <w:kern w:val="0"/>
                <w:sz w:val="21"/>
                <w:szCs w:val="21"/>
                <w:u w:val="none" w:color="auto"/>
                <w:lang w:eastAsia="zh-CN"/>
              </w:rPr>
            </w:pPr>
            <w:r>
              <w:rPr>
                <w:rFonts w:hint="eastAsia" w:ascii="Times New Roman" w:hAnsi="Times New Roman" w:eastAsia="宋体" w:cs="Times New Roman"/>
                <w:kern w:val="0"/>
                <w:sz w:val="21"/>
                <w:szCs w:val="21"/>
                <w:u w:val="none" w:color="auto"/>
                <w:lang w:eastAsia="zh-CN"/>
              </w:rPr>
              <w:t>（3.3）按蓝山县突发环境事件应急预案有关要求执行。</w:t>
            </w:r>
          </w:p>
        </w:tc>
        <w:tc>
          <w:tcPr>
            <w:tcW w:w="3942" w:type="dxa"/>
            <w:tcBorders>
              <w:tl2br w:val="nil"/>
              <w:tr2bl w:val="nil"/>
            </w:tcBorders>
            <w:noWrap w:val="0"/>
            <w:vAlign w:val="center"/>
          </w:tcPr>
          <w:p>
            <w:pPr>
              <w:pStyle w:val="365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eastAsia="宋体"/>
                <w:kern w:val="0"/>
                <w:sz w:val="21"/>
                <w:szCs w:val="21"/>
                <w:u w:val="none" w:color="auto"/>
                <w:lang w:val="en-US" w:eastAsia="zh-CN"/>
              </w:rPr>
            </w:pPr>
            <w:r>
              <w:rPr>
                <w:rFonts w:hint="eastAsia" w:ascii="Times New Roman" w:hAnsi="Times New Roman" w:eastAsia="宋体" w:cs="Times New Roman"/>
                <w:bCs/>
                <w:spacing w:val="6"/>
                <w:sz w:val="21"/>
                <w:szCs w:val="21"/>
                <w:u w:val="none" w:color="auto"/>
                <w:vertAlign w:val="baseline"/>
                <w:lang w:eastAsia="zh-CN"/>
              </w:rPr>
              <w:fldChar w:fldCharType="begin"/>
            </w:r>
            <w:r>
              <w:rPr>
                <w:rFonts w:hint="eastAsia" w:ascii="Times New Roman" w:hAnsi="Times New Roman" w:eastAsia="宋体" w:cs="Times New Roman"/>
                <w:bCs/>
                <w:spacing w:val="6"/>
                <w:sz w:val="21"/>
                <w:szCs w:val="21"/>
                <w:u w:val="none" w:color="auto"/>
                <w:vertAlign w:val="baseline"/>
                <w:lang w:eastAsia="zh-CN"/>
              </w:rPr>
              <w:instrText xml:space="preserve"> = 1 \* GB3 \* MERGEFORMAT </w:instrText>
            </w:r>
            <w:r>
              <w:rPr>
                <w:rFonts w:hint="eastAsia" w:ascii="Times New Roman" w:hAnsi="Times New Roman" w:eastAsia="宋体" w:cs="Times New Roman"/>
                <w:bCs/>
                <w:spacing w:val="6"/>
                <w:sz w:val="21"/>
                <w:szCs w:val="21"/>
                <w:u w:val="none" w:color="auto"/>
                <w:vertAlign w:val="baseline"/>
                <w:lang w:eastAsia="zh-CN"/>
              </w:rPr>
              <w:fldChar w:fldCharType="separate"/>
            </w:r>
            <w:r>
              <w:rPr>
                <w:sz w:val="21"/>
                <w:szCs w:val="21"/>
                <w:u w:val="none" w:color="auto"/>
              </w:rPr>
              <w:t>①</w:t>
            </w:r>
            <w:r>
              <w:rPr>
                <w:rFonts w:hint="eastAsia" w:ascii="Times New Roman" w:hAnsi="Times New Roman" w:eastAsia="宋体" w:cs="Times New Roman"/>
                <w:bCs/>
                <w:spacing w:val="6"/>
                <w:sz w:val="21"/>
                <w:szCs w:val="21"/>
                <w:u w:val="none" w:color="auto"/>
                <w:vertAlign w:val="baseline"/>
                <w:lang w:eastAsia="zh-CN"/>
              </w:rPr>
              <w:fldChar w:fldCharType="end"/>
            </w:r>
            <w:r>
              <w:rPr>
                <w:rFonts w:hint="eastAsia" w:ascii="Times New Roman" w:hAnsi="Times New Roman" w:eastAsia="宋体" w:cs="Times New Roman"/>
                <w:bCs/>
                <w:spacing w:val="6"/>
                <w:sz w:val="21"/>
                <w:szCs w:val="21"/>
                <w:u w:val="none" w:color="auto"/>
                <w:vertAlign w:val="baseline"/>
                <w:lang w:eastAsia="zh-CN"/>
              </w:rPr>
              <w:t>本项目施工废水经沉淀池沉淀后回用，不外排。</w:t>
            </w:r>
            <w:r>
              <w:rPr>
                <w:rFonts w:hint="eastAsia" w:ascii="Times New Roman" w:hAnsi="Times New Roman" w:eastAsia="宋体" w:cs="Times New Roman"/>
                <w:bCs/>
                <w:spacing w:val="6"/>
                <w:sz w:val="21"/>
                <w:szCs w:val="21"/>
                <w:u w:val="none" w:color="auto"/>
                <w:vertAlign w:val="baseline"/>
                <w:lang w:eastAsia="zh-CN"/>
              </w:rPr>
              <w:fldChar w:fldCharType="begin"/>
            </w:r>
            <w:r>
              <w:rPr>
                <w:rFonts w:hint="eastAsia" w:ascii="Times New Roman" w:hAnsi="Times New Roman" w:eastAsia="宋体" w:cs="Times New Roman"/>
                <w:bCs/>
                <w:spacing w:val="6"/>
                <w:sz w:val="21"/>
                <w:szCs w:val="21"/>
                <w:u w:val="none" w:color="auto"/>
                <w:vertAlign w:val="baseline"/>
                <w:lang w:eastAsia="zh-CN"/>
              </w:rPr>
              <w:instrText xml:space="preserve"> = 2 \* GB3 \* MERGEFORMAT </w:instrText>
            </w:r>
            <w:r>
              <w:rPr>
                <w:rFonts w:hint="eastAsia" w:ascii="Times New Roman" w:hAnsi="Times New Roman" w:eastAsia="宋体" w:cs="Times New Roman"/>
                <w:bCs/>
                <w:spacing w:val="6"/>
                <w:sz w:val="21"/>
                <w:szCs w:val="21"/>
                <w:u w:val="none" w:color="auto"/>
                <w:vertAlign w:val="baseline"/>
                <w:lang w:eastAsia="zh-CN"/>
              </w:rPr>
              <w:fldChar w:fldCharType="separate"/>
            </w:r>
            <w:r>
              <w:rPr>
                <w:sz w:val="21"/>
                <w:szCs w:val="21"/>
                <w:u w:val="none" w:color="auto"/>
              </w:rPr>
              <w:t>②</w:t>
            </w:r>
            <w:r>
              <w:rPr>
                <w:rFonts w:hint="eastAsia" w:ascii="Times New Roman" w:hAnsi="Times New Roman" w:eastAsia="宋体" w:cs="Times New Roman"/>
                <w:bCs/>
                <w:spacing w:val="6"/>
                <w:sz w:val="21"/>
                <w:szCs w:val="21"/>
                <w:u w:val="none" w:color="auto"/>
                <w:vertAlign w:val="baseline"/>
                <w:lang w:eastAsia="zh-CN"/>
              </w:rPr>
              <w:fldChar w:fldCharType="end"/>
            </w:r>
            <w:r>
              <w:rPr>
                <w:rFonts w:hint="eastAsia" w:ascii="Times New Roman" w:hAnsi="Times New Roman" w:eastAsia="宋体" w:cs="Times New Roman"/>
                <w:bCs/>
                <w:spacing w:val="6"/>
                <w:sz w:val="21"/>
                <w:szCs w:val="21"/>
                <w:u w:val="none" w:color="auto"/>
                <w:vertAlign w:val="baseline"/>
                <w:lang w:eastAsia="zh-CN"/>
              </w:rPr>
              <w:t>严格落实水土保持措施，</w:t>
            </w:r>
            <w:r>
              <w:rPr>
                <w:rFonts w:hint="default" w:ascii="Times New Roman" w:hAnsi="Times New Roman" w:eastAsia="宋体" w:cs="Times New Roman"/>
                <w:bCs/>
                <w:spacing w:val="6"/>
                <w:sz w:val="21"/>
                <w:szCs w:val="21"/>
                <w:u w:val="none" w:color="auto"/>
                <w:vertAlign w:val="baseline"/>
                <w:lang w:eastAsia="zh-CN"/>
              </w:rPr>
              <w:t>工程施工时设置截、排、引流</w:t>
            </w:r>
            <w:r>
              <w:rPr>
                <w:rFonts w:hint="eastAsia" w:ascii="Times New Roman" w:hAnsi="Times New Roman" w:eastAsia="宋体" w:cs="Times New Roman"/>
                <w:bCs/>
                <w:spacing w:val="6"/>
                <w:sz w:val="21"/>
                <w:szCs w:val="21"/>
                <w:u w:val="none" w:color="auto"/>
                <w:vertAlign w:val="baseline"/>
                <w:lang w:eastAsia="zh-CN"/>
              </w:rPr>
              <w:t>、</w:t>
            </w:r>
            <w:r>
              <w:rPr>
                <w:rFonts w:hint="default" w:ascii="Times New Roman" w:hAnsi="Times New Roman" w:eastAsia="宋体" w:cs="Times New Roman"/>
                <w:bCs/>
                <w:spacing w:val="6"/>
                <w:sz w:val="21"/>
                <w:szCs w:val="21"/>
                <w:u w:val="none" w:color="auto"/>
                <w:vertAlign w:val="baseline"/>
                <w:lang w:eastAsia="zh-CN"/>
              </w:rPr>
              <w:t>拦挡措施</w:t>
            </w:r>
            <w:r>
              <w:rPr>
                <w:rFonts w:hint="eastAsia" w:ascii="Times New Roman" w:hAnsi="Times New Roman" w:eastAsia="宋体" w:cs="Times New Roman"/>
                <w:bCs/>
                <w:spacing w:val="6"/>
                <w:sz w:val="21"/>
                <w:szCs w:val="21"/>
                <w:u w:val="none" w:color="auto"/>
                <w:vertAlign w:val="baseline"/>
                <w:lang w:eastAsia="zh-CN"/>
              </w:rPr>
              <w:t>，做好临时堆土覆盖措施，</w:t>
            </w:r>
            <w:r>
              <w:rPr>
                <w:rFonts w:hint="default" w:ascii="Times New Roman" w:hAnsi="Times New Roman" w:eastAsia="宋体" w:cs="Times New Roman"/>
                <w:bCs/>
                <w:spacing w:val="6"/>
                <w:sz w:val="21"/>
                <w:szCs w:val="21"/>
                <w:u w:val="none" w:color="auto"/>
                <w:vertAlign w:val="baseline"/>
                <w:lang w:eastAsia="zh-CN"/>
              </w:rPr>
              <w:t>确保所有</w:t>
            </w:r>
            <w:r>
              <w:rPr>
                <w:rFonts w:hint="eastAsia" w:ascii="Times New Roman" w:hAnsi="Times New Roman" w:eastAsia="宋体" w:cs="Times New Roman"/>
                <w:bCs/>
                <w:spacing w:val="6"/>
                <w:sz w:val="21"/>
                <w:szCs w:val="21"/>
                <w:u w:val="none" w:color="auto"/>
                <w:vertAlign w:val="baseline"/>
                <w:lang w:eastAsia="zh-CN"/>
              </w:rPr>
              <w:t>施工</w:t>
            </w:r>
            <w:r>
              <w:rPr>
                <w:rFonts w:hint="default" w:ascii="Times New Roman" w:hAnsi="Times New Roman" w:eastAsia="宋体" w:cs="Times New Roman"/>
                <w:bCs/>
                <w:spacing w:val="6"/>
                <w:sz w:val="21"/>
                <w:szCs w:val="21"/>
                <w:u w:val="none" w:color="auto"/>
                <w:vertAlign w:val="baseline"/>
                <w:lang w:eastAsia="zh-CN"/>
              </w:rPr>
              <w:t>废水不进入</w:t>
            </w:r>
            <w:r>
              <w:rPr>
                <w:rFonts w:hint="eastAsia" w:cs="Times New Roman"/>
                <w:bCs/>
                <w:spacing w:val="6"/>
                <w:sz w:val="21"/>
                <w:szCs w:val="21"/>
                <w:u w:val="none" w:color="auto"/>
                <w:vertAlign w:val="baseline"/>
                <w:lang w:val="en-US" w:eastAsia="zh-CN"/>
              </w:rPr>
              <w:t>两江口</w:t>
            </w:r>
            <w:r>
              <w:rPr>
                <w:rFonts w:hint="eastAsia" w:ascii="Times New Roman" w:hAnsi="Times New Roman" w:eastAsia="宋体" w:cs="Times New Roman"/>
                <w:bCs/>
                <w:spacing w:val="6"/>
                <w:sz w:val="21"/>
                <w:szCs w:val="21"/>
                <w:u w:val="none" w:color="auto"/>
                <w:vertAlign w:val="baseline"/>
                <w:lang w:eastAsia="zh-CN"/>
              </w:rPr>
              <w:t>水库汇水范围</w:t>
            </w:r>
            <w:r>
              <w:rPr>
                <w:rFonts w:hint="default" w:ascii="Times New Roman" w:hAnsi="Times New Roman" w:eastAsia="宋体" w:cs="Times New Roman"/>
                <w:bCs/>
                <w:spacing w:val="6"/>
                <w:sz w:val="21"/>
                <w:szCs w:val="21"/>
                <w:u w:val="none" w:color="auto"/>
                <w:vertAlign w:val="baseline"/>
                <w:lang w:eastAsia="zh-CN"/>
              </w:rPr>
              <w:t>内</w:t>
            </w:r>
            <w:r>
              <w:rPr>
                <w:rFonts w:hint="eastAsia" w:ascii="Times New Roman" w:hAnsi="Times New Roman" w:eastAsia="宋体" w:cs="Times New Roman"/>
                <w:bCs/>
                <w:spacing w:val="6"/>
                <w:sz w:val="21"/>
                <w:szCs w:val="21"/>
                <w:u w:val="none" w:color="auto"/>
                <w:vertAlign w:val="baseline"/>
                <w:lang w:eastAsia="zh-CN"/>
              </w:rPr>
              <w:t>。</w:t>
            </w:r>
          </w:p>
        </w:tc>
        <w:tc>
          <w:tcPr>
            <w:tcW w:w="1455" w:type="dxa"/>
            <w:tcBorders>
              <w:tl2br w:val="nil"/>
              <w:tr2bl w:val="nil"/>
            </w:tcBorders>
            <w:noWrap w:val="0"/>
            <w:vAlign w:val="center"/>
          </w:tcPr>
          <w:p>
            <w:pPr>
              <w:keepNext w:val="0"/>
              <w:keepLines w:val="0"/>
              <w:pageBreakBefore w:val="0"/>
              <w:tabs>
                <w:tab w:val="left" w:pos="1021"/>
                <w:tab w:val="clear" w:pos="480"/>
              </w:tabs>
              <w:kinsoku/>
              <w:wordWrap/>
              <w:overflowPunct/>
              <w:topLinePunct w:val="0"/>
              <w:autoSpaceDE/>
              <w:autoSpaceDN/>
              <w:bidi w:val="0"/>
              <w:adjustRightInd w:val="0"/>
              <w:snapToGrid w:val="0"/>
              <w:spacing w:line="240" w:lineRule="auto"/>
              <w:ind w:left="115" w:leftChars="48" w:right="170" w:rightChars="71" w:firstLine="0" w:firstLineChars="0"/>
              <w:jc w:val="center"/>
              <w:textAlignment w:val="auto"/>
              <w:rPr>
                <w:rFonts w:hint="eastAsia" w:eastAsia="宋体"/>
                <w:kern w:val="0"/>
                <w:sz w:val="21"/>
                <w:szCs w:val="21"/>
                <w:u w:val="none" w:color="auto"/>
                <w:lang w:val="en-US" w:eastAsia="zh-CN"/>
              </w:rPr>
            </w:pPr>
            <w:r>
              <w:rPr>
                <w:rFonts w:hint="eastAsia" w:eastAsia="宋体"/>
                <w:kern w:val="0"/>
                <w:sz w:val="21"/>
                <w:szCs w:val="21"/>
                <w:u w:val="none" w:color="auto"/>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98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eastAsia="宋体"/>
                <w:kern w:val="0"/>
                <w:sz w:val="21"/>
                <w:szCs w:val="21"/>
                <w:u w:val="none" w:color="auto"/>
              </w:rPr>
            </w:pPr>
            <w:r>
              <w:rPr>
                <w:rFonts w:eastAsia="宋体"/>
                <w:kern w:val="0"/>
                <w:sz w:val="21"/>
                <w:szCs w:val="21"/>
                <w:u w:val="none" w:color="auto"/>
              </w:rPr>
              <w:t>资源开发效率要求</w:t>
            </w:r>
          </w:p>
        </w:tc>
        <w:tc>
          <w:tcPr>
            <w:tcW w:w="7449" w:type="dxa"/>
            <w:gridSpan w:val="8"/>
            <w:tcBorders>
              <w:tl2br w:val="nil"/>
              <w:tr2bl w:val="nil"/>
            </w:tcBorders>
            <w:noWrap w:val="0"/>
            <w:vAlign w:val="center"/>
          </w:tcPr>
          <w:p>
            <w:pPr>
              <w:keepNext w:val="0"/>
              <w:keepLines w:val="0"/>
              <w:pageBreakBefore w:val="0"/>
              <w:kinsoku/>
              <w:wordWrap/>
              <w:overflowPunct/>
              <w:topLinePunct w:val="0"/>
              <w:autoSpaceDE/>
              <w:autoSpaceDN/>
              <w:bidi w:val="0"/>
              <w:spacing w:beforeLines="0" w:afterLines="0" w:line="240" w:lineRule="auto"/>
              <w:ind w:firstLine="0" w:firstLineChars="0"/>
              <w:jc w:val="left"/>
              <w:textAlignment w:val="auto"/>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（4.1）执行湖南省总体要求、永州市基本要求中与资源开发有关的规定。</w:t>
            </w:r>
          </w:p>
          <w:p>
            <w:pPr>
              <w:keepNext w:val="0"/>
              <w:keepLines w:val="0"/>
              <w:pageBreakBefore w:val="0"/>
              <w:kinsoku/>
              <w:wordWrap/>
              <w:overflowPunct/>
              <w:topLinePunct w:val="0"/>
              <w:autoSpaceDE/>
              <w:autoSpaceDN/>
              <w:bidi w:val="0"/>
              <w:spacing w:beforeLines="0" w:afterLines="0" w:line="240" w:lineRule="auto"/>
              <w:ind w:firstLine="0" w:firstLineChars="0"/>
              <w:jc w:val="left"/>
              <w:textAlignment w:val="auto"/>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（4.2）蓝山县到2035 年，耕地保有量不低于18270.96 公顷；永久基本农田保护面积25.26 万亩，生态保护红线面积53.02 万亩，城镇开发边界规模3865.万亩。</w:t>
            </w:r>
          </w:p>
          <w:p>
            <w:pPr>
              <w:keepNext w:val="0"/>
              <w:keepLines w:val="0"/>
              <w:pageBreakBefore w:val="0"/>
              <w:kinsoku/>
              <w:wordWrap/>
              <w:overflowPunct/>
              <w:topLinePunct w:val="0"/>
              <w:autoSpaceDE/>
              <w:autoSpaceDN/>
              <w:bidi w:val="0"/>
              <w:spacing w:beforeLines="0" w:afterLines="0" w:line="240" w:lineRule="auto"/>
              <w:ind w:firstLine="0" w:firstLineChars="0"/>
              <w:jc w:val="left"/>
              <w:textAlignment w:val="auto"/>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（4.3）到2025 年，蓝山县用水总量目标为15144 万m</w:t>
            </w:r>
            <w:r>
              <w:rPr>
                <w:rFonts w:hint="default" w:ascii="Times New Roman" w:hAnsi="Times New Roman" w:eastAsia="宋体" w:cs="Times New Roman"/>
                <w:kern w:val="0"/>
                <w:sz w:val="21"/>
                <w:szCs w:val="21"/>
                <w:u w:val="none" w:color="auto"/>
                <w:vertAlign w:val="superscript"/>
              </w:rPr>
              <w:t>3</w:t>
            </w:r>
            <w:r>
              <w:rPr>
                <w:rFonts w:hint="default" w:ascii="Times New Roman" w:hAnsi="Times New Roman" w:eastAsia="宋体" w:cs="Times New Roman"/>
                <w:kern w:val="0"/>
                <w:sz w:val="21"/>
                <w:szCs w:val="21"/>
                <w:u w:val="none" w:color="auto"/>
              </w:rPr>
              <w:t>，农业用水总量控制在11457 万m</w:t>
            </w:r>
            <w:r>
              <w:rPr>
                <w:rFonts w:hint="default" w:ascii="Times New Roman" w:hAnsi="Times New Roman" w:eastAsia="宋体" w:cs="Times New Roman"/>
                <w:kern w:val="0"/>
                <w:sz w:val="21"/>
                <w:szCs w:val="21"/>
                <w:u w:val="none" w:color="auto"/>
                <w:vertAlign w:val="superscript"/>
              </w:rPr>
              <w:t>3</w:t>
            </w:r>
            <w:r>
              <w:rPr>
                <w:rFonts w:hint="default" w:ascii="Times New Roman" w:hAnsi="Times New Roman" w:eastAsia="宋体" w:cs="Times New Roman"/>
                <w:kern w:val="0"/>
                <w:sz w:val="21"/>
                <w:szCs w:val="21"/>
                <w:u w:val="none" w:color="auto"/>
              </w:rPr>
              <w:t>，万元地区生产总值用水量、万元工业增加值用水量分别比2020 年降低16.28%、8.87%，农田灌溉水有效利用系数为0.555。</w:t>
            </w:r>
          </w:p>
        </w:tc>
        <w:tc>
          <w:tcPr>
            <w:tcW w:w="3942" w:type="dxa"/>
            <w:tcBorders>
              <w:tl2br w:val="nil"/>
              <w:tr2bl w:val="nil"/>
            </w:tcBorders>
            <w:noWrap w:val="0"/>
            <w:vAlign w:val="center"/>
          </w:tcPr>
          <w:p>
            <w:pPr>
              <w:keepNext w:val="0"/>
              <w:keepLines w:val="0"/>
              <w:pageBreakBefore w:val="0"/>
              <w:tabs>
                <w:tab w:val="left" w:pos="1021"/>
                <w:tab w:val="clear" w:pos="480"/>
              </w:tabs>
              <w:kinsoku/>
              <w:wordWrap/>
              <w:overflowPunct/>
              <w:topLinePunct w:val="0"/>
              <w:autoSpaceDE/>
              <w:autoSpaceDN/>
              <w:bidi w:val="0"/>
              <w:adjustRightInd w:val="0"/>
              <w:snapToGrid w:val="0"/>
              <w:spacing w:line="240" w:lineRule="auto"/>
              <w:ind w:left="115" w:leftChars="48" w:right="170" w:rightChars="71" w:firstLine="0" w:firstLineChars="0"/>
              <w:textAlignment w:val="auto"/>
              <w:rPr>
                <w:rFonts w:hint="default"/>
                <w:sz w:val="21"/>
                <w:szCs w:val="21"/>
                <w:u w:val="none" w:color="auto"/>
                <w:lang w:val="en-US" w:eastAsia="zh-CN"/>
              </w:rPr>
            </w:pPr>
            <w:r>
              <w:rPr>
                <w:rFonts w:hint="eastAsia"/>
                <w:sz w:val="21"/>
                <w:szCs w:val="21"/>
                <w:u w:val="none" w:color="auto"/>
                <w:lang w:eastAsia="zh-CN"/>
              </w:rPr>
              <w:t>本项目本身为利用清洁能源发电。</w:t>
            </w:r>
          </w:p>
        </w:tc>
        <w:tc>
          <w:tcPr>
            <w:tcW w:w="1455" w:type="dxa"/>
            <w:tcBorders>
              <w:tl2br w:val="nil"/>
              <w:tr2bl w:val="nil"/>
            </w:tcBorders>
            <w:noWrap w:val="0"/>
            <w:vAlign w:val="center"/>
          </w:tcPr>
          <w:p>
            <w:pPr>
              <w:keepNext w:val="0"/>
              <w:keepLines w:val="0"/>
              <w:pageBreakBefore w:val="0"/>
              <w:tabs>
                <w:tab w:val="left" w:pos="1021"/>
                <w:tab w:val="clear" w:pos="480"/>
              </w:tabs>
              <w:kinsoku/>
              <w:wordWrap/>
              <w:overflowPunct/>
              <w:topLinePunct w:val="0"/>
              <w:autoSpaceDE/>
              <w:autoSpaceDN/>
              <w:bidi w:val="0"/>
              <w:adjustRightInd w:val="0"/>
              <w:snapToGrid w:val="0"/>
              <w:spacing w:line="240" w:lineRule="auto"/>
              <w:ind w:left="115" w:leftChars="48" w:right="170" w:rightChars="71" w:firstLine="0" w:firstLineChars="0"/>
              <w:jc w:val="center"/>
              <w:textAlignment w:val="auto"/>
              <w:rPr>
                <w:rFonts w:hint="eastAsia"/>
                <w:sz w:val="21"/>
                <w:szCs w:val="21"/>
                <w:u w:val="none" w:color="auto"/>
                <w:lang w:eastAsia="zh-CN"/>
              </w:rPr>
            </w:pPr>
            <w:r>
              <w:rPr>
                <w:rFonts w:hint="eastAsia"/>
                <w:sz w:val="21"/>
                <w:szCs w:val="21"/>
                <w:u w:val="none" w:color="auto"/>
                <w:lang w:eastAsia="zh-CN"/>
              </w:rPr>
              <w:t>符合</w:t>
            </w:r>
          </w:p>
        </w:tc>
      </w:tr>
    </w:tbl>
    <w:p>
      <w:pPr>
        <w:pStyle w:val="33"/>
        <w:ind w:left="0" w:leftChars="0" w:firstLine="0" w:firstLineChars="0"/>
        <w:rPr>
          <w:rFonts w:hint="eastAsia"/>
          <w:u w:val="none" w:color="auto"/>
          <w:lang w:eastAsia="zh-CN"/>
        </w:rPr>
        <w:sectPr>
          <w:pgSz w:w="16838" w:h="11905" w:orient="landscape"/>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3" w:charSpace="0"/>
        </w:sectPr>
      </w:pPr>
    </w:p>
    <w:p>
      <w:pPr>
        <w:pStyle w:val="457"/>
        <w:ind w:firstLine="643"/>
        <w:rPr>
          <w:rFonts w:ascii="Times New Roman" w:cs="Times New Roman"/>
          <w:color w:val="000000" w:themeColor="text1"/>
          <w:u w:val="none" w:color="auto"/>
          <w14:textFill>
            <w14:solidFill>
              <w14:schemeClr w14:val="tx1"/>
            </w14:solidFill>
          </w14:textFill>
        </w:rPr>
      </w:pPr>
      <w:bookmarkStart w:id="117" w:name="_Toc22616"/>
      <w:bookmarkStart w:id="118" w:name="_Toc426633722"/>
      <w:r>
        <w:rPr>
          <w:rFonts w:ascii="Times New Roman" w:cs="Times New Roman"/>
          <w:color w:val="000000" w:themeColor="text1"/>
          <w:u w:val="none" w:color="auto"/>
          <w14:textFill>
            <w14:solidFill>
              <w14:schemeClr w14:val="tx1"/>
            </w14:solidFill>
          </w14:textFill>
        </w:rPr>
        <w:t>选址</w:t>
      </w:r>
      <w:r>
        <w:rPr>
          <w:rFonts w:hint="eastAsia" w:ascii="Times New Roman" w:cs="Times New Roman"/>
          <w:color w:val="000000" w:themeColor="text1"/>
          <w:u w:val="none" w:color="auto"/>
          <w:lang w:eastAsia="zh-CN"/>
          <w14:textFill>
            <w14:solidFill>
              <w14:schemeClr w14:val="tx1"/>
            </w14:solidFill>
          </w14:textFill>
        </w:rPr>
        <w:t>可行</w:t>
      </w:r>
      <w:r>
        <w:rPr>
          <w:rFonts w:ascii="Times New Roman" w:cs="Times New Roman"/>
          <w:color w:val="000000" w:themeColor="text1"/>
          <w:u w:val="none" w:color="auto"/>
          <w14:textFill>
            <w14:solidFill>
              <w14:schemeClr w14:val="tx1"/>
            </w14:solidFill>
          </w14:textFill>
        </w:rPr>
        <w:t>性分析</w:t>
      </w:r>
      <w:bookmarkEnd w:id="117"/>
    </w:p>
    <w:p>
      <w:pPr>
        <w:spacing w:line="360" w:lineRule="auto"/>
        <w:ind w:firstLine="504" w:firstLineChars="200"/>
        <w:jc w:val="left"/>
        <w:rPr>
          <w:rFonts w:hint="eastAsia" w:ascii="Times New Roman" w:hAnsi="Times New Roman" w:cs="Times New Roman"/>
          <w:bCs/>
          <w:spacing w:val="6"/>
          <w:sz w:val="24"/>
          <w:u w:val="none" w:color="auto"/>
          <w:lang w:val="en-US" w:eastAsia="zh-CN"/>
        </w:rPr>
      </w:pPr>
      <w:r>
        <w:rPr>
          <w:rFonts w:hint="eastAsia" w:ascii="Times New Roman" w:hAnsi="Times New Roman" w:cs="Times New Roman"/>
          <w:bCs/>
          <w:spacing w:val="6"/>
          <w:sz w:val="24"/>
          <w:u w:val="none" w:color="auto"/>
          <w:lang w:eastAsia="zh-CN"/>
        </w:rPr>
        <w:t>本项目为变更环评，变更后风电场范围不变</w:t>
      </w:r>
      <w:r>
        <w:rPr>
          <w:rFonts w:hint="eastAsia" w:ascii="Times New Roman" w:hAnsi="Times New Roman" w:cs="Times New Roman"/>
          <w:bCs/>
          <w:spacing w:val="6"/>
          <w:sz w:val="24"/>
          <w:u w:val="none" w:color="auto"/>
          <w:lang w:val="en-US" w:eastAsia="zh-CN"/>
        </w:rPr>
        <w:t>，</w:t>
      </w:r>
      <w:r>
        <w:rPr>
          <w:rFonts w:hint="eastAsia"/>
          <w:lang w:bidi="ar"/>
        </w:rPr>
        <w:t>部分</w:t>
      </w:r>
      <w:r>
        <w:rPr>
          <w:rFonts w:hint="eastAsia"/>
          <w:lang w:val="en-US" w:eastAsia="zh-CN" w:bidi="ar"/>
        </w:rPr>
        <w:t>风机</w:t>
      </w:r>
      <w:r>
        <w:rPr>
          <w:rFonts w:hint="eastAsia"/>
          <w:lang w:bidi="ar"/>
        </w:rPr>
        <w:t>机位有</w:t>
      </w:r>
      <w:r>
        <w:rPr>
          <w:rFonts w:hint="eastAsia"/>
          <w:lang w:val="en-US" w:eastAsia="zh-CN" w:bidi="ar"/>
        </w:rPr>
        <w:t>所</w:t>
      </w:r>
      <w:r>
        <w:rPr>
          <w:rFonts w:hint="eastAsia"/>
          <w:lang w:bidi="ar"/>
        </w:rPr>
        <w:t>偏移，</w:t>
      </w:r>
      <w:r>
        <w:rPr>
          <w:rFonts w:hint="eastAsia"/>
          <w:lang w:val="en-US" w:eastAsia="zh-CN" w:bidi="ar"/>
        </w:rPr>
        <w:t>风机未新增敏感目标。</w:t>
      </w:r>
      <w:r>
        <w:rPr>
          <w:rFonts w:hint="eastAsia" w:ascii="Times New Roman" w:hAnsi="Times New Roman" w:cs="Times New Roman"/>
          <w:bCs/>
          <w:spacing w:val="6"/>
          <w:sz w:val="24"/>
          <w:u w:val="none" w:color="auto"/>
          <w:lang w:val="en-US" w:eastAsia="zh-CN"/>
        </w:rPr>
        <w:t>项目不涉自然保护区、风景名胜区、世界文化或自然遗产地、森林公园、地质公园、重要湿地、国家级或省级公益林等敏感区，本项目选址不涉及候鸟迁徙通道。项目不涉及文物保护单位、不涉及军事设施。</w:t>
      </w:r>
    </w:p>
    <w:p>
      <w:pPr>
        <w:spacing w:line="360" w:lineRule="auto"/>
        <w:ind w:firstLine="504" w:firstLineChars="200"/>
        <w:jc w:val="left"/>
        <w:rPr>
          <w:rFonts w:hint="eastAsia" w:ascii="Times New Roman" w:hAnsi="Times New Roman" w:cs="Times New Roman"/>
          <w:bCs/>
          <w:spacing w:val="6"/>
          <w:sz w:val="24"/>
          <w:u w:val="none" w:color="auto"/>
          <w:lang w:val="en-US" w:eastAsia="zh-CN"/>
        </w:rPr>
      </w:pPr>
      <w:r>
        <w:rPr>
          <w:rFonts w:hint="eastAsia" w:ascii="Times New Roman" w:hAnsi="Times New Roman" w:cs="Times New Roman"/>
          <w:bCs/>
          <w:spacing w:val="6"/>
          <w:sz w:val="24"/>
          <w:u w:val="none" w:color="auto"/>
          <w:lang w:val="en-US" w:eastAsia="zh-CN"/>
        </w:rPr>
        <w:t xml:space="preserve">本风电场选址地质条件稳定，在切实做好施工开挖弃渣的挡护、施工迹地的生态恢复措施，对环境的不利影响将得到有效控制，场址选择符合《风电场场址选择技术规定》中环境保护要求，工程选址可行。  </w:t>
      </w:r>
    </w:p>
    <w:p>
      <w:pPr>
        <w:pStyle w:val="457"/>
        <w:ind w:firstLine="643"/>
        <w:rPr>
          <w:rFonts w:ascii="Times New Roman" w:cs="Times New Roman"/>
          <w:color w:val="000000" w:themeColor="text1"/>
          <w:u w:val="none" w:color="auto"/>
          <w14:textFill>
            <w14:solidFill>
              <w14:schemeClr w14:val="tx1"/>
            </w14:solidFill>
          </w14:textFill>
        </w:rPr>
      </w:pPr>
      <w:bookmarkStart w:id="119" w:name="_Toc1747"/>
      <w:r>
        <w:rPr>
          <w:rFonts w:ascii="Times New Roman" w:cs="Times New Roman"/>
          <w:color w:val="000000" w:themeColor="text1"/>
          <w:u w:val="none" w:color="auto"/>
          <w14:textFill>
            <w14:solidFill>
              <w14:schemeClr w14:val="tx1"/>
            </w14:solidFill>
          </w14:textFill>
        </w:rPr>
        <w:t>平面布置合理性分析</w:t>
      </w:r>
      <w:bookmarkEnd w:id="119"/>
    </w:p>
    <w:p>
      <w:pPr>
        <w:spacing w:line="360" w:lineRule="auto"/>
        <w:ind w:firstLine="505" w:firstLineChars="200"/>
        <w:rPr>
          <w:rFonts w:hint="default" w:ascii="Times New Roman" w:hAnsi="Times New Roman" w:cs="Times New Roman"/>
          <w:b/>
          <w:bCs w:val="0"/>
          <w:spacing w:val="6"/>
          <w:sz w:val="24"/>
          <w:u w:val="none" w:color="auto"/>
        </w:rPr>
      </w:pPr>
      <w:r>
        <w:rPr>
          <w:rFonts w:hint="default" w:ascii="Times New Roman" w:hAnsi="Times New Roman" w:cs="Times New Roman"/>
          <w:b/>
          <w:bCs w:val="0"/>
          <w:spacing w:val="6"/>
          <w:sz w:val="24"/>
          <w:u w:val="none" w:color="auto"/>
        </w:rPr>
        <w:t>1、风机布置的环境可行性</w:t>
      </w:r>
    </w:p>
    <w:p>
      <w:pPr>
        <w:spacing w:line="360" w:lineRule="auto"/>
        <w:ind w:firstLine="504" w:firstLineChars="200"/>
        <w:rPr>
          <w:rFonts w:hint="eastAsia"/>
          <w:u w:val="none" w:color="auto"/>
          <w:lang w:eastAsia="zh-CN"/>
        </w:rPr>
      </w:pPr>
      <w:r>
        <w:rPr>
          <w:rFonts w:hint="eastAsia" w:ascii="Times New Roman" w:hAnsi="Times New Roman" w:cs="Times New Roman"/>
          <w:bCs/>
          <w:spacing w:val="6"/>
          <w:sz w:val="24"/>
          <w:u w:val="none" w:color="auto"/>
          <w:lang w:eastAsia="zh-CN"/>
        </w:rPr>
        <w:t>变更</w:t>
      </w:r>
      <w:r>
        <w:rPr>
          <w:rFonts w:hint="default" w:ascii="Times New Roman" w:hAnsi="Times New Roman" w:cs="Times New Roman"/>
          <w:bCs/>
          <w:spacing w:val="6"/>
          <w:sz w:val="24"/>
          <w:u w:val="none" w:color="auto"/>
        </w:rPr>
        <w:t>优化选址后</w:t>
      </w:r>
      <w:r>
        <w:rPr>
          <w:rFonts w:hint="eastAsia"/>
          <w:u w:val="none" w:color="auto"/>
          <w:lang w:val="en-US" w:eastAsia="zh-CN" w:bidi="ar"/>
        </w:rPr>
        <w:t>取消原1号、2号风机（A1、A2），原7号、8号风机（A7、A8）之间增加一台风机（L6），原15号风机（A15）东北侧800m增加一台风机（L15），部分风机位置略有偏移。</w:t>
      </w:r>
      <w:r>
        <w:rPr>
          <w:rFonts w:hint="eastAsia" w:cs="Times New Roman"/>
          <w:bCs/>
          <w:spacing w:val="6"/>
          <w:sz w:val="24"/>
          <w:u w:val="none" w:color="auto"/>
          <w:lang w:val="en-US" w:eastAsia="zh-CN"/>
        </w:rPr>
        <w:t>变更后风机</w:t>
      </w:r>
      <w:r>
        <w:rPr>
          <w:rFonts w:hint="eastAsia"/>
          <w:u w:val="none" w:color="auto"/>
          <w:lang w:eastAsia="zh-CN"/>
        </w:rPr>
        <w:t>周边</w:t>
      </w:r>
      <w:r>
        <w:rPr>
          <w:rFonts w:hint="eastAsia"/>
          <w:u w:val="none" w:color="auto"/>
          <w:lang w:val="en-US" w:eastAsia="zh-CN"/>
        </w:rPr>
        <w:t>未新增</w:t>
      </w:r>
      <w:r>
        <w:rPr>
          <w:rFonts w:hint="eastAsia"/>
          <w:u w:val="none" w:color="auto"/>
          <w:lang w:eastAsia="zh-CN"/>
        </w:rPr>
        <w:t>声环境保护目标。</w:t>
      </w:r>
    </w:p>
    <w:p>
      <w:pPr>
        <w:spacing w:line="360" w:lineRule="auto"/>
        <w:ind w:firstLine="504" w:firstLineChars="200"/>
        <w:rPr>
          <w:rFonts w:hint="default" w:ascii="Times New Roman" w:hAnsi="Times New Roman" w:cs="Times New Roman"/>
          <w:bCs/>
          <w:spacing w:val="6"/>
          <w:sz w:val="24"/>
          <w:u w:val="none" w:color="auto"/>
          <w:lang w:eastAsia="zh-CN"/>
        </w:rPr>
      </w:pPr>
      <w:r>
        <w:rPr>
          <w:rFonts w:hint="default" w:ascii="Times New Roman" w:hAnsi="Times New Roman" w:cs="Times New Roman"/>
          <w:bCs/>
          <w:spacing w:val="6"/>
          <w:sz w:val="24"/>
          <w:u w:val="none" w:color="auto"/>
          <w:lang w:eastAsia="zh-CN"/>
        </w:rPr>
        <w:t>本项目</w:t>
      </w:r>
      <w:r>
        <w:rPr>
          <w:rFonts w:hint="eastAsia" w:cs="Times New Roman"/>
          <w:bCs/>
          <w:spacing w:val="6"/>
          <w:sz w:val="24"/>
          <w:u w:val="none" w:color="auto"/>
          <w:lang w:val="en-US" w:eastAsia="zh-CN"/>
        </w:rPr>
        <w:t>各风机均不占用饮用水源保护区，</w:t>
      </w:r>
      <w:r>
        <w:rPr>
          <w:rFonts w:hint="eastAsia" w:ascii="Times New Roman" w:hAnsi="Times New Roman" w:cs="Times New Roman"/>
          <w:bCs/>
          <w:spacing w:val="6"/>
          <w:sz w:val="24"/>
          <w:u w:val="none" w:color="auto"/>
          <w:lang w:val="en-US" w:eastAsia="zh-CN"/>
        </w:rPr>
        <w:t>15号</w:t>
      </w:r>
      <w:r>
        <w:rPr>
          <w:rFonts w:hint="default" w:ascii="Times New Roman" w:hAnsi="Times New Roman" w:cs="Times New Roman"/>
          <w:bCs/>
          <w:spacing w:val="6"/>
          <w:sz w:val="24"/>
          <w:u w:val="none" w:color="auto"/>
          <w:lang w:eastAsia="zh-CN"/>
        </w:rPr>
        <w:t>风机平台</w:t>
      </w:r>
      <w:r>
        <w:rPr>
          <w:rFonts w:hint="eastAsia" w:ascii="Times New Roman" w:hAnsi="Times New Roman" w:cs="Times New Roman"/>
          <w:bCs/>
          <w:spacing w:val="6"/>
          <w:sz w:val="24"/>
          <w:u w:val="none" w:color="auto"/>
          <w:lang w:val="en-US" w:eastAsia="zh-CN"/>
        </w:rPr>
        <w:t>距离蓝山县新田湾河饮用水水源保护区</w:t>
      </w:r>
      <w:r>
        <w:rPr>
          <w:rFonts w:hint="default" w:ascii="Times New Roman" w:hAnsi="Times New Roman" w:cs="Times New Roman"/>
          <w:bCs/>
          <w:spacing w:val="6"/>
          <w:sz w:val="24"/>
          <w:u w:val="none" w:color="auto"/>
          <w:lang w:eastAsia="zh-CN"/>
        </w:rPr>
        <w:t>二级陆域保护区</w:t>
      </w:r>
      <w:r>
        <w:rPr>
          <w:rFonts w:hint="eastAsia" w:ascii="Times New Roman" w:hAnsi="Times New Roman" w:cs="Times New Roman"/>
          <w:bCs/>
          <w:spacing w:val="6"/>
          <w:sz w:val="24"/>
          <w:u w:val="none" w:color="auto"/>
          <w:lang w:val="en-US" w:eastAsia="zh-CN"/>
        </w:rPr>
        <w:t>约10m，距离取水口最近2.8km。15号风机</w:t>
      </w:r>
      <w:r>
        <w:rPr>
          <w:rFonts w:hint="default" w:ascii="Times New Roman" w:hAnsi="Times New Roman" w:cs="Times New Roman"/>
          <w:bCs/>
          <w:spacing w:val="6"/>
          <w:sz w:val="24"/>
          <w:u w:val="none" w:color="auto"/>
          <w:lang w:eastAsia="zh-CN"/>
        </w:rPr>
        <w:t>平台周边已设置截排水水措施，安装平台的雨水往平台</w:t>
      </w:r>
      <w:r>
        <w:rPr>
          <w:rFonts w:hint="eastAsia" w:cs="Times New Roman"/>
          <w:bCs/>
          <w:spacing w:val="6"/>
          <w:sz w:val="24"/>
          <w:u w:val="none" w:color="auto"/>
          <w:lang w:val="en-US" w:eastAsia="zh-CN"/>
        </w:rPr>
        <w:t>西</w:t>
      </w:r>
      <w:r>
        <w:rPr>
          <w:rFonts w:hint="default" w:ascii="Times New Roman" w:hAnsi="Times New Roman" w:cs="Times New Roman"/>
          <w:bCs/>
          <w:spacing w:val="6"/>
          <w:sz w:val="24"/>
          <w:u w:val="none" w:color="auto"/>
          <w:lang w:eastAsia="zh-CN"/>
        </w:rPr>
        <w:t>侧排放，不在</w:t>
      </w:r>
      <w:r>
        <w:rPr>
          <w:rFonts w:hint="eastAsia" w:ascii="Times New Roman" w:hAnsi="Times New Roman" w:cs="Times New Roman"/>
          <w:bCs/>
          <w:spacing w:val="6"/>
          <w:sz w:val="24"/>
          <w:u w:val="none" w:color="auto"/>
          <w:lang w:val="en-US" w:eastAsia="zh-CN"/>
        </w:rPr>
        <w:t>该</w:t>
      </w:r>
      <w:r>
        <w:rPr>
          <w:rFonts w:hint="default" w:ascii="Times New Roman" w:hAnsi="Times New Roman" w:cs="Times New Roman"/>
          <w:bCs/>
          <w:spacing w:val="6"/>
          <w:sz w:val="24"/>
          <w:u w:val="none" w:color="auto"/>
          <w:lang w:eastAsia="zh-CN"/>
        </w:rPr>
        <w:t>饮用水水源保护区汇水范围内。其他机位均不在饮用水水源地汇水范围内。</w:t>
      </w:r>
    </w:p>
    <w:p>
      <w:pPr>
        <w:spacing w:line="360" w:lineRule="auto"/>
        <w:ind w:firstLine="504" w:firstLineChars="200"/>
        <w:rPr>
          <w:rFonts w:hint="default" w:ascii="Times New Roman" w:hAnsi="Times New Roman" w:cs="Times New Roman"/>
          <w:bCs/>
          <w:spacing w:val="6"/>
          <w:sz w:val="24"/>
          <w:u w:val="none" w:color="auto"/>
        </w:rPr>
      </w:pPr>
      <w:r>
        <w:rPr>
          <w:rFonts w:hint="default" w:ascii="Times New Roman" w:hAnsi="Times New Roman" w:cs="Times New Roman"/>
          <w:bCs/>
          <w:spacing w:val="6"/>
          <w:sz w:val="24"/>
          <w:u w:val="none" w:color="auto"/>
        </w:rPr>
        <w:t>从环境保护的角度分析项目风机布局较为合理。</w:t>
      </w:r>
    </w:p>
    <w:p>
      <w:pPr>
        <w:spacing w:line="360" w:lineRule="auto"/>
        <w:ind w:firstLine="505" w:firstLineChars="200"/>
        <w:rPr>
          <w:rFonts w:hint="default" w:ascii="Times New Roman" w:hAnsi="Times New Roman" w:cs="Times New Roman"/>
          <w:b/>
          <w:bCs w:val="0"/>
          <w:spacing w:val="6"/>
          <w:sz w:val="24"/>
          <w:u w:val="none" w:color="auto"/>
        </w:rPr>
      </w:pPr>
      <w:r>
        <w:rPr>
          <w:rFonts w:hint="eastAsia" w:cs="Times New Roman"/>
          <w:b/>
          <w:bCs w:val="0"/>
          <w:spacing w:val="6"/>
          <w:sz w:val="24"/>
          <w:u w:val="none" w:color="auto"/>
          <w:lang w:val="en-US" w:eastAsia="zh-CN"/>
        </w:rPr>
        <w:t>2</w:t>
      </w:r>
      <w:r>
        <w:rPr>
          <w:rFonts w:hint="default" w:ascii="Times New Roman" w:hAnsi="Times New Roman" w:cs="Times New Roman"/>
          <w:b/>
          <w:bCs w:val="0"/>
          <w:spacing w:val="6"/>
          <w:sz w:val="24"/>
          <w:u w:val="none" w:color="auto"/>
        </w:rPr>
        <w:t>、道路选线的环境合理性分析</w:t>
      </w:r>
    </w:p>
    <w:p>
      <w:pPr>
        <w:spacing w:line="360" w:lineRule="auto"/>
        <w:ind w:firstLine="480" w:firstLineChars="200"/>
        <w:jc w:val="left"/>
        <w:rPr>
          <w:rFonts w:hint="eastAsia"/>
        </w:rPr>
      </w:pPr>
      <w:r>
        <w:rPr>
          <w:rFonts w:hint="eastAsia"/>
        </w:rPr>
        <w:t>本工程场外</w:t>
      </w:r>
      <w:r>
        <w:rPr>
          <w:rFonts w:hint="eastAsia"/>
          <w:lang w:val="en-US" w:eastAsia="zh-CN"/>
        </w:rPr>
        <w:t>进场</w:t>
      </w:r>
      <w:r>
        <w:rPr>
          <w:rFonts w:hint="eastAsia"/>
        </w:rPr>
        <w:t>道路充分利用了乡镇防火巡护林道，场内道路主要为接入各风机位而修建的施工检修道路，主要分布在山体上，道路选线避开了耕地、远离居民区。通过做好道路两旁的排水设施及挡墙护坡工程措施，可防止山体滑坡等地质灾害。在落实水保提出的植被恢复措施的情况下，水土流失将会得到控制，可减少对生态的破坏。</w:t>
      </w:r>
    </w:p>
    <w:p>
      <w:pPr>
        <w:spacing w:line="360" w:lineRule="auto"/>
        <w:ind w:firstLine="480" w:firstLineChars="200"/>
        <w:jc w:val="left"/>
        <w:rPr>
          <w:rFonts w:hint="eastAsia"/>
        </w:rPr>
      </w:pPr>
      <w:r>
        <w:rPr>
          <w:rFonts w:hint="eastAsia" w:ascii="Times New Roman" w:hAnsi="Times New Roman" w:eastAsia="宋体" w:cs="Times New Roman"/>
        </w:rPr>
        <w:t>本项目</w:t>
      </w:r>
      <w:r>
        <w:rPr>
          <w:rFonts w:hint="eastAsia" w:ascii="Times New Roman" w:hAnsi="Times New Roman" w:eastAsia="宋体" w:cs="Times New Roman"/>
          <w:lang w:val="en-US" w:eastAsia="zh-CN"/>
        </w:rPr>
        <w:t>12、13号风机之间场内道路中有40m长度紧邻蓝山县</w:t>
      </w:r>
      <w:r>
        <w:rPr>
          <w:rFonts w:hint="default" w:ascii="Times New Roman" w:hAnsi="Times New Roman" w:eastAsia="宋体" w:cs="Times New Roman"/>
        </w:rPr>
        <w:t>塔峰镇岭脚村山溪水饮用水水源保护区</w:t>
      </w:r>
      <w:r>
        <w:rPr>
          <w:rFonts w:hint="eastAsia" w:ascii="Times New Roman" w:hAnsi="Times New Roman" w:eastAsia="宋体" w:cs="Times New Roman"/>
          <w:lang w:val="en-US" w:eastAsia="zh-CN"/>
        </w:rPr>
        <w:t>二级陆域保护区</w:t>
      </w:r>
      <w:r>
        <w:rPr>
          <w:rFonts w:hint="eastAsia" w:ascii="Times New Roman" w:hAnsi="Times New Roman" w:eastAsia="宋体" w:cs="Times New Roman"/>
        </w:rPr>
        <w:t>。该路段已完成施</w:t>
      </w:r>
      <w:r>
        <w:rPr>
          <w:rFonts w:hint="eastAsia"/>
        </w:rPr>
        <w:t>工，施工期道路边缘设置拦挡措施，防止路面雨水直接汇入饮用水水源保护区；道路临饮用水源侧采取了绿化恢复措施；再进一步完善</w:t>
      </w:r>
      <w:r>
        <w:rPr>
          <w:rFonts w:hint="eastAsia"/>
          <w:lang w:val="en-US" w:eastAsia="zh-CN"/>
        </w:rPr>
        <w:t>道路</w:t>
      </w:r>
      <w:r>
        <w:rPr>
          <w:rFonts w:hint="eastAsia"/>
        </w:rPr>
        <w:t>截、排、引流、拦挡措施，防止雨水冲刷形成地表径流直接进入饮用水水源保护区内；合理设置沉淀池（兼事故池），穿越</w:t>
      </w:r>
      <w:r>
        <w:rPr>
          <w:rFonts w:hint="eastAsia"/>
          <w:lang w:val="en-US" w:eastAsia="zh-CN"/>
        </w:rPr>
        <w:t>保护区</w:t>
      </w:r>
      <w:r>
        <w:rPr>
          <w:rFonts w:hint="eastAsia"/>
        </w:rPr>
        <w:t>路段的路面径流经沉淀后导流至饮用水源汇水范围外排放</w:t>
      </w:r>
      <w:r>
        <w:rPr>
          <w:rFonts w:hint="eastAsia"/>
          <w:lang w:eastAsia="zh-CN"/>
        </w:rPr>
        <w:t>，</w:t>
      </w:r>
      <w:r>
        <w:rPr>
          <w:rFonts w:hint="eastAsia"/>
          <w:lang w:val="en-US" w:eastAsia="zh-CN"/>
        </w:rPr>
        <w:t>未对</w:t>
      </w:r>
      <w:r>
        <w:rPr>
          <w:rFonts w:hint="default" w:ascii="Times New Roman" w:hAnsi="Times New Roman" w:eastAsia="宋体" w:cs="Times New Roman"/>
        </w:rPr>
        <w:t>岭脚村山溪水饮用水水源保护区</w:t>
      </w:r>
      <w:r>
        <w:rPr>
          <w:rFonts w:hint="eastAsia"/>
          <w:lang w:val="en-US" w:eastAsia="zh-CN"/>
        </w:rPr>
        <w:t>造成影响</w:t>
      </w:r>
      <w:r>
        <w:rPr>
          <w:rFonts w:hint="eastAsia"/>
        </w:rPr>
        <w:t>。</w:t>
      </w:r>
      <w:r>
        <w:rPr>
          <w:rFonts w:hint="eastAsia"/>
          <w:lang w:val="en-US" w:eastAsia="zh-CN"/>
        </w:rPr>
        <w:t>根据4.4.节和4.5节分析，</w:t>
      </w:r>
      <w:r>
        <w:rPr>
          <w:rFonts w:hint="eastAsia"/>
        </w:rPr>
        <w:t>项目</w:t>
      </w:r>
      <w:r>
        <w:rPr>
          <w:rFonts w:hint="eastAsia"/>
          <w:lang w:val="en-US" w:eastAsia="zh-CN"/>
        </w:rPr>
        <w:t>符合</w:t>
      </w:r>
      <w:r>
        <w:rPr>
          <w:rFonts w:hint="eastAsia"/>
        </w:rPr>
        <w:t>《湖南省饮用水水源保护条例》的相关要求。</w:t>
      </w:r>
    </w:p>
    <w:p>
      <w:pPr>
        <w:spacing w:line="360" w:lineRule="auto"/>
        <w:ind w:firstLine="504" w:firstLineChars="200"/>
        <w:jc w:val="left"/>
        <w:rPr>
          <w:rFonts w:hint="default" w:ascii="Times New Roman" w:hAnsi="Times New Roman" w:cs="Times New Roman"/>
          <w:bCs/>
          <w:spacing w:val="6"/>
          <w:sz w:val="24"/>
          <w:u w:val="none" w:color="auto"/>
        </w:rPr>
      </w:pPr>
      <w:r>
        <w:rPr>
          <w:rFonts w:hint="default" w:ascii="Times New Roman" w:hAnsi="Times New Roman" w:cs="Times New Roman"/>
          <w:bCs/>
          <w:spacing w:val="6"/>
          <w:sz w:val="24"/>
          <w:u w:val="none" w:color="auto"/>
        </w:rPr>
        <w:t>因此，通本项目道路工程对环境影响较小。</w:t>
      </w:r>
    </w:p>
    <w:p>
      <w:pPr>
        <w:spacing w:line="360" w:lineRule="auto"/>
        <w:ind w:firstLine="505" w:firstLineChars="200"/>
        <w:rPr>
          <w:rFonts w:hint="default" w:ascii="Times New Roman" w:hAnsi="Times New Roman" w:cs="Times New Roman"/>
          <w:b/>
          <w:bCs w:val="0"/>
          <w:spacing w:val="6"/>
          <w:sz w:val="24"/>
          <w:u w:val="none" w:color="auto"/>
        </w:rPr>
      </w:pPr>
      <w:r>
        <w:rPr>
          <w:rFonts w:hint="eastAsia" w:cs="Times New Roman"/>
          <w:b/>
          <w:bCs w:val="0"/>
          <w:spacing w:val="6"/>
          <w:sz w:val="24"/>
          <w:u w:val="none" w:color="auto"/>
          <w:lang w:val="en-US" w:eastAsia="zh-CN"/>
        </w:rPr>
        <w:t>3</w:t>
      </w:r>
      <w:r>
        <w:rPr>
          <w:rFonts w:hint="default" w:ascii="Times New Roman" w:hAnsi="Times New Roman" w:cs="Times New Roman"/>
          <w:b/>
          <w:bCs w:val="0"/>
          <w:spacing w:val="6"/>
          <w:sz w:val="24"/>
          <w:u w:val="none" w:color="auto"/>
        </w:rPr>
        <w:t>、集电线路布线合理性分析</w:t>
      </w:r>
    </w:p>
    <w:p>
      <w:pPr>
        <w:spacing w:line="360" w:lineRule="auto"/>
        <w:ind w:firstLine="504" w:firstLineChars="200"/>
        <w:jc w:val="left"/>
        <w:rPr>
          <w:rFonts w:hint="default" w:ascii="Times New Roman" w:hAnsi="Times New Roman" w:cs="Times New Roman"/>
          <w:bCs/>
          <w:spacing w:val="6"/>
          <w:sz w:val="24"/>
          <w:u w:val="none" w:color="auto"/>
        </w:rPr>
      </w:pPr>
      <w:r>
        <w:rPr>
          <w:rFonts w:hint="default" w:ascii="Times New Roman" w:hAnsi="Times New Roman" w:cs="Times New Roman"/>
          <w:bCs/>
          <w:spacing w:val="6"/>
          <w:sz w:val="24"/>
          <w:u w:val="none" w:color="auto"/>
        </w:rPr>
        <w:t>本项目集电线路采用直埋电缆方案，集电线路沿连接各风机的场内道路布置。电缆敷设的埋深为1m，沟底铺设细砂或筛过的土，且全长以砖活水泥板遮盖。电缆线路基本沿场内道路敷设，以减少线路</w:t>
      </w:r>
      <w:r>
        <w:rPr>
          <w:rFonts w:hint="eastAsia" w:cs="Times New Roman"/>
          <w:bCs/>
          <w:spacing w:val="6"/>
          <w:sz w:val="24"/>
          <w:u w:val="none" w:color="auto"/>
          <w:lang w:val="en-US" w:eastAsia="zh-CN"/>
        </w:rPr>
        <w:t>占地</w:t>
      </w:r>
      <w:r>
        <w:rPr>
          <w:rFonts w:hint="default" w:ascii="Times New Roman" w:hAnsi="Times New Roman" w:cs="Times New Roman"/>
          <w:bCs/>
          <w:spacing w:val="6"/>
          <w:sz w:val="24"/>
          <w:u w:val="none" w:color="auto"/>
        </w:rPr>
        <w:t>面积及方便检修维护。集电线路按照边剥离、边开挖、边敷设、边回填的原则先剥离表土再进行开挖，表层土与回填土分别堆放于沟槽两侧并进行临时防护，待完成电缆铺设后即回填堆土、回覆表土并实施绿化措施。由于施工过程较短，且埋于地下，不会对周围景观环境产生明显影响。在落实水保提出的植被恢复措施的情况下，水土流失将会得到控制。</w:t>
      </w:r>
    </w:p>
    <w:p>
      <w:pPr>
        <w:spacing w:line="360" w:lineRule="auto"/>
        <w:ind w:firstLine="504" w:firstLineChars="200"/>
        <w:jc w:val="left"/>
        <w:rPr>
          <w:rFonts w:hint="default" w:ascii="Times New Roman" w:hAnsi="Times New Roman" w:cs="Times New Roman"/>
          <w:bCs/>
          <w:spacing w:val="6"/>
          <w:sz w:val="24"/>
          <w:u w:val="none" w:color="auto"/>
        </w:rPr>
      </w:pPr>
      <w:r>
        <w:rPr>
          <w:rFonts w:hint="default" w:ascii="Times New Roman" w:hAnsi="Times New Roman" w:cs="Times New Roman"/>
          <w:bCs/>
          <w:spacing w:val="6"/>
          <w:sz w:val="24"/>
          <w:u w:val="none" w:color="auto"/>
        </w:rPr>
        <w:t>从环境保护角度来看，集电线路设置合理。</w:t>
      </w:r>
    </w:p>
    <w:p>
      <w:pPr>
        <w:spacing w:line="360" w:lineRule="auto"/>
        <w:ind w:firstLine="505" w:firstLineChars="200"/>
        <w:jc w:val="left"/>
        <w:rPr>
          <w:rFonts w:hint="default" w:ascii="Times New Roman" w:hAnsi="Times New Roman" w:cs="Times New Roman"/>
          <w:b/>
          <w:bCs w:val="0"/>
          <w:spacing w:val="6"/>
          <w:sz w:val="24"/>
          <w:u w:val="none" w:color="auto"/>
        </w:rPr>
      </w:pPr>
      <w:r>
        <w:rPr>
          <w:rFonts w:hint="eastAsia" w:cs="Times New Roman"/>
          <w:b/>
          <w:bCs w:val="0"/>
          <w:spacing w:val="6"/>
          <w:sz w:val="24"/>
          <w:u w:val="none" w:color="auto"/>
          <w:lang w:val="en-US" w:eastAsia="zh-CN"/>
        </w:rPr>
        <w:t>4</w:t>
      </w:r>
      <w:r>
        <w:rPr>
          <w:rFonts w:hint="default" w:ascii="Times New Roman" w:hAnsi="Times New Roman" w:cs="Times New Roman"/>
          <w:b/>
          <w:bCs w:val="0"/>
          <w:spacing w:val="6"/>
          <w:sz w:val="24"/>
          <w:u w:val="none" w:color="auto"/>
        </w:rPr>
        <w:t>、</w:t>
      </w:r>
      <w:r>
        <w:rPr>
          <w:rFonts w:hint="eastAsia" w:cs="Times New Roman"/>
          <w:b/>
          <w:bCs w:val="0"/>
          <w:spacing w:val="6"/>
          <w:sz w:val="24"/>
          <w:u w:val="none" w:color="auto"/>
          <w:lang w:eastAsia="zh-CN"/>
        </w:rPr>
        <w:t>弃</w:t>
      </w:r>
      <w:r>
        <w:rPr>
          <w:rFonts w:hint="default" w:ascii="Times New Roman" w:hAnsi="Times New Roman" w:cs="Times New Roman"/>
          <w:b/>
          <w:bCs w:val="0"/>
          <w:spacing w:val="6"/>
          <w:sz w:val="24"/>
          <w:u w:val="none" w:color="auto"/>
        </w:rPr>
        <w:t>渣场选址合理性分析</w:t>
      </w:r>
    </w:p>
    <w:p>
      <w:pPr>
        <w:spacing w:line="360" w:lineRule="auto"/>
        <w:ind w:firstLine="480" w:firstLineChars="200"/>
        <w:jc w:val="left"/>
        <w:rPr>
          <w:rFonts w:hint="eastAsia" w:cs="Times New Roman"/>
          <w:sz w:val="24"/>
          <w:szCs w:val="24"/>
          <w:u w:val="none" w:color="auto"/>
          <w:lang w:val="en-US" w:eastAsia="zh-CN"/>
        </w:rPr>
      </w:pPr>
      <w:r>
        <w:rPr>
          <w:rFonts w:hint="eastAsia"/>
          <w:u w:val="none" w:color="auto"/>
          <w:lang w:bidi="ar"/>
        </w:rPr>
        <w:t>变更后</w:t>
      </w:r>
      <w:r>
        <w:rPr>
          <w:rFonts w:hint="eastAsia"/>
          <w:highlight w:val="none"/>
          <w:u w:val="none" w:color="auto"/>
          <w:lang w:val="en-US" w:eastAsia="zh-CN" w:bidi="ar"/>
        </w:rPr>
        <w:t>设7个</w:t>
      </w:r>
      <w:r>
        <w:rPr>
          <w:rFonts w:hint="eastAsia"/>
          <w:highlight w:val="none"/>
          <w:u w:val="none" w:color="auto"/>
          <w:lang w:bidi="ar"/>
        </w:rPr>
        <w:t>弃渣场</w:t>
      </w:r>
      <w:r>
        <w:rPr>
          <w:rFonts w:hint="eastAsia"/>
          <w:highlight w:val="none"/>
          <w:u w:val="none" w:color="auto"/>
          <w:lang w:eastAsia="zh-CN" w:bidi="ar"/>
        </w:rPr>
        <w:t>，</w:t>
      </w:r>
      <w:r>
        <w:rPr>
          <w:rFonts w:hint="eastAsia"/>
          <w:highlight w:val="none"/>
          <w:u w:val="none" w:color="auto"/>
          <w:lang w:val="en-US" w:eastAsia="zh-CN" w:bidi="ar"/>
        </w:rPr>
        <w:t>比变更前减少4个弃渣场</w:t>
      </w:r>
      <w:r>
        <w:rPr>
          <w:rFonts w:hint="eastAsia"/>
          <w:highlight w:val="none"/>
          <w:u w:val="none" w:color="auto"/>
          <w:lang w:eastAsia="zh-CN" w:bidi="ar"/>
        </w:rPr>
        <w:t>。</w:t>
      </w:r>
      <w:r>
        <w:rPr>
          <w:rFonts w:hint="default" w:ascii="Times New Roman" w:hAnsi="Times New Roman" w:cs="Times New Roman"/>
          <w:bCs/>
          <w:spacing w:val="6"/>
          <w:sz w:val="24"/>
          <w:u w:val="none" w:color="auto"/>
        </w:rPr>
        <w:t>弃渣场附近植被类型</w:t>
      </w:r>
      <w:r>
        <w:rPr>
          <w:rFonts w:hint="eastAsia" w:cs="Times New Roman"/>
          <w:bCs/>
          <w:spacing w:val="6"/>
          <w:sz w:val="24"/>
          <w:u w:val="none" w:color="auto"/>
          <w:lang w:eastAsia="zh-CN"/>
        </w:rPr>
        <w:t>仍以</w:t>
      </w:r>
      <w:r>
        <w:rPr>
          <w:rFonts w:hint="default" w:ascii="Times New Roman" w:hAnsi="Times New Roman" w:cs="Times New Roman"/>
          <w:bCs/>
          <w:spacing w:val="6"/>
          <w:sz w:val="24"/>
          <w:u w:val="none" w:color="auto"/>
        </w:rPr>
        <w:t>灌草丛为主</w:t>
      </w:r>
      <w:r>
        <w:rPr>
          <w:rFonts w:hint="eastAsia" w:cs="Times New Roman"/>
          <w:bCs/>
          <w:spacing w:val="6"/>
          <w:sz w:val="24"/>
          <w:u w:val="none" w:color="auto"/>
          <w:lang w:eastAsia="zh-CN"/>
        </w:rPr>
        <w:t>，</w:t>
      </w:r>
      <w:r>
        <w:rPr>
          <w:rFonts w:hint="eastAsia" w:ascii="Times New Roman" w:hAnsi="Times New Roman" w:cs="Times New Roman"/>
          <w:bCs/>
          <w:spacing w:val="6"/>
          <w:sz w:val="24"/>
          <w:u w:val="none" w:color="auto"/>
          <w:lang w:eastAsia="zh-CN"/>
        </w:rPr>
        <w:t>弃渣场</w:t>
      </w:r>
      <w:r>
        <w:rPr>
          <w:rFonts w:hint="eastAsia" w:cs="Times New Roman"/>
          <w:bCs/>
          <w:spacing w:val="6"/>
          <w:sz w:val="24"/>
          <w:u w:val="none" w:color="auto"/>
          <w:lang w:eastAsia="zh-CN"/>
        </w:rPr>
        <w:t>总面积减少1.0hm</w:t>
      </w:r>
      <w:r>
        <w:rPr>
          <w:rFonts w:hint="eastAsia" w:cs="Times New Roman"/>
          <w:bCs/>
          <w:spacing w:val="6"/>
          <w:sz w:val="24"/>
          <w:u w:val="none" w:color="auto"/>
          <w:vertAlign w:val="superscript"/>
          <w:lang w:eastAsia="zh-CN"/>
        </w:rPr>
        <w:t>2</w:t>
      </w:r>
      <w:r>
        <w:rPr>
          <w:rFonts w:hint="eastAsia" w:cs="Times New Roman"/>
          <w:bCs/>
          <w:spacing w:val="6"/>
          <w:sz w:val="24"/>
          <w:u w:val="none" w:color="auto"/>
          <w:lang w:eastAsia="zh-CN"/>
        </w:rPr>
        <w:t>，</w:t>
      </w:r>
      <w:r>
        <w:rPr>
          <w:rFonts w:hint="eastAsia" w:ascii="Times New Roman" w:hAnsi="Times New Roman" w:cs="Times New Roman"/>
          <w:bCs/>
          <w:spacing w:val="6"/>
          <w:sz w:val="24"/>
          <w:u w:val="none" w:color="auto"/>
          <w:lang w:eastAsia="zh-CN"/>
        </w:rPr>
        <w:t>弃渣场周边</w:t>
      </w:r>
      <w:r>
        <w:rPr>
          <w:rFonts w:hint="eastAsia" w:ascii="Times New Roman" w:hAnsi="Times New Roman" w:cs="Times New Roman"/>
          <w:bCs/>
          <w:spacing w:val="6"/>
          <w:sz w:val="24"/>
          <w:u w:val="none" w:color="auto"/>
          <w:lang w:val="en-US" w:eastAsia="zh-CN"/>
        </w:rPr>
        <w:t>300m范围内无居民点分布</w:t>
      </w:r>
      <w:r>
        <w:rPr>
          <w:rFonts w:hint="eastAsia" w:cs="Times New Roman"/>
          <w:bCs/>
          <w:spacing w:val="6"/>
          <w:sz w:val="24"/>
          <w:u w:val="none" w:color="auto"/>
          <w:lang w:val="en-US" w:eastAsia="zh-CN"/>
        </w:rPr>
        <w:t>，</w:t>
      </w:r>
      <w:r>
        <w:rPr>
          <w:rFonts w:hint="eastAsia" w:ascii="Times New Roman" w:hAnsi="Times New Roman" w:cs="Times New Roman"/>
          <w:bCs/>
          <w:spacing w:val="6"/>
          <w:sz w:val="24"/>
          <w:u w:val="none" w:color="auto"/>
          <w:lang w:eastAsia="zh-CN"/>
        </w:rPr>
        <w:t>弃渣场</w:t>
      </w:r>
      <w:r>
        <w:rPr>
          <w:rFonts w:hint="eastAsia" w:cs="Times New Roman"/>
          <w:bCs/>
          <w:spacing w:val="6"/>
          <w:sz w:val="24"/>
          <w:u w:val="none" w:color="auto"/>
          <w:lang w:val="en-US" w:eastAsia="zh-CN"/>
        </w:rPr>
        <w:t>临时堆存完成后会进行生态修复，</w:t>
      </w:r>
      <w:r>
        <w:rPr>
          <w:rFonts w:hint="eastAsia" w:cs="Times New Roman"/>
          <w:bCs/>
          <w:spacing w:val="6"/>
          <w:sz w:val="24"/>
          <w:u w:val="none" w:color="auto"/>
          <w:lang w:eastAsia="zh-CN"/>
        </w:rPr>
        <w:t>对生态环境影响</w:t>
      </w:r>
      <w:r>
        <w:rPr>
          <w:rFonts w:hint="eastAsia" w:cs="Times New Roman"/>
          <w:bCs/>
          <w:spacing w:val="6"/>
          <w:sz w:val="24"/>
          <w:u w:val="none" w:color="auto"/>
          <w:lang w:val="en-US" w:eastAsia="zh-CN"/>
        </w:rPr>
        <w:t>较小</w:t>
      </w:r>
      <w:r>
        <w:rPr>
          <w:rFonts w:hint="default" w:ascii="Times New Roman" w:hAnsi="Times New Roman" w:cs="Times New Roman"/>
          <w:bCs/>
          <w:spacing w:val="6"/>
          <w:sz w:val="24"/>
          <w:u w:val="none" w:color="auto"/>
        </w:rPr>
        <w:t>。</w:t>
      </w:r>
    </w:p>
    <w:p>
      <w:pPr>
        <w:spacing w:line="360" w:lineRule="auto"/>
        <w:ind w:firstLine="504" w:firstLineChars="200"/>
        <w:jc w:val="left"/>
        <w:rPr>
          <w:rFonts w:hint="default" w:ascii="Times New Roman" w:hAnsi="Times New Roman" w:cs="Times New Roman"/>
          <w:bCs/>
          <w:spacing w:val="6"/>
          <w:sz w:val="24"/>
          <w:u w:val="none" w:color="auto"/>
        </w:rPr>
      </w:pPr>
      <w:r>
        <w:rPr>
          <w:rFonts w:hint="default" w:ascii="Times New Roman" w:hAnsi="Times New Roman" w:cs="Times New Roman"/>
          <w:bCs/>
          <w:spacing w:val="6"/>
          <w:sz w:val="24"/>
          <w:u w:val="none" w:color="auto"/>
        </w:rPr>
        <w:t>在主体工程土石方平衡调配的基础上，根据弃渣场选址原则，尽可能将弃渣场布置在大开挖路段附近，从而缩短弃渣的运输距离，减少运渣施工便道的修建，减少运输过程中的散落。各弃渣场均紧邻场内交通道路，便于弃渣和防护材料的运输。弃渣场附近植被类型以灌草丛为主。选址避免了对农田的占用，弃渣堆放对农业及林业生态的影响较小，通过弃渣结束后恢复林地可得以补偿。</w:t>
      </w:r>
      <w:r>
        <w:rPr>
          <w:rFonts w:hint="eastAsia" w:ascii="Times New Roman" w:hAnsi="Times New Roman" w:cs="Times New Roman"/>
          <w:bCs/>
          <w:spacing w:val="6"/>
          <w:sz w:val="24"/>
          <w:u w:val="none" w:color="auto"/>
          <w:lang w:eastAsia="zh-CN"/>
        </w:rPr>
        <w:t>各弃渣场</w:t>
      </w:r>
      <w:r>
        <w:rPr>
          <w:rFonts w:hint="default" w:ascii="Times New Roman" w:hAnsi="Times New Roman" w:cs="Times New Roman"/>
          <w:bCs/>
          <w:spacing w:val="6"/>
          <w:sz w:val="24"/>
          <w:u w:val="none" w:color="auto"/>
        </w:rPr>
        <w:t>下游侧无重要的基础设施、集中居民点和工业企业等，基本为利用荒沟、凹地和支毛沟的沟道型渣场，没有大的集雨区域和防洪排水量，符合《开发建设项目水土保持技术规范》中弃渣场选址的要求。</w:t>
      </w:r>
    </w:p>
    <w:p>
      <w:pPr>
        <w:spacing w:line="360" w:lineRule="auto"/>
        <w:ind w:firstLine="504" w:firstLineChars="200"/>
        <w:jc w:val="left"/>
        <w:rPr>
          <w:rFonts w:hint="default" w:ascii="Times New Roman" w:hAnsi="Times New Roman" w:cs="Times New Roman"/>
          <w:bCs/>
          <w:spacing w:val="6"/>
          <w:sz w:val="24"/>
          <w:u w:val="none" w:color="auto"/>
        </w:rPr>
      </w:pPr>
      <w:r>
        <w:rPr>
          <w:rFonts w:hint="default" w:ascii="Times New Roman" w:hAnsi="Times New Roman" w:cs="Times New Roman"/>
          <w:bCs/>
          <w:spacing w:val="6"/>
          <w:sz w:val="24"/>
          <w:u w:val="none" w:color="auto"/>
        </w:rPr>
        <w:t>综上所述，本工程弃渣场选址合理。</w:t>
      </w:r>
    </w:p>
    <w:p>
      <w:pPr>
        <w:spacing w:line="360" w:lineRule="auto"/>
        <w:ind w:firstLine="505" w:firstLineChars="200"/>
        <w:rPr>
          <w:rFonts w:hint="default" w:ascii="Times New Roman" w:hAnsi="Times New Roman" w:cs="Times New Roman"/>
          <w:b/>
          <w:bCs w:val="0"/>
          <w:spacing w:val="6"/>
          <w:sz w:val="24"/>
          <w:u w:val="none" w:color="auto"/>
        </w:rPr>
      </w:pPr>
      <w:r>
        <w:rPr>
          <w:rFonts w:hint="eastAsia" w:ascii="Times New Roman" w:hAnsi="Times New Roman" w:cs="Times New Roman"/>
          <w:b/>
          <w:bCs w:val="0"/>
          <w:spacing w:val="6"/>
          <w:sz w:val="24"/>
          <w:u w:val="none" w:color="auto"/>
          <w:lang w:val="en-US" w:eastAsia="zh-CN"/>
        </w:rPr>
        <w:t>5</w:t>
      </w:r>
      <w:r>
        <w:rPr>
          <w:rFonts w:hint="default" w:ascii="Times New Roman" w:hAnsi="Times New Roman" w:cs="Times New Roman"/>
          <w:b/>
          <w:bCs w:val="0"/>
          <w:spacing w:val="6"/>
          <w:sz w:val="24"/>
          <w:u w:val="none" w:color="auto"/>
        </w:rPr>
        <w:t>、施工布置方案的合理性分析</w:t>
      </w:r>
    </w:p>
    <w:p>
      <w:pPr>
        <w:ind w:firstLine="480"/>
        <w:rPr>
          <w:rFonts w:hint="default" w:ascii="Times New Roman" w:hAnsi="Times New Roman" w:cs="Times New Roman"/>
          <w:spacing w:val="6"/>
          <w:sz w:val="24"/>
          <w:u w:val="none" w:color="auto"/>
          <w:lang w:eastAsia="zh-CN"/>
        </w:rPr>
      </w:pPr>
      <w:r>
        <w:rPr>
          <w:rFonts w:hint="default" w:ascii="Times New Roman" w:hAnsi="Times New Roman" w:cs="Times New Roman"/>
          <w:spacing w:val="6"/>
          <w:sz w:val="24"/>
          <w:u w:val="none" w:color="auto"/>
          <w:lang w:eastAsia="zh-CN"/>
        </w:rPr>
        <w:t>施工生产区布置在汇集站附近，</w:t>
      </w:r>
      <w:r>
        <w:rPr>
          <w:rFonts w:hint="eastAsia"/>
          <w:lang w:val="en-US" w:eastAsia="zh-CN"/>
        </w:rPr>
        <w:t>变更后选址和平面布置均不变，根据现场调查，目前</w:t>
      </w:r>
      <w:r>
        <w:rPr>
          <w:rFonts w:hint="default" w:ascii="Times New Roman" w:hAnsi="Times New Roman" w:cs="Times New Roman"/>
          <w:spacing w:val="6"/>
          <w:sz w:val="24"/>
          <w:u w:val="none" w:color="auto"/>
          <w:lang w:eastAsia="zh-CN"/>
        </w:rPr>
        <w:t>施工生产区</w:t>
      </w:r>
      <w:r>
        <w:rPr>
          <w:rFonts w:hint="eastAsia" w:cs="Times New Roman"/>
          <w:spacing w:val="6"/>
          <w:sz w:val="24"/>
          <w:u w:val="none" w:color="auto"/>
          <w:lang w:val="en-US" w:eastAsia="zh-CN"/>
        </w:rPr>
        <w:t>临时设施均已拆除，且临时用地</w:t>
      </w:r>
      <w:r>
        <w:rPr>
          <w:rFonts w:hint="eastAsia"/>
          <w:lang w:val="en-US" w:eastAsia="zh-CN"/>
        </w:rPr>
        <w:t>已做好生态恢复，根据原环评报告和环评批复，</w:t>
      </w:r>
      <w:r>
        <w:rPr>
          <w:rFonts w:hint="default" w:ascii="Times New Roman" w:hAnsi="Times New Roman" w:cs="Times New Roman"/>
          <w:spacing w:val="6"/>
          <w:sz w:val="24"/>
          <w:u w:val="none" w:color="auto"/>
          <w:lang w:eastAsia="zh-CN"/>
        </w:rPr>
        <w:t>施工生产区</w:t>
      </w:r>
      <w:r>
        <w:rPr>
          <w:rFonts w:hint="eastAsia"/>
        </w:rPr>
        <w:t>选址</w:t>
      </w:r>
      <w:r>
        <w:rPr>
          <w:rFonts w:hint="eastAsia"/>
          <w:lang w:val="en-US" w:eastAsia="zh-CN"/>
        </w:rPr>
        <w:t>和平面布置</w:t>
      </w:r>
      <w:r>
        <w:rPr>
          <w:rFonts w:hint="eastAsia"/>
        </w:rPr>
        <w:t>合理</w:t>
      </w:r>
      <w:r>
        <w:rPr>
          <w:rFonts w:hint="eastAsia"/>
          <w:lang w:eastAsia="zh-CN"/>
        </w:rPr>
        <w:t>，</w:t>
      </w:r>
      <w:r>
        <w:rPr>
          <w:rFonts w:hint="eastAsia"/>
          <w:lang w:val="en-US" w:eastAsia="zh-CN"/>
        </w:rPr>
        <w:t>本报告不再赘述</w:t>
      </w:r>
      <w:r>
        <w:rPr>
          <w:rFonts w:hint="eastAsia"/>
        </w:rPr>
        <w:t>。</w:t>
      </w:r>
    </w:p>
    <w:p>
      <w:pPr>
        <w:spacing w:line="360" w:lineRule="auto"/>
        <w:ind w:firstLine="505" w:firstLineChars="200"/>
        <w:rPr>
          <w:rFonts w:hint="default" w:ascii="Times New Roman" w:hAnsi="Times New Roman" w:cs="Times New Roman"/>
          <w:b/>
          <w:bCs w:val="0"/>
          <w:spacing w:val="6"/>
          <w:sz w:val="24"/>
          <w:u w:val="none" w:color="auto"/>
          <w:lang w:val="en-US"/>
        </w:rPr>
      </w:pPr>
      <w:r>
        <w:rPr>
          <w:rFonts w:hint="eastAsia" w:cs="Times New Roman"/>
          <w:b/>
          <w:bCs w:val="0"/>
          <w:spacing w:val="6"/>
          <w:sz w:val="24"/>
          <w:u w:val="none" w:color="auto"/>
          <w:lang w:val="en-US" w:eastAsia="zh-CN"/>
        </w:rPr>
        <w:t>6、汇集</w:t>
      </w:r>
      <w:r>
        <w:rPr>
          <w:rFonts w:hint="eastAsia" w:ascii="Times New Roman" w:hAnsi="Times New Roman" w:cs="Times New Roman"/>
          <w:b/>
          <w:bCs w:val="0"/>
          <w:spacing w:val="6"/>
          <w:sz w:val="24"/>
          <w:u w:val="none" w:color="auto"/>
          <w:lang w:val="en-US"/>
        </w:rPr>
        <w:t>站选址合理性</w:t>
      </w:r>
    </w:p>
    <w:p>
      <w:pPr>
        <w:adjustRightInd w:val="0"/>
        <w:snapToGrid w:val="0"/>
        <w:ind w:firstLine="480"/>
        <w:rPr>
          <w:rFonts w:hint="eastAsia"/>
        </w:rPr>
      </w:pPr>
      <w:r>
        <w:rPr>
          <w:rFonts w:hint="eastAsia"/>
          <w:lang w:val="en-US" w:eastAsia="zh-CN"/>
        </w:rPr>
        <w:t>变更后汇集站选址和平面布置均不变，根据原环评报告和环评批复，</w:t>
      </w:r>
      <w:r>
        <w:rPr>
          <w:rFonts w:hint="eastAsia"/>
        </w:rPr>
        <w:t>项目</w:t>
      </w:r>
      <w:r>
        <w:rPr>
          <w:rFonts w:hint="eastAsia"/>
          <w:lang w:val="en-US" w:eastAsia="zh-CN"/>
        </w:rPr>
        <w:t>汇集</w:t>
      </w:r>
      <w:r>
        <w:rPr>
          <w:rFonts w:hint="eastAsia"/>
        </w:rPr>
        <w:t>站选址</w:t>
      </w:r>
      <w:r>
        <w:rPr>
          <w:rFonts w:hint="eastAsia"/>
          <w:lang w:val="en-US" w:eastAsia="zh-CN"/>
        </w:rPr>
        <w:t>和平面布置</w:t>
      </w:r>
      <w:r>
        <w:rPr>
          <w:rFonts w:hint="eastAsia"/>
        </w:rPr>
        <w:t>合理</w:t>
      </w:r>
      <w:r>
        <w:rPr>
          <w:rFonts w:hint="eastAsia"/>
          <w:lang w:eastAsia="zh-CN"/>
        </w:rPr>
        <w:t>，</w:t>
      </w:r>
      <w:r>
        <w:rPr>
          <w:rFonts w:hint="eastAsia"/>
          <w:lang w:val="en-US" w:eastAsia="zh-CN"/>
        </w:rPr>
        <w:t>本报告不再赘述</w:t>
      </w:r>
      <w:r>
        <w:rPr>
          <w:rFonts w:hint="eastAsia"/>
        </w:rPr>
        <w:t>。</w:t>
      </w:r>
      <w:r>
        <w:rPr>
          <w:rFonts w:hint="eastAsia"/>
        </w:rPr>
        <w:br w:type="page"/>
      </w:r>
    </w:p>
    <w:bookmarkEnd w:id="106"/>
    <w:bookmarkEnd w:id="107"/>
    <w:bookmarkEnd w:id="108"/>
    <w:bookmarkEnd w:id="118"/>
    <w:p>
      <w:pPr>
        <w:pStyle w:val="461"/>
        <w:bidi w:val="0"/>
      </w:pPr>
      <w:bookmarkStart w:id="120" w:name="_Toc12959342"/>
      <w:bookmarkStart w:id="121" w:name="_Toc13308085"/>
      <w:bookmarkStart w:id="122" w:name="_Toc69118341"/>
      <w:bookmarkStart w:id="123" w:name="_Toc401255957"/>
      <w:r>
        <w:t xml:space="preserve"> </w:t>
      </w:r>
      <w:bookmarkStart w:id="124" w:name="_Toc31788"/>
      <w:r>
        <w:t>环境</w:t>
      </w:r>
      <w:bookmarkEnd w:id="120"/>
      <w:bookmarkEnd w:id="121"/>
      <w:bookmarkEnd w:id="122"/>
      <w:bookmarkEnd w:id="123"/>
      <w:r>
        <w:t>影响预测与评价</w:t>
      </w:r>
      <w:bookmarkEnd w:id="124"/>
    </w:p>
    <w:p>
      <w:pPr>
        <w:pStyle w:val="457"/>
        <w:ind w:firstLine="643"/>
        <w:rPr>
          <w:rFonts w:ascii="Times New Roman" w:hAnsi="Times New Roman" w:cs="Times New Roman"/>
          <w:color w:val="000000" w:themeColor="text1"/>
          <w:u w:val="none" w:color="auto"/>
          <w14:textFill>
            <w14:solidFill>
              <w14:schemeClr w14:val="tx1"/>
            </w14:solidFill>
          </w14:textFill>
        </w:rPr>
      </w:pPr>
      <w:bookmarkStart w:id="125" w:name="_Toc16177"/>
      <w:r>
        <w:rPr>
          <w:rFonts w:hint="eastAsia" w:ascii="Times New Roman" w:cs="Times New Roman"/>
          <w:color w:val="000000" w:themeColor="text1"/>
          <w:u w:val="none" w:color="auto"/>
          <w:lang w:eastAsia="zh-CN"/>
          <w14:textFill>
            <w14:solidFill>
              <w14:schemeClr w14:val="tx1"/>
            </w14:solidFill>
          </w14:textFill>
        </w:rPr>
        <w:t>施工期环境影响</w:t>
      </w:r>
      <w:r>
        <w:rPr>
          <w:rFonts w:hint="eastAsia" w:ascii="Times New Roman" w:cs="Times New Roman"/>
          <w:color w:val="000000" w:themeColor="text1"/>
          <w:u w:val="none" w:color="auto"/>
          <w:lang w:val="en-US" w:eastAsia="zh-CN"/>
          <w14:textFill>
            <w14:solidFill>
              <w14:schemeClr w14:val="tx1"/>
            </w14:solidFill>
          </w14:textFill>
        </w:rPr>
        <w:t>回顾</w:t>
      </w:r>
      <w:r>
        <w:rPr>
          <w:rFonts w:hint="eastAsia" w:ascii="Times New Roman" w:cs="Times New Roman"/>
          <w:color w:val="000000" w:themeColor="text1"/>
          <w:u w:val="none" w:color="auto"/>
          <w:lang w:eastAsia="zh-CN"/>
          <w14:textFill>
            <w14:solidFill>
              <w14:schemeClr w14:val="tx1"/>
            </w14:solidFill>
          </w14:textFill>
        </w:rPr>
        <w:t>分析</w:t>
      </w:r>
      <w:bookmarkEnd w:id="125"/>
    </w:p>
    <w:p>
      <w:pPr>
        <w:bidi w:val="0"/>
        <w:rPr>
          <w:rFonts w:hint="eastAsia"/>
          <w:lang w:val="en-US" w:eastAsia="zh-CN"/>
        </w:rPr>
      </w:pPr>
      <w:r>
        <w:rPr>
          <w:rFonts w:hint="eastAsia"/>
          <w:lang w:eastAsia="zh-CN"/>
        </w:rPr>
        <w:t>本项目</w:t>
      </w:r>
      <w:r>
        <w:rPr>
          <w:rFonts w:hint="eastAsia"/>
          <w:lang w:val="en-US" w:eastAsia="zh-CN"/>
        </w:rPr>
        <w:t>主体工程已于2024年12月建成</w:t>
      </w:r>
      <w:r>
        <w:rPr>
          <w:rFonts w:hint="eastAsia"/>
          <w:lang w:eastAsia="zh-CN"/>
        </w:rPr>
        <w:t>，施工期生态</w:t>
      </w:r>
      <w:r>
        <w:rPr>
          <w:rFonts w:hint="eastAsia"/>
          <w:lang w:val="en-US" w:eastAsia="zh-CN"/>
        </w:rPr>
        <w:t>环境</w:t>
      </w:r>
      <w:r>
        <w:rPr>
          <w:rFonts w:hint="eastAsia"/>
          <w:lang w:eastAsia="zh-CN"/>
        </w:rPr>
        <w:t>影响已形成，本次仅对施工期影响进行回顾性影响分析。</w:t>
      </w:r>
    </w:p>
    <w:p>
      <w:pPr>
        <w:bidi w:val="0"/>
        <w:rPr>
          <w:rFonts w:hint="eastAsia" w:ascii="Times New Roman" w:hAnsi="Times New Roman" w:eastAsia="宋体" w:cs="宋体"/>
          <w:sz w:val="24"/>
          <w:u w:val="none" w:color="auto"/>
          <w:lang w:val="en-US" w:eastAsia="zh-CN"/>
        </w:rPr>
      </w:pPr>
      <w:r>
        <w:rPr>
          <w:rFonts w:hint="eastAsia" w:ascii="Times New Roman" w:hAnsi="Times New Roman" w:eastAsia="宋体" w:cs="宋体"/>
          <w:sz w:val="24"/>
          <w:u w:val="none" w:color="auto"/>
          <w:lang w:val="en-US" w:eastAsia="zh-CN"/>
        </w:rPr>
        <w:t>建设单位在施工过程中采取了水、大气、噪声、固体废物污染防治措施和生态影响减缓措施，采取了水土保持措施，没有发生生态环境破坏和地表水体污染事故。根据调查，</w:t>
      </w:r>
      <w:r>
        <w:rPr>
          <w:rFonts w:hint="eastAsia"/>
          <w:kern w:val="0"/>
          <w:sz w:val="24"/>
          <w:u w:val="none" w:color="auto"/>
        </w:rPr>
        <w:t>施工期间未发生</w:t>
      </w:r>
      <w:r>
        <w:rPr>
          <w:rFonts w:hint="eastAsia"/>
          <w:kern w:val="0"/>
          <w:sz w:val="24"/>
          <w:u w:val="none" w:color="auto"/>
          <w:lang w:eastAsia="zh-CN"/>
        </w:rPr>
        <w:t>环境</w:t>
      </w:r>
      <w:r>
        <w:rPr>
          <w:rFonts w:hint="eastAsia"/>
          <w:kern w:val="0"/>
          <w:sz w:val="24"/>
          <w:u w:val="none" w:color="auto"/>
        </w:rPr>
        <w:t>污染</w:t>
      </w:r>
      <w:r>
        <w:rPr>
          <w:rFonts w:hint="eastAsia"/>
          <w:kern w:val="0"/>
          <w:sz w:val="24"/>
          <w:u w:val="none" w:color="auto"/>
          <w:lang w:eastAsia="zh-CN"/>
        </w:rPr>
        <w:t>和生态破坏</w:t>
      </w:r>
      <w:r>
        <w:rPr>
          <w:rFonts w:hint="eastAsia"/>
          <w:kern w:val="0"/>
          <w:sz w:val="24"/>
          <w:u w:val="none" w:color="auto"/>
        </w:rPr>
        <w:t>投诉事件</w:t>
      </w:r>
      <w:r>
        <w:rPr>
          <w:rFonts w:hint="eastAsia" w:ascii="Times New Roman" w:hAnsi="Times New Roman" w:eastAsia="宋体" w:cs="宋体"/>
          <w:sz w:val="24"/>
          <w:u w:val="none" w:color="auto"/>
          <w:lang w:val="en-US" w:eastAsia="zh-CN"/>
        </w:rPr>
        <w:t>。</w:t>
      </w:r>
    </w:p>
    <w:p>
      <w:pPr>
        <w:pStyle w:val="458"/>
        <w:keepNext w:val="0"/>
        <w:keepLines/>
        <w:pageBreakBefore w:val="0"/>
        <w:widowControl w:val="0"/>
        <w:kinsoku/>
        <w:wordWrap/>
        <w:overflowPunct/>
        <w:topLinePunct w:val="0"/>
        <w:autoSpaceDE/>
        <w:autoSpaceDN/>
        <w:bidi w:val="0"/>
        <w:adjustRightInd/>
        <w:snapToGrid w:val="0"/>
        <w:ind w:firstLine="602"/>
        <w:textAlignment w:val="auto"/>
        <w:outlineLvl w:val="2"/>
        <w:rPr>
          <w:color w:val="000000" w:themeColor="text1"/>
          <w:u w:val="none" w:color="auto"/>
          <w14:textFill>
            <w14:solidFill>
              <w14:schemeClr w14:val="tx1"/>
            </w14:solidFill>
          </w14:textFill>
        </w:rPr>
      </w:pPr>
      <w:r>
        <w:rPr>
          <w:rFonts w:hint="eastAsia"/>
          <w:color w:val="000000" w:themeColor="text1"/>
          <w:u w:val="none" w:color="auto"/>
          <w:lang w:eastAsia="zh-CN"/>
          <w14:textFill>
            <w14:solidFill>
              <w14:schemeClr w14:val="tx1"/>
            </w14:solidFill>
          </w14:textFill>
        </w:rPr>
        <w:t>地表水环境影响</w:t>
      </w:r>
      <w:r>
        <w:rPr>
          <w:rFonts w:hint="eastAsia"/>
          <w:color w:val="000000" w:themeColor="text1"/>
          <w:u w:val="none" w:color="auto"/>
          <w:lang w:val="en-US" w:eastAsia="zh-CN"/>
          <w14:textFill>
            <w14:solidFill>
              <w14:schemeClr w14:val="tx1"/>
            </w14:solidFill>
          </w14:textFill>
        </w:rPr>
        <w:t>回顾</w:t>
      </w:r>
      <w:r>
        <w:rPr>
          <w:rFonts w:hint="eastAsia"/>
          <w:color w:val="000000" w:themeColor="text1"/>
          <w:u w:val="none" w:color="auto"/>
          <w:lang w:eastAsia="zh-CN"/>
          <w14:textFill>
            <w14:solidFill>
              <w14:schemeClr w14:val="tx1"/>
            </w14:solidFill>
          </w14:textFill>
        </w:rPr>
        <w:t>分析</w:t>
      </w:r>
    </w:p>
    <w:p>
      <w:pPr>
        <w:bidi w:val="0"/>
        <w:rPr>
          <w:b/>
          <w:bCs/>
        </w:rPr>
      </w:pPr>
      <w:r>
        <w:rPr>
          <w:rFonts w:hint="eastAsia"/>
          <w:b/>
          <w:bCs/>
          <w:lang w:val="en-US" w:eastAsia="zh-CN"/>
        </w:rPr>
        <w:t>5.1.1.1</w:t>
      </w:r>
      <w:r>
        <w:rPr>
          <w:b/>
          <w:bCs/>
        </w:rPr>
        <w:t>施工期生产废水</w:t>
      </w:r>
    </w:p>
    <w:p>
      <w:pPr>
        <w:bidi w:val="0"/>
      </w:pPr>
      <w:r>
        <w:rPr>
          <w:rFonts w:hint="eastAsia"/>
        </w:rPr>
        <w:t>施</w:t>
      </w:r>
      <w:r>
        <w:t>工期的生产废水主要为施工生产区机械设备、运输车辆的清洗废水</w:t>
      </w:r>
      <w:r>
        <w:rPr>
          <w:rFonts w:hint="eastAsia"/>
          <w:lang w:eastAsia="zh-CN"/>
        </w:rPr>
        <w:t>，</w:t>
      </w:r>
      <w:r>
        <w:t>其废水为间歇排放，废水中的主要污染物为SS和石油类。</w:t>
      </w:r>
      <w:r>
        <w:rPr>
          <w:rFonts w:hint="eastAsia"/>
          <w:lang w:eastAsia="zh-CN"/>
        </w:rPr>
        <w:t>施工场地设置隔油沉淀池，</w:t>
      </w:r>
      <w:r>
        <w:t>施工废水经隔油、沉淀处理后</w:t>
      </w:r>
      <w:r>
        <w:rPr>
          <w:rFonts w:hint="eastAsia"/>
        </w:rPr>
        <w:t>回用及</w:t>
      </w:r>
      <w:r>
        <w:t>用于道路洒水和场区绿化，不外排。</w:t>
      </w:r>
    </w:p>
    <w:p>
      <w:pPr>
        <w:bidi w:val="0"/>
      </w:pPr>
      <w:r>
        <w:rPr>
          <w:rFonts w:hint="eastAsia" w:ascii="Times New Roman" w:hAnsi="Times New Roman" w:eastAsia="宋体" w:cs="Times New Roman"/>
          <w:lang w:val="en-US" w:eastAsia="zh-CN"/>
        </w:rPr>
        <w:t>根据《</w:t>
      </w:r>
      <w:r>
        <w:rPr>
          <w:rFonts w:hint="eastAsia" w:ascii="Times New Roman" w:hAnsi="Times New Roman" w:eastAsia="宋体" w:cs="Times New Roman"/>
          <w:lang w:eastAsia="zh-CN"/>
        </w:rPr>
        <w:t>湖南华电永州蓝山大源风电项目</w:t>
      </w:r>
      <w:r>
        <w:rPr>
          <w:rFonts w:hint="eastAsia" w:ascii="Times New Roman" w:hAnsi="Times New Roman" w:eastAsia="宋体" w:cs="Times New Roman"/>
          <w:lang w:val="en-US" w:eastAsia="zh-CN"/>
        </w:rPr>
        <w:t>环境监理月报》，项目在旱季施工，施工</w:t>
      </w:r>
      <w:r>
        <w:rPr>
          <w:rFonts w:hint="eastAsia" w:ascii="Times New Roman" w:hAnsi="Times New Roman" w:eastAsia="宋体" w:cs="Times New Roman"/>
          <w:color w:val="auto"/>
          <w:sz w:val="24"/>
          <w:szCs w:val="20"/>
          <w:highlight w:val="none"/>
          <w:lang w:eastAsia="zh-CN"/>
        </w:rPr>
        <w:t>现场设置了雨水及施工废水收集沟，尽可能控制雨水带来的水土流失</w:t>
      </w:r>
      <w:r>
        <w:rPr>
          <w:rFonts w:hint="eastAsia"/>
          <w:lang w:val="en-US" w:eastAsia="zh-CN"/>
        </w:rPr>
        <w:t>。根据现状调查</w:t>
      </w:r>
      <w:r>
        <w:rPr>
          <w:rFonts w:hint="eastAsia"/>
        </w:rPr>
        <w:t>，无明显的水环境问题。</w:t>
      </w:r>
    </w:p>
    <w:p>
      <w:pPr>
        <w:bidi w:val="0"/>
        <w:rPr>
          <w:b/>
          <w:bCs/>
        </w:rPr>
      </w:pPr>
      <w:r>
        <w:rPr>
          <w:rFonts w:hint="eastAsia"/>
          <w:b/>
          <w:bCs/>
          <w:lang w:val="en-US" w:eastAsia="zh-CN"/>
        </w:rPr>
        <w:t>5.1.1.2</w:t>
      </w:r>
      <w:r>
        <w:rPr>
          <w:b/>
          <w:bCs/>
        </w:rPr>
        <w:t>生活污水</w:t>
      </w:r>
    </w:p>
    <w:p>
      <w:pPr>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根据调查，项目施工区域未设置施工营地，施工期施工人员租用附近民舍，生活污水依托已建化粪池处理后用作农肥，不外排。施工期生活污水经处理后对区域内水环境影响较小。</w:t>
      </w:r>
    </w:p>
    <w:p>
      <w:pPr>
        <w:bidi w:val="0"/>
        <w:rPr>
          <w:rFonts w:hint="eastAsia"/>
          <w:b/>
          <w:bCs/>
          <w:lang w:val="en-US" w:eastAsia="zh-CN"/>
        </w:rPr>
      </w:pPr>
      <w:r>
        <w:rPr>
          <w:rFonts w:hint="eastAsia"/>
          <w:b/>
          <w:bCs/>
          <w:lang w:val="en-US" w:eastAsia="zh-CN"/>
        </w:rPr>
        <w:t>5.1.1.3</w:t>
      </w:r>
      <w:r>
        <w:rPr>
          <w:rFonts w:hint="eastAsia"/>
          <w:b/>
          <w:bCs/>
          <w:lang w:eastAsia="zh-CN"/>
        </w:rPr>
        <w:t>施工期</w:t>
      </w:r>
      <w:r>
        <w:rPr>
          <w:rFonts w:hint="eastAsia"/>
          <w:b/>
          <w:bCs/>
          <w:lang w:val="en-US" w:eastAsia="zh-CN"/>
        </w:rPr>
        <w:t>对</w:t>
      </w:r>
      <w:r>
        <w:rPr>
          <w:rFonts w:hint="eastAsia"/>
          <w:b/>
          <w:bCs/>
          <w:lang w:eastAsia="zh-CN"/>
        </w:rPr>
        <w:t>饮用水源保护区</w:t>
      </w:r>
      <w:r>
        <w:rPr>
          <w:rFonts w:hint="eastAsia"/>
          <w:b/>
          <w:bCs/>
          <w:lang w:val="en-US" w:eastAsia="zh-CN"/>
        </w:rPr>
        <w:t>的影响分析</w:t>
      </w:r>
    </w:p>
    <w:p>
      <w:pPr>
        <w:bidi w:val="0"/>
        <w:rPr>
          <w:rFonts w:hint="default" w:ascii="Times New Roman" w:hAnsi="Times New Roman" w:eastAsia="宋体" w:cs="Times New Roman"/>
          <w:b/>
          <w:bCs/>
          <w:lang w:val="en-US" w:eastAsia="zh-CN"/>
        </w:rPr>
      </w:pPr>
      <w:r>
        <w:rPr>
          <w:rFonts w:hint="eastAsia" w:cs="Times New Roman"/>
          <w:b/>
          <w:bCs/>
          <w:lang w:val="en-US" w:eastAsia="zh-CN"/>
        </w:rPr>
        <w:t>1、项目与</w:t>
      </w:r>
      <w:r>
        <w:rPr>
          <w:rFonts w:hint="eastAsia" w:ascii="Times New Roman" w:hAnsi="Times New Roman" w:eastAsia="宋体" w:cs="Times New Roman"/>
          <w:b/>
          <w:bCs/>
          <w:lang w:val="en-US" w:eastAsia="zh-CN"/>
        </w:rPr>
        <w:t>饮用水水源保护区</w:t>
      </w:r>
      <w:r>
        <w:rPr>
          <w:rFonts w:hint="eastAsia" w:cs="Times New Roman"/>
          <w:b/>
          <w:bCs/>
          <w:lang w:val="en-US" w:eastAsia="zh-CN"/>
        </w:rPr>
        <w:t>位置关系</w:t>
      </w:r>
    </w:p>
    <w:p>
      <w:pPr>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项目周边分布有塔峰镇两江口水库饮用水水源保护区、新田湾河饮用水水源保护区、</w:t>
      </w:r>
      <w:r>
        <w:rPr>
          <w:rFonts w:hint="default" w:ascii="Times New Roman" w:hAnsi="Times New Roman" w:eastAsia="宋体" w:cs="Times New Roman"/>
          <w:lang w:val="en-US" w:eastAsia="zh-CN"/>
        </w:rPr>
        <w:t>塔峰镇岭脚村山溪水饮用水水源保护区</w:t>
      </w:r>
      <w:r>
        <w:rPr>
          <w:rFonts w:hint="eastAsia" w:ascii="Times New Roman" w:hAnsi="Times New Roman" w:eastAsia="宋体" w:cs="Times New Roman"/>
          <w:lang w:val="en-US" w:eastAsia="zh-CN"/>
        </w:rPr>
        <w:t>，其中15风机距离两江口水库饮用水水源保护区二级陆域保护区1.6km。15号风机平台距离新田湾河饮用水水源保护区二级陆域保护区最近10m，12、13号风机之间场内道路中有40m长度</w:t>
      </w:r>
      <w:r>
        <w:rPr>
          <w:rFonts w:hint="eastAsia" w:cs="Times New Roman"/>
          <w:lang w:val="en-US" w:eastAsia="zh-CN"/>
        </w:rPr>
        <w:t>紧邻</w:t>
      </w:r>
      <w:r>
        <w:rPr>
          <w:rFonts w:hint="default" w:ascii="Times New Roman" w:hAnsi="Times New Roman" w:eastAsia="宋体" w:cs="Times New Roman"/>
          <w:lang w:val="en-US" w:eastAsia="zh-CN"/>
        </w:rPr>
        <w:t>岭脚村山溪水饮用水水源保护区</w:t>
      </w:r>
      <w:r>
        <w:rPr>
          <w:rFonts w:hint="eastAsia" w:ascii="Times New Roman" w:hAnsi="Times New Roman" w:eastAsia="宋体" w:cs="Times New Roman"/>
          <w:lang w:val="en-US" w:eastAsia="zh-CN"/>
        </w:rPr>
        <w:t>二级陆域保护区，项目与各水源保护区的位置关系见下表。</w:t>
      </w:r>
    </w:p>
    <w:p>
      <w:pPr>
        <w:pStyle w:val="3590"/>
        <w:bidi w:val="0"/>
        <w:rPr>
          <w:rFonts w:hint="eastAsia"/>
          <w:lang w:eastAsia="zh-CN"/>
        </w:rPr>
      </w:pPr>
      <w:r>
        <w:rPr>
          <w:rFonts w:hint="eastAsia"/>
          <w:lang w:val="en-US" w:eastAsia="zh-CN"/>
        </w:rPr>
        <w:t>项目与饮用水源保护区位置关系一览表</w:t>
      </w:r>
    </w:p>
    <w:tbl>
      <w:tblPr>
        <w:tblStyle w:val="88"/>
        <w:tblW w:w="496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62"/>
        <w:gridCol w:w="3557"/>
        <w:gridCol w:w="461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76"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序号</w:t>
            </w:r>
          </w:p>
        </w:tc>
        <w:tc>
          <w:tcPr>
            <w:tcW w:w="1968"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eastAsia" w:ascii="Times New Roman" w:hAnsi="Times New Roman" w:cs="Times New Roman"/>
                <w:sz w:val="21"/>
                <w:szCs w:val="21"/>
                <w:u w:val="none" w:color="auto"/>
                <w:lang w:val="en-US" w:eastAsia="zh-CN"/>
              </w:rPr>
              <w:t>饮用水水源保护区</w:t>
            </w:r>
          </w:p>
        </w:tc>
        <w:tc>
          <w:tcPr>
            <w:tcW w:w="2554"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与工程</w:t>
            </w:r>
            <w:r>
              <w:rPr>
                <w:rFonts w:hint="eastAsia" w:cs="Times New Roman"/>
                <w:sz w:val="21"/>
                <w:szCs w:val="21"/>
                <w:u w:val="none" w:color="auto"/>
                <w:lang w:val="en-US" w:eastAsia="zh-CN"/>
              </w:rPr>
              <w:t>位置</w:t>
            </w:r>
            <w:r>
              <w:rPr>
                <w:rFonts w:hint="default" w:ascii="Times New Roman" w:hAnsi="Times New Roman" w:cs="Times New Roman"/>
                <w:sz w:val="21"/>
                <w:szCs w:val="21"/>
                <w:u w:val="none" w:color="auto"/>
              </w:rPr>
              <w:t>关系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476"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1</w:t>
            </w:r>
          </w:p>
        </w:tc>
        <w:tc>
          <w:tcPr>
            <w:tcW w:w="1968"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kern w:val="2"/>
                <w:sz w:val="21"/>
                <w:szCs w:val="21"/>
                <w:u w:val="none" w:color="auto"/>
                <w:lang w:val="en-US" w:eastAsia="zh-CN" w:bidi="ar-SA"/>
              </w:rPr>
            </w:pPr>
            <w:r>
              <w:rPr>
                <w:rFonts w:hint="eastAsia" w:ascii="Times New Roman" w:hAnsi="Times New Roman" w:cs="Times New Roman"/>
                <w:sz w:val="21"/>
                <w:szCs w:val="21"/>
                <w:u w:val="none" w:color="auto"/>
                <w:lang w:val="en-US" w:eastAsia="zh-CN"/>
              </w:rPr>
              <w:t>蓝山县塔峰镇两江口水库饮用水水源保护区</w:t>
            </w:r>
          </w:p>
        </w:tc>
        <w:tc>
          <w:tcPr>
            <w:tcW w:w="2554"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cs="Times New Roman"/>
                <w:bCs/>
                <w:color w:val="000000"/>
                <w:sz w:val="21"/>
                <w:szCs w:val="21"/>
                <w:highlight w:val="none"/>
                <w:u w:val="none" w:color="auto"/>
                <w:lang w:val="en-US" w:eastAsia="zh-CN"/>
              </w:rPr>
              <w:t>15风机距离</w:t>
            </w:r>
            <w:r>
              <w:rPr>
                <w:rFonts w:hint="eastAsia" w:cs="Times New Roman"/>
                <w:sz w:val="21"/>
                <w:szCs w:val="21"/>
                <w:u w:val="none" w:color="auto"/>
                <w:lang w:val="en-US" w:eastAsia="zh-CN"/>
              </w:rPr>
              <w:t>二级陆域保护区1.6km。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76"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2</w:t>
            </w:r>
          </w:p>
        </w:tc>
        <w:tc>
          <w:tcPr>
            <w:tcW w:w="1968"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蓝山县新田湾河饮用水水源保护区</w:t>
            </w:r>
          </w:p>
        </w:tc>
        <w:tc>
          <w:tcPr>
            <w:tcW w:w="2554"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cs="Times New Roman"/>
                <w:sz w:val="21"/>
                <w:szCs w:val="21"/>
                <w:u w:val="none" w:color="auto"/>
                <w:lang w:val="en-US" w:eastAsia="zh-CN"/>
              </w:rPr>
              <w:t>15号风机平台东侧距离二级陆域保护区10m，</w:t>
            </w:r>
            <w:r>
              <w:rPr>
                <w:rFonts w:hint="eastAsia" w:cs="Times New Roman"/>
                <w:bCs/>
                <w:color w:val="000000"/>
                <w:sz w:val="21"/>
                <w:szCs w:val="21"/>
                <w:highlight w:val="none"/>
                <w:u w:val="none" w:color="auto"/>
                <w:lang w:val="en-US" w:eastAsia="zh-CN"/>
              </w:rPr>
              <w:t>距离取水口最近2.8km。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76"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3</w:t>
            </w:r>
          </w:p>
        </w:tc>
        <w:tc>
          <w:tcPr>
            <w:tcW w:w="1968"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Times New Roman" w:hAnsi="Times New Roman" w:cs="Times New Roman"/>
                <w:sz w:val="21"/>
                <w:szCs w:val="21"/>
                <w:u w:val="none" w:color="auto"/>
                <w:lang w:val="en-US" w:eastAsia="zh-CN"/>
              </w:rPr>
            </w:pPr>
            <w:r>
              <w:rPr>
                <w:rFonts w:hint="eastAsia" w:ascii="Times New Roman" w:hAnsi="Times New Roman" w:cs="Times New Roman"/>
                <w:sz w:val="21"/>
                <w:szCs w:val="21"/>
                <w:u w:val="none" w:color="auto"/>
                <w:lang w:val="en-US" w:eastAsia="zh-CN"/>
              </w:rPr>
              <w:t>蓝山县</w:t>
            </w:r>
            <w:r>
              <w:rPr>
                <w:rFonts w:hint="default" w:ascii="Times New Roman" w:hAnsi="Times New Roman" w:eastAsia="宋体" w:cs="Times New Roman"/>
                <w:sz w:val="21"/>
                <w:szCs w:val="21"/>
                <w:u w:val="none" w:color="auto"/>
              </w:rPr>
              <w:t>塔峰镇岭脚村山溪水饮用水水源保护区</w:t>
            </w:r>
          </w:p>
        </w:tc>
        <w:tc>
          <w:tcPr>
            <w:tcW w:w="2554" w:type="pct"/>
            <w:tcBorders>
              <w:tl2br w:val="nil"/>
              <w:tr2bl w:val="nil"/>
            </w:tcBorders>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cs="Times New Roman"/>
                <w:sz w:val="21"/>
                <w:szCs w:val="21"/>
                <w:u w:val="none" w:color="auto"/>
                <w:lang w:val="en-US" w:eastAsia="zh-CN"/>
              </w:rPr>
              <w:t>12、13号风机之间场内道路中有40m长度紧邻二级陆域保护区，</w:t>
            </w:r>
            <w:r>
              <w:rPr>
                <w:rFonts w:hint="eastAsia" w:cs="Times New Roman"/>
                <w:bCs/>
                <w:color w:val="000000"/>
                <w:sz w:val="21"/>
                <w:szCs w:val="21"/>
                <w:highlight w:val="none"/>
                <w:u w:val="none" w:color="auto"/>
                <w:lang w:val="en-US" w:eastAsia="zh-CN"/>
              </w:rPr>
              <w:t>距离取水口最近1.7km。</w:t>
            </w:r>
          </w:p>
        </w:tc>
      </w:tr>
    </w:tbl>
    <w:p>
      <w:pPr>
        <w:bidi w:val="0"/>
        <w:rPr>
          <w:rFonts w:hint="eastAsia" w:ascii="Times New Roman" w:hAnsi="Times New Roman" w:eastAsia="宋体" w:cs="Times New Roman"/>
          <w:b/>
          <w:bCs/>
          <w:lang w:val="en-US" w:eastAsia="zh-CN"/>
        </w:rPr>
      </w:pPr>
      <w:r>
        <w:rPr>
          <w:rFonts w:hint="eastAsia"/>
          <w:b/>
          <w:bCs/>
          <w:lang w:val="en-US" w:eastAsia="zh-CN"/>
        </w:rPr>
        <w:t>2、项目</w:t>
      </w:r>
      <w:r>
        <w:rPr>
          <w:rFonts w:hint="eastAsia" w:ascii="Times New Roman" w:hAnsi="Times New Roman" w:eastAsia="宋体" w:cs="Times New Roman"/>
          <w:b/>
          <w:bCs/>
          <w:lang w:val="en-US" w:eastAsia="zh-CN"/>
        </w:rPr>
        <w:t>对蓝山县塔峰镇两江口水库饮用水水源保护区的影响分析</w:t>
      </w:r>
    </w:p>
    <w:p>
      <w:pPr>
        <w:bidi w:val="0"/>
        <w:rPr>
          <w:rFonts w:hint="eastAsia"/>
          <w:b w:val="0"/>
          <w:bCs w:val="0"/>
          <w:lang w:val="en-US" w:eastAsia="zh-CN"/>
        </w:rPr>
      </w:pPr>
      <w:r>
        <w:rPr>
          <w:rFonts w:hint="eastAsia"/>
          <w:b w:val="0"/>
          <w:bCs w:val="0"/>
          <w:lang w:val="en-US" w:eastAsia="zh-CN"/>
        </w:rPr>
        <w:t>（1）水源地的位置</w:t>
      </w:r>
    </w:p>
    <w:p>
      <w:pPr>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该饮用水水源保护区位于湖南省永州市蓝山县塔峰镇，取水口位于塔峰镇两江口村，取水口坐标为E112°9′45.03″，N25°23′16.84″。</w:t>
      </w:r>
    </w:p>
    <w:p>
      <w:pPr>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（2）水厂现状</w:t>
      </w:r>
    </w:p>
    <w:p>
      <w:pPr>
        <w:bidi w:val="0"/>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两江口水厂设计供水规模5000m</w:t>
      </w:r>
      <w:r>
        <w:rPr>
          <w:rFonts w:hint="default" w:ascii="Times New Roman" w:hAnsi="Times New Roman" w:eastAsia="宋体" w:cs="Times New Roman"/>
          <w:b w:val="0"/>
          <w:bCs w:val="0"/>
          <w:vertAlign w:val="superscript"/>
          <w:lang w:val="en-US" w:eastAsia="zh-CN"/>
        </w:rPr>
        <w:t>3</w:t>
      </w:r>
      <w:r>
        <w:rPr>
          <w:rFonts w:hint="default" w:ascii="Times New Roman" w:hAnsi="Times New Roman" w:eastAsia="宋体" w:cs="Times New Roman"/>
          <w:b w:val="0"/>
          <w:bCs w:val="0"/>
          <w:lang w:val="en-US" w:eastAsia="zh-CN"/>
        </w:rPr>
        <w:t>/d，现状取水量为4000m</w:t>
      </w:r>
      <w:r>
        <w:rPr>
          <w:rFonts w:hint="default" w:ascii="Times New Roman" w:hAnsi="Times New Roman" w:eastAsia="宋体" w:cs="Times New Roman"/>
          <w:b w:val="0"/>
          <w:bCs w:val="0"/>
          <w:vertAlign w:val="superscript"/>
          <w:lang w:val="en-US" w:eastAsia="zh-CN"/>
        </w:rPr>
        <w:t>3</w:t>
      </w:r>
      <w:r>
        <w:rPr>
          <w:rFonts w:hint="default" w:ascii="Times New Roman" w:hAnsi="Times New Roman" w:eastAsia="宋体" w:cs="Times New Roman"/>
          <w:b w:val="0"/>
          <w:bCs w:val="0"/>
          <w:lang w:val="en-US" w:eastAsia="zh-CN"/>
        </w:rPr>
        <w:t>/d，总服务人口44509人。两江口水厂包括取水低坝、输水管、处理构筑物、生产用房、管理房、泵房、配水管网等部分组成，两江口水厂取用水源为两江口水库，两江口水厂位于取水口东北侧1.3km处。</w:t>
      </w:r>
    </w:p>
    <w:p>
      <w:pPr>
        <w:bidi w:val="0"/>
        <w:ind w:left="0" w:leftChars="0" w:firstLine="0" w:firstLineChars="0"/>
        <w:jc w:val="center"/>
        <w:rPr>
          <w:rFonts w:hint="eastAsia" w:ascii="Times New Roman" w:hAnsi="Times New Roman" w:eastAsia="宋体" w:cs="Times New Roman"/>
          <w:b/>
          <w:bCs/>
          <w:sz w:val="21"/>
          <w:szCs w:val="21"/>
        </w:rPr>
      </w:pPr>
      <w:r>
        <w:rPr>
          <w:sz w:val="24"/>
        </w:rPr>
        <mc:AlternateContent>
          <mc:Choice Requires="wps">
            <w:drawing>
              <wp:anchor distT="0" distB="0" distL="114300" distR="114300" simplePos="0" relativeHeight="251721728" behindDoc="0" locked="0" layoutInCell="1" allowOverlap="1">
                <wp:simplePos x="0" y="0"/>
                <wp:positionH relativeFrom="column">
                  <wp:posOffset>238125</wp:posOffset>
                </wp:positionH>
                <wp:positionV relativeFrom="paragraph">
                  <wp:posOffset>1272540</wp:posOffset>
                </wp:positionV>
                <wp:extent cx="179705" cy="635"/>
                <wp:effectExtent l="0" t="0" r="0" b="0"/>
                <wp:wrapNone/>
                <wp:docPr id="46" name="直接连接符 46"/>
                <wp:cNvGraphicFramePr/>
                <a:graphic xmlns:a="http://schemas.openxmlformats.org/drawingml/2006/main">
                  <a:graphicData uri="http://schemas.microsoft.com/office/word/2010/wordprocessingShape">
                    <wps:wsp>
                      <wps:cNvCnPr/>
                      <wps:spPr>
                        <a:xfrm>
                          <a:off x="3589020" y="1814195"/>
                          <a:ext cx="179705" cy="635"/>
                        </a:xfrm>
                        <a:prstGeom prst="line">
                          <a:avLst/>
                        </a:prstGeom>
                        <a:ln w="19050">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8.75pt;margin-top:100.2pt;height:0.05pt;width:14.15pt;z-index:251721728;mso-width-relative:page;mso-height-relative:page;" filled="f" stroked="t" coordsize="21600,21600" o:gfxdata="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WAAAAZHJzL1BLAQIUABQAAAAI&#10;AIdO4kBdxlDT1QAAAAkBAAAPAAAAAAAAAAEAIAAAADgAAABkcnMvZG93bnJldi54bWxQSwECFAAU&#10;AAAACACHTuJA0xHUod4BAABzAwAADgAAAAAAAAABACAAAAA6AQAAZHJzL2Uyb0RvYy54bWxQSwUG&#10;AAAAAAYABgBZAQAAigUAAAAA&#10;">
                <v:fill on="f" focussize="0,0"/>
                <v:stroke weight="1.5pt" color="#FFFF00 [3204]" miterlimit="8" joinstyle="miter"/>
                <v:imagedata o:title=""/>
                <o:lock v:ext="edit" aspectratio="f"/>
              </v:line>
            </w:pict>
          </mc:Fallback>
        </mc:AlternateContent>
      </w:r>
      <w:r>
        <w:drawing>
          <wp:inline distT="0" distB="0" distL="114300" distR="114300">
            <wp:extent cx="5752465" cy="3592195"/>
            <wp:effectExtent l="0" t="0" r="635" b="8255"/>
            <wp:docPr id="15"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true"/>
                    </pic:cNvPicPr>
                  </pic:nvPicPr>
                  <pic:blipFill>
                    <a:blip r:embed="rId76"/>
                    <a:stretch>
                      <a:fillRect/>
                    </a:stretch>
                  </pic:blipFill>
                  <pic:spPr>
                    <a:xfrm>
                      <a:off x="0" y="0"/>
                      <a:ext cx="5752465" cy="3592195"/>
                    </a:xfrm>
                    <a:prstGeom prst="rect">
                      <a:avLst/>
                    </a:prstGeom>
                    <a:noFill/>
                    <a:ln>
                      <a:noFill/>
                    </a:ln>
                  </pic:spPr>
                </pic:pic>
              </a:graphicData>
            </a:graphic>
          </wp:inline>
        </w:drawing>
      </w:r>
      <w:r>
        <w:drawing>
          <wp:anchor distT="0" distB="0" distL="114300" distR="114300" simplePos="0" relativeHeight="251717632" behindDoc="0" locked="0" layoutInCell="1" allowOverlap="1">
            <wp:simplePos x="0" y="0"/>
            <wp:positionH relativeFrom="column">
              <wp:posOffset>253365</wp:posOffset>
            </wp:positionH>
            <wp:positionV relativeFrom="paragraph">
              <wp:posOffset>958215</wp:posOffset>
            </wp:positionV>
            <wp:extent cx="151765" cy="188595"/>
            <wp:effectExtent l="0" t="0" r="635" b="1905"/>
            <wp:wrapNone/>
            <wp:docPr id="37"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9"/>
                    <pic:cNvPicPr>
                      <a:picLocks noChangeAspect="true"/>
                    </pic:cNvPicPr>
                  </pic:nvPicPr>
                  <pic:blipFill>
                    <a:blip r:embed="rId77"/>
                    <a:stretch>
                      <a:fillRect/>
                    </a:stretch>
                  </pic:blipFill>
                  <pic:spPr>
                    <a:xfrm>
                      <a:off x="0" y="0"/>
                      <a:ext cx="151765" cy="188595"/>
                    </a:xfrm>
                    <a:prstGeom prst="rect">
                      <a:avLst/>
                    </a:prstGeom>
                    <a:noFill/>
                    <a:ln>
                      <a:noFill/>
                    </a:ln>
                  </pic:spPr>
                </pic:pic>
              </a:graphicData>
            </a:graphic>
          </wp:anchor>
        </w:drawing>
      </w:r>
      <w:r>
        <w:rPr>
          <w:sz w:val="24"/>
        </w:rPr>
        <mc:AlternateContent>
          <mc:Choice Requires="wps">
            <w:drawing>
              <wp:anchor distT="0" distB="0" distL="114300" distR="114300" simplePos="0" relativeHeight="251716608" behindDoc="0" locked="0" layoutInCell="1" allowOverlap="1">
                <wp:simplePos x="0" y="0"/>
                <wp:positionH relativeFrom="column">
                  <wp:posOffset>233045</wp:posOffset>
                </wp:positionH>
                <wp:positionV relativeFrom="paragraph">
                  <wp:posOffset>743585</wp:posOffset>
                </wp:positionV>
                <wp:extent cx="179705" cy="132080"/>
                <wp:effectExtent l="6350" t="6350" r="23495" b="13970"/>
                <wp:wrapNone/>
                <wp:docPr id="39" name="矩形 39"/>
                <wp:cNvGraphicFramePr/>
                <a:graphic xmlns:a="http://schemas.openxmlformats.org/drawingml/2006/main">
                  <a:graphicData uri="http://schemas.microsoft.com/office/word/2010/wordprocessingShape">
                    <wps:wsp>
                      <wps:cNvSpPr/>
                      <wps:spPr>
                        <a:xfrm>
                          <a:off x="0" y="0"/>
                          <a:ext cx="179705" cy="132080"/>
                        </a:xfrm>
                        <a:prstGeom prst="rect">
                          <a:avLst/>
                        </a:prstGeom>
                        <a:solidFill>
                          <a:srgbClr val="92D050"/>
                        </a:solidFill>
                        <a:ln>
                          <a:solidFill>
                            <a:srgbClr val="000000">
                              <a:alpha val="0"/>
                            </a:srgb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8.35pt;margin-top:58.55pt;height:10.4pt;width:14.15pt;z-index:251716608;v-text-anchor:middle;mso-width-relative:page;mso-height-relative:page;" fillcolor="#92D050" filled="t" stroked="t" coordsize="21600,21600" o:gfxdata="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BYAAABkcnMvUEsBAhQAFAAAAAgAh07iQCNv4tPUAAAACQEAAA8AAAAAAAAAAQAgAAAAOAAA&#10;AGRycy9kb3ducmV2LnhtbFBLAQIUABQAAAAIAIdO4kAooKSNaAIAANMEAAAOAAAAAAAAAAEAIAAA&#10;ADkBAABkcnMvZTJvRG9jLnhtbFBLBQYAAAAABgAGAFkBAAATBgAAAAA=&#10;">
                <v:fill on="t" focussize="0,0"/>
                <v:stroke weight="1pt" color="#000000 [2404]" opacity="0f" miterlimit="8" joinstyle="miter"/>
                <v:imagedata o:title=""/>
                <o:lock v:ext="edit" aspectratio="f"/>
              </v:rect>
            </w:pict>
          </mc:Fallback>
        </mc:AlternateContent>
      </w:r>
      <w:r>
        <w:rPr>
          <w:sz w:val="24"/>
        </w:rPr>
        <mc:AlternateContent>
          <mc:Choice Requires="wps">
            <w:drawing>
              <wp:anchor distT="0" distB="0" distL="114300" distR="114300" simplePos="0" relativeHeight="251715584" behindDoc="0" locked="0" layoutInCell="1" allowOverlap="1">
                <wp:simplePos x="0" y="0"/>
                <wp:positionH relativeFrom="column">
                  <wp:posOffset>240665</wp:posOffset>
                </wp:positionH>
                <wp:positionV relativeFrom="paragraph">
                  <wp:posOffset>516255</wp:posOffset>
                </wp:positionV>
                <wp:extent cx="179705" cy="132080"/>
                <wp:effectExtent l="6350" t="6350" r="23495" b="13970"/>
                <wp:wrapNone/>
                <wp:docPr id="40" name="矩形 40"/>
                <wp:cNvGraphicFramePr/>
                <a:graphic xmlns:a="http://schemas.openxmlformats.org/drawingml/2006/main">
                  <a:graphicData uri="http://schemas.microsoft.com/office/word/2010/wordprocessingShape">
                    <wps:wsp>
                      <wps:cNvSpPr/>
                      <wps:spPr>
                        <a:xfrm>
                          <a:off x="0" y="0"/>
                          <a:ext cx="179705" cy="132080"/>
                        </a:xfrm>
                        <a:prstGeom prst="rect">
                          <a:avLst/>
                        </a:prstGeom>
                        <a:solidFill>
                          <a:srgbClr val="38E8EB"/>
                        </a:solidFill>
                        <a:ln>
                          <a:solidFill>
                            <a:srgbClr val="000000">
                              <a:alpha val="0"/>
                            </a:srgb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8.95pt;margin-top:40.65pt;height:10.4pt;width:14.15pt;z-index:251715584;v-text-anchor:middle;mso-width-relative:page;mso-height-relative:page;" fillcolor="#38E8EB" filled="t" stroked="t" coordsize="21600,21600" o:gfxdata="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WAAAAZHJzL1BLAQIUABQAAAAIAIdO4kDtVtOC1wAAAAgBAAAPAAAAAAAAAAEAIAAA&#10;ADgAAABkcnMvZG93bnJldi54bWxQSwECFAAUAAAACACHTuJAd7bB32kCAADTBAAADgAAAAAAAAAB&#10;ACAAAAA8AQAAZHJzL2Uyb0RvYy54bWxQSwUGAAAAAAYABgBZAQAAFwYAAAAA&#10;">
                <v:fill on="t" focussize="0,0"/>
                <v:stroke weight="1pt" color="#000000 [2404]" opacity="0f" miterlimit="8" joinstyle="miter"/>
                <v:imagedata o:title=""/>
                <o:lock v:ext="edit" aspectratio="f"/>
              </v:rect>
            </w:pict>
          </mc:Fallback>
        </mc:AlternateContent>
      </w:r>
      <w:r>
        <w:rPr>
          <w:sz w:val="24"/>
        </w:rPr>
        <mc:AlternateContent>
          <mc:Choice Requires="wps">
            <w:drawing>
              <wp:anchor distT="0" distB="0" distL="114300" distR="114300" simplePos="0" relativeHeight="251714560" behindDoc="0" locked="0" layoutInCell="1" allowOverlap="1">
                <wp:simplePos x="0" y="0"/>
                <wp:positionH relativeFrom="column">
                  <wp:posOffset>241935</wp:posOffset>
                </wp:positionH>
                <wp:positionV relativeFrom="paragraph">
                  <wp:posOffset>297815</wp:posOffset>
                </wp:positionV>
                <wp:extent cx="179705" cy="132080"/>
                <wp:effectExtent l="6350" t="6350" r="23495" b="13970"/>
                <wp:wrapNone/>
                <wp:docPr id="38" name="矩形 38"/>
                <wp:cNvGraphicFramePr/>
                <a:graphic xmlns:a="http://schemas.openxmlformats.org/drawingml/2006/main">
                  <a:graphicData uri="http://schemas.microsoft.com/office/word/2010/wordprocessingShape">
                    <wps:wsp>
                      <wps:cNvSpPr/>
                      <wps:spPr>
                        <a:xfrm>
                          <a:off x="0" y="0"/>
                          <a:ext cx="179705" cy="132080"/>
                        </a:xfrm>
                        <a:prstGeom prst="rect">
                          <a:avLst/>
                        </a:prstGeom>
                        <a:solidFill>
                          <a:srgbClr val="9E29AC"/>
                        </a:solidFill>
                        <a:ln>
                          <a:solidFill>
                            <a:srgbClr val="000000">
                              <a:alpha val="0"/>
                            </a:srgb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9.05pt;margin-top:23.45pt;height:10.4pt;width:14.15pt;z-index:251714560;v-text-anchor:middle;mso-width-relative:page;mso-height-relative:page;" fillcolor="#9E29AC" filled="t" stroked="t" coordsize="21600,21600" o:gfxdata="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FgAAAGRycy9QSwECFAAUAAAACACHTuJA5WUKSdgAAAAHAQAADwAAAAAAAAABACAA&#10;AAA4AAAAZHJzL2Rvd25yZXYueG1sUEsBAhQAFAAAAAgAh07iQG4y0YZpAgAA0wQAAA4AAAAAAAAA&#10;AQAgAAAAPQEAAGRycy9lMm9Eb2MueG1sUEsFBgAAAAAGAAYAWQEAABgGAAAAAA==&#10;">
                <v:fill on="t" focussize="0,0"/>
                <v:stroke weight="1pt" color="#000000 [2404]" opacity="0f" miterlimit="8" joinstyle="miter"/>
                <v:imagedata o:title=""/>
                <o:lock v:ext="edit" aspectratio="f"/>
              </v:rect>
            </w:pict>
          </mc:Fallback>
        </mc:AlternateContent>
      </w:r>
      <w:r>
        <w:rPr>
          <w:sz w:val="24"/>
        </w:rPr>
        <mc:AlternateContent>
          <mc:Choice Requires="wps">
            <w:drawing>
              <wp:anchor distT="0" distB="0" distL="114300" distR="114300" simplePos="0" relativeHeight="251713536" behindDoc="0" locked="0" layoutInCell="1" allowOverlap="1">
                <wp:simplePos x="0" y="0"/>
                <wp:positionH relativeFrom="column">
                  <wp:posOffset>236220</wp:posOffset>
                </wp:positionH>
                <wp:positionV relativeFrom="paragraph">
                  <wp:posOffset>87630</wp:posOffset>
                </wp:positionV>
                <wp:extent cx="179705" cy="132080"/>
                <wp:effectExtent l="6350" t="6350" r="23495" b="13970"/>
                <wp:wrapNone/>
                <wp:docPr id="41" name="矩形 41"/>
                <wp:cNvGraphicFramePr/>
                <a:graphic xmlns:a="http://schemas.openxmlformats.org/drawingml/2006/main">
                  <a:graphicData uri="http://schemas.microsoft.com/office/word/2010/wordprocessingShape">
                    <wps:wsp>
                      <wps:cNvSpPr/>
                      <wps:spPr>
                        <a:xfrm>
                          <a:off x="1163955" y="6219825"/>
                          <a:ext cx="179705" cy="132080"/>
                        </a:xfrm>
                        <a:prstGeom prst="rect">
                          <a:avLst/>
                        </a:prstGeom>
                        <a:solidFill>
                          <a:srgbClr val="FF0000"/>
                        </a:solidFill>
                        <a:ln>
                          <a:solidFill>
                            <a:srgbClr val="000000">
                              <a:alpha val="0"/>
                            </a:srgb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8.6pt;margin-top:6.9pt;height:10.4pt;width:14.15pt;z-index:251713536;v-text-anchor:middle;mso-width-relative:page;mso-height-relative:page;" fillcolor="#FF0000" filled="t" stroked="t" coordsize="21600,21600" o:gfxdata="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FgAAAGRycy9QSwECFAAUAAAACACHTuJAs48zq9gAAAAHAQAA&#10;DwAAAAAAAAABACAAAAA4AAAAZHJzL2Rvd25yZXYueG1sUEsBAhQAFAAAAAgAh07iQIa13px1AgAA&#10;3wQAAA4AAAAAAAAAAQAgAAAAPQEAAGRycy9lMm9Eb2MueG1sUEsFBgAAAAAGAAYAWQEAACQGAAAA&#10;AA==&#10;">
                <v:fill on="t" focussize="0,0"/>
                <v:stroke weight="1pt" color="#000000 [2404]" opacity="0f" miterlimit="8" joinstyle="miter"/>
                <v:imagedata o:title=""/>
                <o:lock v:ext="edit" aspectratio="f"/>
              </v:rect>
            </w:pict>
          </mc:Fallback>
        </mc:AlternateContent>
      </w:r>
      <w:r>
        <w:rPr>
          <w:sz w:val="24"/>
        </w:rPr>
        <mc:AlternateContent>
          <mc:Choice Requires="wps">
            <w:drawing>
              <wp:anchor distT="0" distB="0" distL="114300" distR="114300" simplePos="0" relativeHeight="251712512" behindDoc="0" locked="0" layoutInCell="1" allowOverlap="1">
                <wp:simplePos x="0" y="0"/>
                <wp:positionH relativeFrom="column">
                  <wp:posOffset>177165</wp:posOffset>
                </wp:positionH>
                <wp:positionV relativeFrom="paragraph">
                  <wp:posOffset>22860</wp:posOffset>
                </wp:positionV>
                <wp:extent cx="1384300" cy="1360170"/>
                <wp:effectExtent l="4445" t="4445" r="20955" b="6985"/>
                <wp:wrapNone/>
                <wp:docPr id="42" name="文本框 42"/>
                <wp:cNvGraphicFramePr/>
                <a:graphic xmlns:a="http://schemas.openxmlformats.org/drawingml/2006/main">
                  <a:graphicData uri="http://schemas.microsoft.com/office/word/2010/wordprocessingShape">
                    <wps:wsp>
                      <wps:cNvSpPr txBox="true"/>
                      <wps:spPr>
                        <a:xfrm>
                          <a:off x="5779770" y="8828405"/>
                          <a:ext cx="1384300" cy="13601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left="0" w:leftChars="0" w:firstLine="360" w:firstLineChars="200"/>
                              <w:rPr>
                                <w:rFonts w:hint="eastAsia"/>
                                <w:sz w:val="18"/>
                                <w:szCs w:val="13"/>
                                <w:lang w:val="en-US" w:eastAsia="zh-CN"/>
                              </w:rPr>
                            </w:pPr>
                            <w:r>
                              <w:rPr>
                                <w:rFonts w:hint="eastAsia"/>
                                <w:sz w:val="18"/>
                                <w:szCs w:val="13"/>
                                <w:lang w:val="en-US" w:eastAsia="zh-CN"/>
                              </w:rPr>
                              <w:t>一级保护区（水域）</w:t>
                            </w:r>
                          </w:p>
                          <w:p>
                            <w:pPr>
                              <w:pStyle w:val="74"/>
                              <w:ind w:left="0" w:leftChars="0" w:firstLine="360" w:firstLineChars="200"/>
                              <w:rPr>
                                <w:rFonts w:hint="eastAsia"/>
                                <w:sz w:val="18"/>
                                <w:szCs w:val="13"/>
                                <w:lang w:val="en-US" w:eastAsia="zh-CN"/>
                              </w:rPr>
                            </w:pPr>
                            <w:r>
                              <w:rPr>
                                <w:rFonts w:hint="eastAsia"/>
                                <w:sz w:val="18"/>
                                <w:szCs w:val="13"/>
                                <w:lang w:val="en-US" w:eastAsia="zh-CN"/>
                              </w:rPr>
                              <w:t>一级保护区（陆域）</w:t>
                            </w:r>
                          </w:p>
                          <w:p>
                            <w:pPr>
                              <w:ind w:left="0" w:leftChars="0" w:firstLine="360" w:firstLineChars="200"/>
                              <w:rPr>
                                <w:rFonts w:hint="eastAsia"/>
                                <w:sz w:val="18"/>
                                <w:szCs w:val="13"/>
                                <w:lang w:val="en-US" w:eastAsia="zh-CN"/>
                              </w:rPr>
                            </w:pPr>
                            <w:r>
                              <w:rPr>
                                <w:rFonts w:hint="eastAsia"/>
                                <w:sz w:val="18"/>
                                <w:szCs w:val="13"/>
                                <w:lang w:val="en-US" w:eastAsia="zh-CN"/>
                              </w:rPr>
                              <w:t>二级保护区（水域）</w:t>
                            </w:r>
                          </w:p>
                          <w:p>
                            <w:pPr>
                              <w:pStyle w:val="74"/>
                              <w:ind w:left="0" w:leftChars="0" w:firstLine="360" w:firstLineChars="200"/>
                              <w:rPr>
                                <w:rFonts w:hint="eastAsia"/>
                                <w:sz w:val="18"/>
                                <w:szCs w:val="13"/>
                                <w:lang w:val="en-US" w:eastAsia="zh-CN"/>
                              </w:rPr>
                            </w:pPr>
                            <w:r>
                              <w:rPr>
                                <w:rFonts w:hint="eastAsia"/>
                                <w:sz w:val="18"/>
                                <w:szCs w:val="13"/>
                                <w:lang w:val="en-US" w:eastAsia="zh-CN"/>
                              </w:rPr>
                              <w:t>二级保护区（陆域）</w:t>
                            </w:r>
                          </w:p>
                          <w:p>
                            <w:pPr>
                              <w:rPr>
                                <w:rFonts w:hint="eastAsia"/>
                                <w:sz w:val="18"/>
                                <w:szCs w:val="13"/>
                                <w:lang w:val="en-US" w:eastAsia="zh-CN"/>
                              </w:rPr>
                            </w:pPr>
                            <w:r>
                              <w:rPr>
                                <w:rFonts w:hint="eastAsia"/>
                                <w:sz w:val="18"/>
                                <w:szCs w:val="13"/>
                                <w:lang w:val="en-US" w:eastAsia="zh-CN"/>
                              </w:rPr>
                              <w:t>取水口</w:t>
                            </w:r>
                          </w:p>
                          <w:p>
                            <w:pPr>
                              <w:rPr>
                                <w:rFonts w:hint="default"/>
                                <w:sz w:val="18"/>
                                <w:szCs w:val="13"/>
                                <w:lang w:val="en-US" w:eastAsia="zh-CN"/>
                              </w:rPr>
                            </w:pPr>
                            <w:r>
                              <w:rPr>
                                <w:rFonts w:hint="eastAsia"/>
                                <w:sz w:val="18"/>
                                <w:szCs w:val="13"/>
                                <w:lang w:val="en-US" w:eastAsia="zh-CN"/>
                              </w:rPr>
                              <w:t>依托进场道路</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13.95pt;margin-top:1.8pt;height:107.1pt;width:109pt;z-index:251712512;mso-width-relative:page;mso-height-relative:page;" fillcolor="#FFFFFF [3201]" filled="t" stroked="t" coordsize="21600,21600" o:gfxdata="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BYAAABkcnMvUEsBAhQAFAAA&#10;AAgAh07iQCJGCU3VAAAACAEAAA8AAAAAAAAAAQAgAAAAOAAAAGRycy9kb3ducmV2LnhtbFBLAQIU&#10;ABQAAAAIAIdO4kC9bpjnUgIAAIoEAAAOAAAAAAAAAAEAIAAAADoBAABkcnMvZTJvRG9jLnhtbFBL&#10;BQYAAAAABgAGAFkBAAD+BQAAAAA=&#10;">
                <v:fill on="t" focussize="0,0"/>
                <v:stroke weight="0.5pt" color="#000000 [3204]" joinstyle="round"/>
                <v:imagedata o:title=""/>
                <o:lock v:ext="edit" aspectratio="f"/>
                <v:textbox>
                  <w:txbxContent>
                    <w:p>
                      <w:pPr>
                        <w:ind w:left="0" w:leftChars="0" w:firstLine="360" w:firstLineChars="200"/>
                        <w:rPr>
                          <w:rFonts w:hint="eastAsia"/>
                          <w:sz w:val="18"/>
                          <w:szCs w:val="13"/>
                          <w:lang w:val="en-US" w:eastAsia="zh-CN"/>
                        </w:rPr>
                      </w:pPr>
                      <w:r>
                        <w:rPr>
                          <w:rFonts w:hint="eastAsia"/>
                          <w:sz w:val="18"/>
                          <w:szCs w:val="13"/>
                          <w:lang w:val="en-US" w:eastAsia="zh-CN"/>
                        </w:rPr>
                        <w:t>一级保护区（水域）</w:t>
                      </w:r>
                    </w:p>
                    <w:p>
                      <w:pPr>
                        <w:pStyle w:val="74"/>
                        <w:ind w:left="0" w:leftChars="0" w:firstLine="360" w:firstLineChars="200"/>
                        <w:rPr>
                          <w:rFonts w:hint="eastAsia"/>
                          <w:sz w:val="18"/>
                          <w:szCs w:val="13"/>
                          <w:lang w:val="en-US" w:eastAsia="zh-CN"/>
                        </w:rPr>
                      </w:pPr>
                      <w:r>
                        <w:rPr>
                          <w:rFonts w:hint="eastAsia"/>
                          <w:sz w:val="18"/>
                          <w:szCs w:val="13"/>
                          <w:lang w:val="en-US" w:eastAsia="zh-CN"/>
                        </w:rPr>
                        <w:t>一级保护区（陆域）</w:t>
                      </w:r>
                    </w:p>
                    <w:p>
                      <w:pPr>
                        <w:ind w:left="0" w:leftChars="0" w:firstLine="360" w:firstLineChars="200"/>
                        <w:rPr>
                          <w:rFonts w:hint="eastAsia"/>
                          <w:sz w:val="18"/>
                          <w:szCs w:val="13"/>
                          <w:lang w:val="en-US" w:eastAsia="zh-CN"/>
                        </w:rPr>
                      </w:pPr>
                      <w:r>
                        <w:rPr>
                          <w:rFonts w:hint="eastAsia"/>
                          <w:sz w:val="18"/>
                          <w:szCs w:val="13"/>
                          <w:lang w:val="en-US" w:eastAsia="zh-CN"/>
                        </w:rPr>
                        <w:t>二级保护区（水域）</w:t>
                      </w:r>
                    </w:p>
                    <w:p>
                      <w:pPr>
                        <w:pStyle w:val="74"/>
                        <w:ind w:left="0" w:leftChars="0" w:firstLine="360" w:firstLineChars="200"/>
                        <w:rPr>
                          <w:rFonts w:hint="eastAsia"/>
                          <w:sz w:val="18"/>
                          <w:szCs w:val="13"/>
                          <w:lang w:val="en-US" w:eastAsia="zh-CN"/>
                        </w:rPr>
                      </w:pPr>
                      <w:r>
                        <w:rPr>
                          <w:rFonts w:hint="eastAsia"/>
                          <w:sz w:val="18"/>
                          <w:szCs w:val="13"/>
                          <w:lang w:val="en-US" w:eastAsia="zh-CN"/>
                        </w:rPr>
                        <w:t>二级保护区（陆域）</w:t>
                      </w:r>
                    </w:p>
                    <w:p>
                      <w:pPr>
                        <w:rPr>
                          <w:rFonts w:hint="eastAsia"/>
                          <w:sz w:val="18"/>
                          <w:szCs w:val="13"/>
                          <w:lang w:val="en-US" w:eastAsia="zh-CN"/>
                        </w:rPr>
                      </w:pPr>
                      <w:r>
                        <w:rPr>
                          <w:rFonts w:hint="eastAsia"/>
                          <w:sz w:val="18"/>
                          <w:szCs w:val="13"/>
                          <w:lang w:val="en-US" w:eastAsia="zh-CN"/>
                        </w:rPr>
                        <w:t>取水口</w:t>
                      </w:r>
                    </w:p>
                    <w:p>
                      <w:pPr>
                        <w:rPr>
                          <w:rFonts w:hint="default"/>
                          <w:sz w:val="18"/>
                          <w:szCs w:val="13"/>
                          <w:lang w:val="en-US" w:eastAsia="zh-CN"/>
                        </w:rPr>
                      </w:pPr>
                      <w:r>
                        <w:rPr>
                          <w:rFonts w:hint="eastAsia"/>
                          <w:sz w:val="18"/>
                          <w:szCs w:val="13"/>
                          <w:lang w:val="en-US" w:eastAsia="zh-CN"/>
                        </w:rPr>
                        <w:t>依托进场道路</w:t>
                      </w:r>
                    </w:p>
                  </w:txbxContent>
                </v:textbox>
              </v:shape>
            </w:pict>
          </mc:Fallback>
        </mc:AlternateContent>
      </w:r>
    </w:p>
    <w:p>
      <w:pPr>
        <w:pStyle w:val="74"/>
        <w:ind w:left="0" w:leftChars="0" w:firstLine="0" w:firstLineChars="0"/>
        <w:jc w:val="center"/>
        <w:rPr>
          <w:rFonts w:hint="eastAsia" w:ascii="Times New Roman" w:hAnsi="Times New Roman" w:eastAsia="宋体" w:cs="Times New Roman"/>
          <w:b/>
          <w:bCs/>
          <w:sz w:val="21"/>
          <w:szCs w:val="21"/>
        </w:rPr>
      </w:pPr>
      <w:r>
        <w:rPr>
          <w:sz w:val="20"/>
        </w:rPr>
        <mc:AlternateContent>
          <mc:Choice Requires="wps">
            <w:drawing>
              <wp:anchor distT="0" distB="0" distL="114300" distR="114300" simplePos="0" relativeHeight="251720704" behindDoc="0" locked="0" layoutInCell="1" allowOverlap="1">
                <wp:simplePos x="0" y="0"/>
                <wp:positionH relativeFrom="column">
                  <wp:posOffset>2630805</wp:posOffset>
                </wp:positionH>
                <wp:positionV relativeFrom="paragraph">
                  <wp:posOffset>1106170</wp:posOffset>
                </wp:positionV>
                <wp:extent cx="614680" cy="248920"/>
                <wp:effectExtent l="0" t="0" r="0" b="0"/>
                <wp:wrapNone/>
                <wp:docPr id="45" name="文本框 45"/>
                <wp:cNvGraphicFramePr/>
                <a:graphic xmlns:a="http://schemas.openxmlformats.org/drawingml/2006/main">
                  <a:graphicData uri="http://schemas.microsoft.com/office/word/2010/wordprocessingShape">
                    <wps:wsp>
                      <wps:cNvSpPr txBox="true"/>
                      <wps:spPr>
                        <a:xfrm rot="480000">
                          <a:off x="3699510" y="5645785"/>
                          <a:ext cx="614680" cy="2489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1.6km</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07.15pt;margin-top:87.1pt;height:19.6pt;width:48.4pt;rotation:524288f;z-index:251720704;mso-width-relative:page;mso-height-relative:page;" filled="f" stroked="f" coordsize="21600,21600" o:gfxdata="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WAAAAZHJzL1BLAQIUABQAAAAIAIdO4kCAeaIY2gAAAAsBAAAP&#10;AAAAAAAAAAEAIAAAADgAAABkcnMvZG93bnJldi54bWxQSwECFAAUAAAACACHTuJAHUgvgjkCAABE&#10;BAAADgAAAAAAAAABACAAAAA/AQAAZHJzL2Uyb0RvYy54bWxQSwUGAAAAAAYABgBZAQAA6gUAAAAA&#10;">
                <v:fill on="f" focussize="0,0"/>
                <v:stroke on="f" weight="0.5pt"/>
                <v:imagedata o:title=""/>
                <o:lock v:ext="edit" aspectratio="f"/>
                <v:textbox>
                  <w:txbxContent>
                    <w:p>
                      <w:pPr>
                        <w:ind w:left="0" w:leftChars="0" w:firstLine="0" w:firstLineChars="0"/>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1.6km</w:t>
                      </w:r>
                    </w:p>
                  </w:txbxContent>
                </v:textbox>
              </v:shape>
            </w:pict>
          </mc:Fallback>
        </mc:AlternateContent>
      </w:r>
      <w:r>
        <w:rPr>
          <w:sz w:val="20"/>
        </w:rPr>
        <mc:AlternateContent>
          <mc:Choice Requires="wps">
            <w:drawing>
              <wp:anchor distT="0" distB="0" distL="114300" distR="114300" simplePos="0" relativeHeight="251719680" behindDoc="0" locked="0" layoutInCell="1" allowOverlap="1">
                <wp:simplePos x="0" y="0"/>
                <wp:positionH relativeFrom="column">
                  <wp:posOffset>2220595</wp:posOffset>
                </wp:positionH>
                <wp:positionV relativeFrom="paragraph">
                  <wp:posOffset>1252220</wp:posOffset>
                </wp:positionV>
                <wp:extent cx="1128395" cy="198120"/>
                <wp:effectExtent l="1270" t="6350" r="13335" b="43180"/>
                <wp:wrapNone/>
                <wp:docPr id="44" name="直接箭头连接符 44"/>
                <wp:cNvGraphicFramePr/>
                <a:graphic xmlns:a="http://schemas.openxmlformats.org/drawingml/2006/main">
                  <a:graphicData uri="http://schemas.microsoft.com/office/word/2010/wordprocessingShape">
                    <wps:wsp>
                      <wps:cNvCnPr/>
                      <wps:spPr>
                        <a:xfrm>
                          <a:off x="3120390" y="5828665"/>
                          <a:ext cx="1128395" cy="198120"/>
                        </a:xfrm>
                        <a:prstGeom prst="straightConnector1">
                          <a:avLst/>
                        </a:prstGeom>
                        <a:ln>
                          <a:solidFill>
                            <a:schemeClr val="bg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74.85pt;margin-top:98.6pt;height:15.6pt;width:88.85pt;z-index:251719680;mso-width-relative:page;mso-height-relative:page;" filled="f" stroked="t" coordsize="21600,21600" o:gfxdata="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FgAAAGRycy9QSwECFAAUAAAACACHTuJA5CLNM9kAAAALAQAADwAAAAAA&#10;AAABACAAAAA4AAAAZHJzL2Rvd25yZXYueG1sUEsBAhQAFAAAAAgAh07iQElJw5r8AQAApAMAAA4A&#10;AAAAAAAAAQAgAAAAPgEAAGRycy9lMm9Eb2MueG1sUEsFBgAAAAAGAAYAWQEAAKwFAAAAAA==&#10;">
                <v:fill on="f" focussize="0,0"/>
                <v:stroke weight="1pt" color="#FFFFFF [3212]" miterlimit="8" joinstyle="miter" endarrow="open"/>
                <v:imagedata o:title=""/>
                <o:lock v:ext="edit" aspectratio="f"/>
              </v:shape>
            </w:pict>
          </mc:Fallback>
        </mc:AlternateContent>
      </w:r>
      <w:r>
        <w:drawing>
          <wp:inline distT="0" distB="0" distL="114300" distR="114300">
            <wp:extent cx="5752465" cy="3489325"/>
            <wp:effectExtent l="0" t="0" r="635" b="15875"/>
            <wp:docPr id="43"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true"/>
                    </pic:cNvPicPr>
                  </pic:nvPicPr>
                  <pic:blipFill>
                    <a:blip r:embed="rId78"/>
                    <a:stretch>
                      <a:fillRect/>
                    </a:stretch>
                  </pic:blipFill>
                  <pic:spPr>
                    <a:xfrm>
                      <a:off x="0" y="0"/>
                      <a:ext cx="5752465" cy="3489325"/>
                    </a:xfrm>
                    <a:prstGeom prst="rect">
                      <a:avLst/>
                    </a:prstGeom>
                    <a:noFill/>
                    <a:ln>
                      <a:noFill/>
                    </a:ln>
                  </pic:spPr>
                </pic:pic>
              </a:graphicData>
            </a:graphic>
          </wp:inline>
        </w:drawing>
      </w:r>
    </w:p>
    <w:p>
      <w:pPr>
        <w:pStyle w:val="74"/>
        <w:jc w:val="center"/>
        <w:rPr>
          <w:rFonts w:hint="eastAsia"/>
          <w:lang w:val="en-US" w:eastAsia="zh-CN"/>
        </w:rPr>
      </w:pPr>
      <w:r>
        <w:rPr>
          <w:rFonts w:hint="eastAsia" w:ascii="Times New Roman" w:hAnsi="Times New Roman" w:eastAsia="宋体" w:cs="Times New Roman"/>
          <w:b/>
          <w:bCs/>
          <w:sz w:val="21"/>
          <w:szCs w:val="21"/>
        </w:rPr>
        <w:t>图</w:t>
      </w:r>
      <w:r>
        <w:rPr>
          <w:rFonts w:hint="eastAsia" w:ascii="Times New Roman" w:hAnsi="Times New Roman" w:cs="Times New Roman"/>
          <w:b/>
          <w:bCs/>
          <w:sz w:val="21"/>
          <w:szCs w:val="21"/>
          <w:lang w:val="en-US" w:eastAsia="zh-CN"/>
        </w:rPr>
        <w:t>5</w:t>
      </w:r>
      <w:r>
        <w:rPr>
          <w:rFonts w:hint="eastAsia" w:ascii="Times New Roman" w:hAnsi="Times New Roman" w:eastAsia="宋体" w:cs="Times New Roman"/>
          <w:b/>
          <w:bCs/>
          <w:sz w:val="21"/>
          <w:szCs w:val="21"/>
        </w:rPr>
        <w:t xml:space="preserve">-1 </w:t>
      </w:r>
      <w:r>
        <w:rPr>
          <w:rFonts w:hint="eastAsia" w:ascii="Times New Roman" w:hAnsi="Times New Roman" w:eastAsia="宋体" w:cs="Times New Roman"/>
          <w:b/>
          <w:bCs/>
          <w:sz w:val="21"/>
          <w:szCs w:val="21"/>
          <w:lang w:val="en-US" w:eastAsia="zh-CN"/>
        </w:rPr>
        <w:t xml:space="preserve"> </w:t>
      </w:r>
      <w:r>
        <w:rPr>
          <w:rFonts w:hint="eastAsia" w:ascii="Times New Roman" w:hAnsi="Times New Roman" w:eastAsia="宋体" w:cs="Times New Roman"/>
          <w:b/>
          <w:bCs/>
          <w:sz w:val="21"/>
          <w:szCs w:val="21"/>
        </w:rPr>
        <w:t>项目与</w:t>
      </w:r>
      <w:r>
        <w:rPr>
          <w:rFonts w:hint="eastAsia" w:ascii="Times New Roman" w:hAnsi="Times New Roman" w:eastAsia="宋体" w:cs="Times New Roman"/>
          <w:b/>
          <w:bCs/>
          <w:sz w:val="21"/>
          <w:szCs w:val="21"/>
          <w:lang w:val="en-US" w:eastAsia="zh-CN"/>
        </w:rPr>
        <w:t>两江口水库饮用水水源保护区</w:t>
      </w:r>
      <w:r>
        <w:rPr>
          <w:rFonts w:hint="eastAsia" w:ascii="Times New Roman" w:hAnsi="Times New Roman" w:eastAsia="宋体" w:cs="Times New Roman"/>
          <w:b/>
          <w:bCs/>
          <w:sz w:val="21"/>
          <w:szCs w:val="21"/>
        </w:rPr>
        <w:t>的位置关系图</w:t>
      </w:r>
    </w:p>
    <w:p>
      <w:pPr>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（3）影响分析</w:t>
      </w:r>
    </w:p>
    <w:p>
      <w:pPr>
        <w:bidi w:val="0"/>
        <w:rPr>
          <w:rFonts w:hint="eastAsia"/>
          <w:b/>
          <w:bCs/>
          <w:sz w:val="24"/>
          <w:szCs w:val="24"/>
          <w:lang w:val="en-US" w:eastAsia="zh-CN"/>
        </w:rPr>
      </w:pPr>
      <w:r>
        <w:rPr>
          <w:rFonts w:hint="eastAsia" w:cs="Times New Roman"/>
          <w:sz w:val="24"/>
          <w:szCs w:val="24"/>
          <w:u w:val="none" w:color="auto"/>
          <w:lang w:val="en-US" w:eastAsia="zh-CN"/>
        </w:rPr>
        <w:t>本项目依托的</w:t>
      </w:r>
      <w:r>
        <w:rPr>
          <w:rFonts w:hint="eastAsia" w:ascii="Times New Roman" w:hAnsi="Times New Roman" w:eastAsia="宋体" w:cs="Times New Roman"/>
          <w:sz w:val="24"/>
          <w:szCs w:val="24"/>
          <w:u w:val="none" w:color="auto"/>
        </w:rPr>
        <w:t>进场道路</w:t>
      </w:r>
      <w:r>
        <w:rPr>
          <w:rFonts w:hint="eastAsia" w:ascii="Times New Roman" w:hAnsi="Times New Roman" w:eastAsia="宋体" w:cs="Times New Roman"/>
          <w:sz w:val="24"/>
          <w:szCs w:val="24"/>
          <w:u w:val="none" w:color="auto"/>
          <w:lang w:val="en-US" w:eastAsia="zh-CN"/>
        </w:rPr>
        <w:t>邻近两江口水库水库，</w:t>
      </w:r>
      <w:r>
        <w:rPr>
          <w:rFonts w:hint="eastAsia" w:cs="Times New Roman"/>
          <w:sz w:val="24"/>
          <w:szCs w:val="24"/>
          <w:u w:val="none" w:color="auto"/>
          <w:lang w:val="en-US" w:eastAsia="zh-CN"/>
        </w:rPr>
        <w:t>有7.9km长度位于二级陆域保护区，</w:t>
      </w:r>
      <w:r>
        <w:rPr>
          <w:rFonts w:hint="eastAsia" w:cs="Times New Roman"/>
          <w:bCs/>
          <w:color w:val="000000"/>
          <w:sz w:val="24"/>
          <w:szCs w:val="24"/>
          <w:highlight w:val="none"/>
          <w:u w:val="none" w:color="auto"/>
          <w:lang w:val="en-US" w:eastAsia="zh-CN"/>
        </w:rPr>
        <w:t>但本项目15风机距离</w:t>
      </w:r>
      <w:r>
        <w:rPr>
          <w:rFonts w:hint="eastAsia" w:cs="Times New Roman"/>
          <w:sz w:val="24"/>
          <w:szCs w:val="24"/>
          <w:u w:val="none" w:color="auto"/>
          <w:lang w:val="en-US" w:eastAsia="zh-CN"/>
        </w:rPr>
        <w:t>二级陆域保护区</w:t>
      </w:r>
      <w:r>
        <w:rPr>
          <w:rFonts w:hint="eastAsia" w:cs="Times New Roman"/>
          <w:bCs/>
          <w:color w:val="000000"/>
          <w:sz w:val="24"/>
          <w:szCs w:val="24"/>
          <w:highlight w:val="none"/>
          <w:u w:val="none" w:color="auto"/>
          <w:lang w:val="en-US" w:eastAsia="zh-CN"/>
        </w:rPr>
        <w:t>最近</w:t>
      </w:r>
      <w:r>
        <w:rPr>
          <w:rFonts w:hint="eastAsia" w:cs="Times New Roman"/>
          <w:sz w:val="24"/>
          <w:szCs w:val="24"/>
          <w:u w:val="none" w:color="auto"/>
          <w:lang w:val="en-US" w:eastAsia="zh-CN"/>
        </w:rPr>
        <w:t>1.6km，且有山体相隔，各风机和场内道路均不在保护区汇水范围内。</w:t>
      </w:r>
      <w:r>
        <w:rPr>
          <w:rFonts w:hint="eastAsia"/>
        </w:rPr>
        <w:t>根据本次</w:t>
      </w:r>
      <w:r>
        <w:rPr>
          <w:rFonts w:hint="eastAsia"/>
          <w:lang w:val="en-US" w:eastAsia="zh-CN"/>
        </w:rPr>
        <w:t>环评</w:t>
      </w:r>
      <w:r>
        <w:rPr>
          <w:rFonts w:hint="eastAsia"/>
        </w:rPr>
        <w:t>对</w:t>
      </w:r>
      <w:r>
        <w:rPr>
          <w:rFonts w:hint="eastAsia"/>
          <w:lang w:val="en-US" w:eastAsia="zh-CN"/>
        </w:rPr>
        <w:t>两江口水库水质</w:t>
      </w:r>
      <w:r>
        <w:rPr>
          <w:rFonts w:hint="eastAsia"/>
        </w:rPr>
        <w:t>监测结果可知，</w:t>
      </w:r>
      <w:r>
        <w:rPr>
          <w:rFonts w:hint="eastAsia"/>
          <w:lang w:val="en-US" w:eastAsia="zh-CN"/>
        </w:rPr>
        <w:t>两江口水库取水口水质能达到II类，</w:t>
      </w:r>
      <w:r>
        <w:rPr>
          <w:rFonts w:hint="eastAsia"/>
        </w:rPr>
        <w:t>本项目</w:t>
      </w:r>
      <w:r>
        <w:rPr>
          <w:rFonts w:hint="eastAsia"/>
          <w:lang w:val="en-US" w:eastAsia="zh-CN"/>
        </w:rPr>
        <w:t>对</w:t>
      </w:r>
      <w:r>
        <w:rPr>
          <w:rFonts w:hint="eastAsia" w:ascii="Times New Roman" w:hAnsi="Times New Roman" w:eastAsia="宋体" w:cs="Times New Roman"/>
          <w:sz w:val="24"/>
          <w:szCs w:val="24"/>
          <w:u w:val="none" w:color="auto"/>
          <w:lang w:val="en-US" w:eastAsia="zh-CN"/>
        </w:rPr>
        <w:t>两江口水库</w:t>
      </w:r>
      <w:r>
        <w:rPr>
          <w:rFonts w:hint="eastAsia"/>
        </w:rPr>
        <w:t>饮用水水源</w:t>
      </w:r>
      <w:r>
        <w:rPr>
          <w:rFonts w:hint="eastAsia"/>
          <w:lang w:val="en-US" w:eastAsia="zh-CN"/>
        </w:rPr>
        <w:t>区影响很小</w:t>
      </w:r>
      <w:r>
        <w:rPr>
          <w:rFonts w:hint="eastAsia"/>
          <w:lang w:eastAsia="zh-CN"/>
        </w:rPr>
        <w:t>。</w:t>
      </w:r>
    </w:p>
    <w:p>
      <w:pPr>
        <w:bidi w:val="0"/>
        <w:rPr>
          <w:rFonts w:hint="default"/>
          <w:b/>
          <w:bCs/>
          <w:lang w:val="en-US" w:eastAsia="zh-CN"/>
        </w:rPr>
      </w:pPr>
      <w:r>
        <w:rPr>
          <w:rFonts w:hint="eastAsia"/>
          <w:b/>
          <w:bCs/>
          <w:lang w:val="en-US" w:eastAsia="zh-CN"/>
        </w:rPr>
        <w:t>3、项目对</w:t>
      </w:r>
      <w:r>
        <w:rPr>
          <w:rFonts w:hint="eastAsia" w:ascii="Times New Roman" w:hAnsi="Times New Roman" w:eastAsia="宋体" w:cs="Times New Roman"/>
          <w:b/>
          <w:bCs/>
          <w:lang w:val="en-US" w:eastAsia="zh-CN"/>
        </w:rPr>
        <w:t>蓝山县新田湾河饮用水水源保护区的</w:t>
      </w:r>
      <w:r>
        <w:rPr>
          <w:rFonts w:hint="eastAsia"/>
          <w:b/>
          <w:bCs/>
          <w:lang w:val="en-US" w:eastAsia="zh-CN"/>
        </w:rPr>
        <w:t>影响分析</w:t>
      </w:r>
    </w:p>
    <w:p>
      <w:pPr>
        <w:bidi w:val="0"/>
        <w:rPr>
          <w:rFonts w:hint="eastAsia"/>
          <w:b w:val="0"/>
          <w:bCs w:val="0"/>
          <w:lang w:val="en-US" w:eastAsia="zh-CN"/>
        </w:rPr>
      </w:pPr>
      <w:r>
        <w:rPr>
          <w:rFonts w:hint="eastAsia"/>
          <w:b w:val="0"/>
          <w:bCs w:val="0"/>
          <w:lang w:val="en-US" w:eastAsia="zh-CN"/>
        </w:rPr>
        <w:t>（1）水源地的位置</w:t>
      </w:r>
    </w:p>
    <w:p>
      <w:pPr>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新田湾河饮用水水源段位于永州市蓝山县塔峰镇和汇源瑶族乡，蓝山县二水厂（即永发供水有限公司）位于塔峰镇（取水口坐标为东经112°9'43.03"，北纬25°20'40.10"）。</w:t>
      </w:r>
    </w:p>
    <w:p>
      <w:pPr>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（2）水厂现状</w:t>
      </w:r>
    </w:p>
    <w:p>
      <w:pPr>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目前，蓝山县城区集中式生活饮用水均由蓝山县二水厂即永发供水有限公司供水。该饮用水水源地设计取水量2.8万m</w:t>
      </w:r>
      <w:r>
        <w:rPr>
          <w:rFonts w:hint="eastAsia" w:ascii="Times New Roman" w:hAnsi="Times New Roman" w:eastAsia="宋体" w:cs="Times New Roman"/>
          <w:vertAlign w:val="superscript"/>
          <w:lang w:val="en-US" w:eastAsia="zh-CN"/>
        </w:rPr>
        <w:t>3</w:t>
      </w:r>
      <w:r>
        <w:rPr>
          <w:rFonts w:hint="eastAsia" w:ascii="Times New Roman" w:hAnsi="Times New Roman" w:eastAsia="宋体" w:cs="Times New Roman"/>
          <w:lang w:val="en-US" w:eastAsia="zh-CN"/>
        </w:rPr>
        <w:t>/d，实际取水量为1.5万m</w:t>
      </w:r>
      <w:r>
        <w:rPr>
          <w:rFonts w:hint="eastAsia" w:ascii="Times New Roman" w:hAnsi="Times New Roman" w:eastAsia="宋体" w:cs="Times New Roman"/>
          <w:vertAlign w:val="superscript"/>
          <w:lang w:val="en-US" w:eastAsia="zh-CN"/>
        </w:rPr>
        <w:t>3</w:t>
      </w:r>
      <w:r>
        <w:rPr>
          <w:rFonts w:hint="eastAsia" w:ascii="Times New Roman" w:hAnsi="Times New Roman" w:eastAsia="宋体" w:cs="Times New Roman"/>
          <w:lang w:val="en-US" w:eastAsia="zh-CN"/>
        </w:rPr>
        <w:t>/d，即547.5万m</w:t>
      </w:r>
      <w:r>
        <w:rPr>
          <w:rFonts w:hint="eastAsia" w:ascii="Times New Roman" w:hAnsi="Times New Roman" w:eastAsia="宋体" w:cs="Times New Roman"/>
          <w:vertAlign w:val="superscript"/>
          <w:lang w:val="en-US" w:eastAsia="zh-CN"/>
        </w:rPr>
        <w:t>3</w:t>
      </w:r>
      <w:r>
        <w:rPr>
          <w:rFonts w:hint="eastAsia" w:ascii="Times New Roman" w:hAnsi="Times New Roman" w:eastAsia="宋体" w:cs="Times New Roman"/>
          <w:lang w:val="en-US" w:eastAsia="zh-CN"/>
        </w:rPr>
        <w:t>/a。蓝山县二水厂主要从新田湾河取水，供县城居民用水。该水厂采用河道泵站提升的方式进行取水，制水采用平流沉淀的工艺。新田湾河枯水期最小流量为0.18m</w:t>
      </w:r>
      <w:r>
        <w:rPr>
          <w:rFonts w:hint="eastAsia" w:ascii="Times New Roman" w:hAnsi="Times New Roman" w:eastAsia="宋体" w:cs="Times New Roman"/>
          <w:vertAlign w:val="superscript"/>
          <w:lang w:val="en-US" w:eastAsia="zh-CN"/>
        </w:rPr>
        <w:t>3</w:t>
      </w:r>
      <w:r>
        <w:rPr>
          <w:rFonts w:hint="eastAsia" w:ascii="Times New Roman" w:hAnsi="Times New Roman" w:eastAsia="宋体" w:cs="Times New Roman"/>
          <w:lang w:val="en-US" w:eastAsia="zh-CN"/>
        </w:rPr>
        <w:t>/s（1.5万m</w:t>
      </w:r>
      <w:r>
        <w:rPr>
          <w:rFonts w:hint="eastAsia" w:ascii="Times New Roman" w:hAnsi="Times New Roman" w:eastAsia="宋体" w:cs="Times New Roman"/>
          <w:vertAlign w:val="superscript"/>
          <w:lang w:val="en-US" w:eastAsia="zh-CN"/>
        </w:rPr>
        <w:t>3</w:t>
      </w:r>
      <w:r>
        <w:rPr>
          <w:rFonts w:hint="eastAsia" w:ascii="Times New Roman" w:hAnsi="Times New Roman" w:eastAsia="宋体" w:cs="Times New Roman"/>
          <w:lang w:val="en-US" w:eastAsia="zh-CN"/>
        </w:rPr>
        <w:t>/d），新田湾河枯水期流量能满足目前实际取水量。</w:t>
      </w:r>
    </w:p>
    <w:p>
      <w:pPr>
        <w:bidi w:val="0"/>
        <w:rPr>
          <w:rFonts w:hint="eastAsia"/>
          <w:lang w:val="en-US" w:eastAsia="zh-CN"/>
        </w:rPr>
      </w:pPr>
    </w:p>
    <w:p>
      <w:pPr>
        <w:bidi w:val="0"/>
        <w:ind w:left="0" w:leftChars="0" w:firstLine="0" w:firstLineChars="0"/>
        <w:jc w:val="center"/>
        <w:rPr>
          <w:rFonts w:hint="eastAsia" w:ascii="Times New Roman" w:hAnsi="Times New Roman" w:eastAsia="宋体" w:cs="Times New Roman"/>
          <w:b/>
          <w:bCs/>
          <w:sz w:val="21"/>
          <w:szCs w:val="21"/>
          <w:lang w:val="en-US" w:eastAsia="zh-CN"/>
        </w:rPr>
      </w:pPr>
      <w:r>
        <w:rPr>
          <w:sz w:val="24"/>
        </w:rPr>
        <mc:AlternateContent>
          <mc:Choice Requires="wps">
            <w:drawing>
              <wp:anchor distT="0" distB="0" distL="114300" distR="114300" simplePos="0" relativeHeight="251706368" behindDoc="0" locked="0" layoutInCell="1" allowOverlap="1">
                <wp:simplePos x="0" y="0"/>
                <wp:positionH relativeFrom="column">
                  <wp:posOffset>95885</wp:posOffset>
                </wp:positionH>
                <wp:positionV relativeFrom="paragraph">
                  <wp:posOffset>2324735</wp:posOffset>
                </wp:positionV>
                <wp:extent cx="179705" cy="132080"/>
                <wp:effectExtent l="6350" t="6350" r="23495" b="13970"/>
                <wp:wrapNone/>
                <wp:docPr id="26" name="矩形 26"/>
                <wp:cNvGraphicFramePr/>
                <a:graphic xmlns:a="http://schemas.openxmlformats.org/drawingml/2006/main">
                  <a:graphicData uri="http://schemas.microsoft.com/office/word/2010/wordprocessingShape">
                    <wps:wsp>
                      <wps:cNvSpPr/>
                      <wps:spPr>
                        <a:xfrm>
                          <a:off x="1163955" y="6219825"/>
                          <a:ext cx="179705" cy="132080"/>
                        </a:xfrm>
                        <a:prstGeom prst="rect">
                          <a:avLst/>
                        </a:prstGeom>
                        <a:solidFill>
                          <a:srgbClr val="FF0000"/>
                        </a:solidFill>
                        <a:ln>
                          <a:solidFill>
                            <a:srgbClr val="000000">
                              <a:alpha val="0"/>
                            </a:srgb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7.55pt;margin-top:183.05pt;height:10.4pt;width:14.15pt;z-index:251706368;v-text-anchor:middle;mso-width-relative:page;mso-height-relative:page;" fillcolor="#FF0000" filled="t" stroked="t" coordsize="21600,21600" o:gfxdata="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WAAAAZHJzL1BLAQIUABQAAAAIAIdO4kBi6bFZ2gAAAAkB&#10;AAAPAAAAAAAAAAEAIAAAADgAAABkcnMvZG93bnJldi54bWxQSwECFAAUAAAACACHTuJAWFBCeHUC&#10;AADfBAAADgAAAAAAAAABACAAAAA/AQAAZHJzL2Uyb0RvYy54bWxQSwUGAAAAAAYABgBZAQAAJgYA&#10;AAAA&#10;">
                <v:fill on="t" focussize="0,0"/>
                <v:stroke weight="1pt" color="#000000 [2404]" opacity="0f" miterlimit="8" joinstyle="miter"/>
                <v:imagedata o:title=""/>
                <o:lock v:ext="edit" aspectratio="f"/>
              </v:rect>
            </w:pict>
          </mc:Fallback>
        </mc:AlternateContent>
      </w:r>
      <w:r>
        <w:rPr>
          <w:sz w:val="24"/>
        </w:rPr>
        <mc:AlternateContent>
          <mc:Choice Requires="wps">
            <w:drawing>
              <wp:anchor distT="0" distB="0" distL="114300" distR="114300" simplePos="0" relativeHeight="251708416" behindDoc="0" locked="0" layoutInCell="1" allowOverlap="1">
                <wp:simplePos x="0" y="0"/>
                <wp:positionH relativeFrom="column">
                  <wp:posOffset>108585</wp:posOffset>
                </wp:positionH>
                <wp:positionV relativeFrom="paragraph">
                  <wp:posOffset>2769235</wp:posOffset>
                </wp:positionV>
                <wp:extent cx="179705" cy="132080"/>
                <wp:effectExtent l="6350" t="6350" r="23495" b="13970"/>
                <wp:wrapNone/>
                <wp:docPr id="28" name="矩形 28"/>
                <wp:cNvGraphicFramePr/>
                <a:graphic xmlns:a="http://schemas.openxmlformats.org/drawingml/2006/main">
                  <a:graphicData uri="http://schemas.microsoft.com/office/word/2010/wordprocessingShape">
                    <wps:wsp>
                      <wps:cNvSpPr/>
                      <wps:spPr>
                        <a:xfrm>
                          <a:off x="0" y="0"/>
                          <a:ext cx="179705" cy="132080"/>
                        </a:xfrm>
                        <a:prstGeom prst="rect">
                          <a:avLst/>
                        </a:prstGeom>
                        <a:solidFill>
                          <a:srgbClr val="38E8EB"/>
                        </a:solidFill>
                        <a:ln>
                          <a:solidFill>
                            <a:srgbClr val="000000">
                              <a:alpha val="0"/>
                            </a:srgb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8.55pt;margin-top:218.05pt;height:10.4pt;width:14.15pt;z-index:251708416;v-text-anchor:middle;mso-width-relative:page;mso-height-relative:page;" fillcolor="#38E8EB" filled="t" stroked="t" coordsize="21600,21600" o:gfxdata="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BYAAABkcnMvUEsBAhQAFAAAAAgAh07iQNf9czPYAAAACQEAAA8AAAAAAAAAAQAg&#10;AAAAOAAAAGRycy9kb3ducmV2LnhtbFBLAQIUABQAAAAIAIdO4kBOjNNwagIAANMEAAAOAAAAAAAA&#10;AAEAIAAAAD0BAABkcnMvZTJvRG9jLnhtbFBLBQYAAAAABgAGAFkBAAAZBgAAAAA=&#10;">
                <v:fill on="t" focussize="0,0"/>
                <v:stroke weight="1pt" color="#000000 [2404]" opacity="0f" miterlimit="8" joinstyle="miter"/>
                <v:imagedata o:title=""/>
                <o:lock v:ext="edit" aspectratio="f"/>
              </v:rect>
            </w:pict>
          </mc:Fallback>
        </mc:AlternateContent>
      </w:r>
      <w:r>
        <w:rPr>
          <w:sz w:val="24"/>
        </w:rPr>
        <mc:AlternateContent>
          <mc:Choice Requires="wps">
            <w:drawing>
              <wp:anchor distT="0" distB="0" distL="114300" distR="114300" simplePos="0" relativeHeight="251707392" behindDoc="0" locked="0" layoutInCell="1" allowOverlap="1">
                <wp:simplePos x="0" y="0"/>
                <wp:positionH relativeFrom="column">
                  <wp:posOffset>102870</wp:posOffset>
                </wp:positionH>
                <wp:positionV relativeFrom="paragraph">
                  <wp:posOffset>2550160</wp:posOffset>
                </wp:positionV>
                <wp:extent cx="179705" cy="132080"/>
                <wp:effectExtent l="6350" t="6350" r="23495" b="13970"/>
                <wp:wrapNone/>
                <wp:docPr id="27" name="矩形 27"/>
                <wp:cNvGraphicFramePr/>
                <a:graphic xmlns:a="http://schemas.openxmlformats.org/drawingml/2006/main">
                  <a:graphicData uri="http://schemas.microsoft.com/office/word/2010/wordprocessingShape">
                    <wps:wsp>
                      <wps:cNvSpPr/>
                      <wps:spPr>
                        <a:xfrm>
                          <a:off x="0" y="0"/>
                          <a:ext cx="179705" cy="132080"/>
                        </a:xfrm>
                        <a:prstGeom prst="rect">
                          <a:avLst/>
                        </a:prstGeom>
                        <a:solidFill>
                          <a:srgbClr val="9E29AC"/>
                        </a:solidFill>
                        <a:ln>
                          <a:solidFill>
                            <a:srgbClr val="000000">
                              <a:alpha val="0"/>
                            </a:srgb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8.1pt;margin-top:200.8pt;height:10.4pt;width:14.15pt;z-index:251707392;v-text-anchor:middle;mso-width-relative:page;mso-height-relative:page;" fillcolor="#9E29AC" filled="t" stroked="t" coordsize="21600,21600" o:gfxdata="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WAAAAZHJzL1BLAQIUABQAAAAIAIdO4kBMKC+V1wAAAAkBAAAPAAAAAAAAAAEAIAAA&#10;ADgAAABkcnMvZG93bnJldi54bWxQSwECFAAUAAAACACHTuJAQG0gxGkCAADTBAAADgAAAAAAAAAB&#10;ACAAAAA8AQAAZHJzL2Uyb0RvYy54bWxQSwUGAAAAAAYABgBZAQAAFwYAAAAA&#10;">
                <v:fill on="t" focussize="0,0"/>
                <v:stroke weight="1pt" color="#000000 [2404]" opacity="0f" miterlimit="8" joinstyle="miter"/>
                <v:imagedata o:title=""/>
                <o:lock v:ext="edit" aspectratio="f"/>
              </v:rect>
            </w:pict>
          </mc:Fallback>
        </mc:AlternateContent>
      </w:r>
      <w:r>
        <w:rPr>
          <w:sz w:val="24"/>
        </w:rPr>
        <mc:AlternateContent>
          <mc:Choice Requires="wps">
            <w:drawing>
              <wp:anchor distT="0" distB="0" distL="114300" distR="114300" simplePos="0" relativeHeight="251709440" behindDoc="0" locked="0" layoutInCell="1" allowOverlap="1">
                <wp:simplePos x="0" y="0"/>
                <wp:positionH relativeFrom="column">
                  <wp:posOffset>109220</wp:posOffset>
                </wp:positionH>
                <wp:positionV relativeFrom="paragraph">
                  <wp:posOffset>2986405</wp:posOffset>
                </wp:positionV>
                <wp:extent cx="179705" cy="132080"/>
                <wp:effectExtent l="6350" t="6350" r="23495" b="13970"/>
                <wp:wrapNone/>
                <wp:docPr id="29" name="矩形 29"/>
                <wp:cNvGraphicFramePr/>
                <a:graphic xmlns:a="http://schemas.openxmlformats.org/drawingml/2006/main">
                  <a:graphicData uri="http://schemas.microsoft.com/office/word/2010/wordprocessingShape">
                    <wps:wsp>
                      <wps:cNvSpPr/>
                      <wps:spPr>
                        <a:xfrm>
                          <a:off x="0" y="0"/>
                          <a:ext cx="179705" cy="132080"/>
                        </a:xfrm>
                        <a:prstGeom prst="rect">
                          <a:avLst/>
                        </a:prstGeom>
                        <a:solidFill>
                          <a:srgbClr val="92D050"/>
                        </a:solidFill>
                        <a:ln>
                          <a:solidFill>
                            <a:srgbClr val="000000">
                              <a:alpha val="0"/>
                            </a:srgb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8.6pt;margin-top:235.15pt;height:10.4pt;width:14.15pt;z-index:251709440;v-text-anchor:middle;mso-width-relative:page;mso-height-relative:page;" fillcolor="#92D050" filled="t" stroked="t" coordsize="21600,21600" o:gfxdata="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FgAAAGRycy9QSwECFAAUAAAACACHTuJAETS0t9YAAAAJAQAADwAAAAAAAAABACAAAAA4&#10;AAAAZHJzL2Rvd25yZXYueG1sUEsBAhQAFAAAAAgAh07iQHvdzMNoAgAA0wQAAA4AAAAAAAAAAQAg&#10;AAAAOwEAAGRycy9lMm9Eb2MueG1sUEsFBgAAAAAGAAYAWQEAABUGAAAAAA==&#10;">
                <v:fill on="t" focussize="0,0"/>
                <v:stroke weight="1pt" color="#000000 [2404]" opacity="0f" miterlimit="8" joinstyle="miter"/>
                <v:imagedata o:title=""/>
                <o:lock v:ext="edit" aspectratio="f"/>
              </v:rect>
            </w:pict>
          </mc:Fallback>
        </mc:AlternateContent>
      </w:r>
      <w:r>
        <w:drawing>
          <wp:anchor distT="0" distB="0" distL="114300" distR="114300" simplePos="0" relativeHeight="251710464" behindDoc="0" locked="0" layoutInCell="1" allowOverlap="1">
            <wp:simplePos x="0" y="0"/>
            <wp:positionH relativeFrom="column">
              <wp:posOffset>128905</wp:posOffset>
            </wp:positionH>
            <wp:positionV relativeFrom="paragraph">
              <wp:posOffset>3164205</wp:posOffset>
            </wp:positionV>
            <wp:extent cx="151765" cy="188595"/>
            <wp:effectExtent l="0" t="0" r="635" b="1905"/>
            <wp:wrapNone/>
            <wp:docPr id="30"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9"/>
                    <pic:cNvPicPr>
                      <a:picLocks noChangeAspect="true"/>
                    </pic:cNvPicPr>
                  </pic:nvPicPr>
                  <pic:blipFill>
                    <a:blip r:embed="rId77"/>
                    <a:stretch>
                      <a:fillRect/>
                    </a:stretch>
                  </pic:blipFill>
                  <pic:spPr>
                    <a:xfrm>
                      <a:off x="0" y="0"/>
                      <a:ext cx="151765" cy="188595"/>
                    </a:xfrm>
                    <a:prstGeom prst="rect">
                      <a:avLst/>
                    </a:prstGeom>
                    <a:noFill/>
                    <a:ln>
                      <a:noFill/>
                    </a:ln>
                  </pic:spPr>
                </pic:pic>
              </a:graphicData>
            </a:graphic>
          </wp:anchor>
        </w:drawing>
      </w:r>
      <w:r>
        <w:rPr>
          <w:sz w:val="24"/>
        </w:rPr>
        <mc:AlternateContent>
          <mc:Choice Requires="wps">
            <w:drawing>
              <wp:anchor distT="0" distB="0" distL="114300" distR="114300" simplePos="0" relativeHeight="251705344" behindDoc="0" locked="0" layoutInCell="1" allowOverlap="1">
                <wp:simplePos x="0" y="0"/>
                <wp:positionH relativeFrom="column">
                  <wp:posOffset>38100</wp:posOffset>
                </wp:positionH>
                <wp:positionV relativeFrom="paragraph">
                  <wp:posOffset>2264410</wp:posOffset>
                </wp:positionV>
                <wp:extent cx="1384300" cy="1185545"/>
                <wp:effectExtent l="4445" t="4445" r="20955" b="10160"/>
                <wp:wrapNone/>
                <wp:docPr id="25" name="文本框 25"/>
                <wp:cNvGraphicFramePr/>
                <a:graphic xmlns:a="http://schemas.openxmlformats.org/drawingml/2006/main">
                  <a:graphicData uri="http://schemas.microsoft.com/office/word/2010/wordprocessingShape">
                    <wps:wsp>
                      <wps:cNvSpPr txBox="true"/>
                      <wps:spPr>
                        <a:xfrm>
                          <a:off x="5779770" y="8828405"/>
                          <a:ext cx="1384300" cy="11855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left="0" w:leftChars="0" w:firstLine="360" w:firstLineChars="200"/>
                              <w:rPr>
                                <w:rFonts w:hint="eastAsia"/>
                                <w:sz w:val="18"/>
                                <w:szCs w:val="13"/>
                                <w:lang w:val="en-US" w:eastAsia="zh-CN"/>
                              </w:rPr>
                            </w:pPr>
                            <w:r>
                              <w:rPr>
                                <w:rFonts w:hint="eastAsia"/>
                                <w:sz w:val="18"/>
                                <w:szCs w:val="13"/>
                                <w:lang w:val="en-US" w:eastAsia="zh-CN"/>
                              </w:rPr>
                              <w:t>一级保护区（水域）</w:t>
                            </w:r>
                          </w:p>
                          <w:p>
                            <w:pPr>
                              <w:pStyle w:val="74"/>
                              <w:ind w:left="0" w:leftChars="0" w:firstLine="360" w:firstLineChars="200"/>
                              <w:rPr>
                                <w:rFonts w:hint="eastAsia"/>
                                <w:sz w:val="18"/>
                                <w:szCs w:val="13"/>
                                <w:lang w:val="en-US" w:eastAsia="zh-CN"/>
                              </w:rPr>
                            </w:pPr>
                            <w:r>
                              <w:rPr>
                                <w:rFonts w:hint="eastAsia"/>
                                <w:sz w:val="18"/>
                                <w:szCs w:val="13"/>
                                <w:lang w:val="en-US" w:eastAsia="zh-CN"/>
                              </w:rPr>
                              <w:t>一级保护区（陆域）</w:t>
                            </w:r>
                          </w:p>
                          <w:p>
                            <w:pPr>
                              <w:ind w:left="0" w:leftChars="0" w:firstLine="360" w:firstLineChars="200"/>
                              <w:rPr>
                                <w:rFonts w:hint="eastAsia"/>
                                <w:sz w:val="18"/>
                                <w:szCs w:val="13"/>
                                <w:lang w:val="en-US" w:eastAsia="zh-CN"/>
                              </w:rPr>
                            </w:pPr>
                            <w:r>
                              <w:rPr>
                                <w:rFonts w:hint="eastAsia"/>
                                <w:sz w:val="18"/>
                                <w:szCs w:val="13"/>
                                <w:lang w:val="en-US" w:eastAsia="zh-CN"/>
                              </w:rPr>
                              <w:t>二级保护区（水域）</w:t>
                            </w:r>
                          </w:p>
                          <w:p>
                            <w:pPr>
                              <w:pStyle w:val="74"/>
                              <w:ind w:left="0" w:leftChars="0" w:firstLine="360" w:firstLineChars="200"/>
                              <w:rPr>
                                <w:rFonts w:hint="eastAsia"/>
                                <w:sz w:val="18"/>
                                <w:szCs w:val="13"/>
                                <w:lang w:val="en-US" w:eastAsia="zh-CN"/>
                              </w:rPr>
                            </w:pPr>
                            <w:r>
                              <w:rPr>
                                <w:rFonts w:hint="eastAsia"/>
                                <w:sz w:val="18"/>
                                <w:szCs w:val="13"/>
                                <w:lang w:val="en-US" w:eastAsia="zh-CN"/>
                              </w:rPr>
                              <w:t>二级保护区（陆域）</w:t>
                            </w:r>
                          </w:p>
                          <w:p>
                            <w:pPr>
                              <w:rPr>
                                <w:rFonts w:hint="default"/>
                                <w:lang w:val="en-US" w:eastAsia="zh-CN"/>
                              </w:rPr>
                            </w:pPr>
                            <w:r>
                              <w:rPr>
                                <w:rFonts w:hint="eastAsia"/>
                                <w:sz w:val="18"/>
                                <w:szCs w:val="13"/>
                                <w:lang w:val="en-US" w:eastAsia="zh-CN"/>
                              </w:rPr>
                              <w:t>取水口</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pt;margin-top:178.3pt;height:93.35pt;width:109pt;z-index:251705344;mso-width-relative:page;mso-height-relative:page;" fillcolor="#FFFFFF [3201]" filled="t" stroked="t" coordsize="21600,21600" o:gfxdata="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BYAAABkcnMvUEsBAhQA&#10;FAAAAAgAh07iQL8sqivWAAAACQEAAA8AAAAAAAAAAQAgAAAAOAAAAGRycy9kb3ducmV2LnhtbFBL&#10;AQIUABQAAAAIAIdO4kC8HrG7VAIAAIoEAAAOAAAAAAAAAAEAIAAAADsBAABkcnMvZTJvRG9jLnht&#10;bFBLBQYAAAAABgAGAFkBAAABBgAAAAA=&#10;">
                <v:fill on="t" focussize="0,0"/>
                <v:stroke weight="0.5pt" color="#000000 [3204]" joinstyle="round"/>
                <v:imagedata o:title=""/>
                <o:lock v:ext="edit" aspectratio="f"/>
                <v:textbox>
                  <w:txbxContent>
                    <w:p>
                      <w:pPr>
                        <w:ind w:left="0" w:leftChars="0" w:firstLine="360" w:firstLineChars="200"/>
                        <w:rPr>
                          <w:rFonts w:hint="eastAsia"/>
                          <w:sz w:val="18"/>
                          <w:szCs w:val="13"/>
                          <w:lang w:val="en-US" w:eastAsia="zh-CN"/>
                        </w:rPr>
                      </w:pPr>
                      <w:r>
                        <w:rPr>
                          <w:rFonts w:hint="eastAsia"/>
                          <w:sz w:val="18"/>
                          <w:szCs w:val="13"/>
                          <w:lang w:val="en-US" w:eastAsia="zh-CN"/>
                        </w:rPr>
                        <w:t>一级保护区（水域）</w:t>
                      </w:r>
                    </w:p>
                    <w:p>
                      <w:pPr>
                        <w:pStyle w:val="74"/>
                        <w:ind w:left="0" w:leftChars="0" w:firstLine="360" w:firstLineChars="200"/>
                        <w:rPr>
                          <w:rFonts w:hint="eastAsia"/>
                          <w:sz w:val="18"/>
                          <w:szCs w:val="13"/>
                          <w:lang w:val="en-US" w:eastAsia="zh-CN"/>
                        </w:rPr>
                      </w:pPr>
                      <w:r>
                        <w:rPr>
                          <w:rFonts w:hint="eastAsia"/>
                          <w:sz w:val="18"/>
                          <w:szCs w:val="13"/>
                          <w:lang w:val="en-US" w:eastAsia="zh-CN"/>
                        </w:rPr>
                        <w:t>一级保护区（陆域）</w:t>
                      </w:r>
                    </w:p>
                    <w:p>
                      <w:pPr>
                        <w:ind w:left="0" w:leftChars="0" w:firstLine="360" w:firstLineChars="200"/>
                        <w:rPr>
                          <w:rFonts w:hint="eastAsia"/>
                          <w:sz w:val="18"/>
                          <w:szCs w:val="13"/>
                          <w:lang w:val="en-US" w:eastAsia="zh-CN"/>
                        </w:rPr>
                      </w:pPr>
                      <w:r>
                        <w:rPr>
                          <w:rFonts w:hint="eastAsia"/>
                          <w:sz w:val="18"/>
                          <w:szCs w:val="13"/>
                          <w:lang w:val="en-US" w:eastAsia="zh-CN"/>
                        </w:rPr>
                        <w:t>二级保护区（水域）</w:t>
                      </w:r>
                    </w:p>
                    <w:p>
                      <w:pPr>
                        <w:pStyle w:val="74"/>
                        <w:ind w:left="0" w:leftChars="0" w:firstLine="360" w:firstLineChars="200"/>
                        <w:rPr>
                          <w:rFonts w:hint="eastAsia"/>
                          <w:sz w:val="18"/>
                          <w:szCs w:val="13"/>
                          <w:lang w:val="en-US" w:eastAsia="zh-CN"/>
                        </w:rPr>
                      </w:pPr>
                      <w:r>
                        <w:rPr>
                          <w:rFonts w:hint="eastAsia"/>
                          <w:sz w:val="18"/>
                          <w:szCs w:val="13"/>
                          <w:lang w:val="en-US" w:eastAsia="zh-CN"/>
                        </w:rPr>
                        <w:t>二级保护区（陆域）</w:t>
                      </w:r>
                    </w:p>
                    <w:p>
                      <w:pPr>
                        <w:rPr>
                          <w:rFonts w:hint="default"/>
                          <w:lang w:val="en-US" w:eastAsia="zh-CN"/>
                        </w:rPr>
                      </w:pPr>
                      <w:r>
                        <w:rPr>
                          <w:rFonts w:hint="eastAsia"/>
                          <w:sz w:val="18"/>
                          <w:szCs w:val="13"/>
                          <w:lang w:val="en-US" w:eastAsia="zh-CN"/>
                        </w:rPr>
                        <w:t>取水口</w:t>
                      </w:r>
                    </w:p>
                  </w:txbxContent>
                </v:textbox>
              </v:shape>
            </w:pict>
          </mc:Fallback>
        </mc:AlternateContent>
      </w:r>
      <w:r>
        <w:rPr>
          <w:sz w:val="24"/>
        </w:rPr>
        <mc:AlternateContent>
          <mc:Choice Requires="wps">
            <w:drawing>
              <wp:anchor distT="0" distB="0" distL="114300" distR="114300" simplePos="0" relativeHeight="251704320" behindDoc="0" locked="0" layoutInCell="1" allowOverlap="1">
                <wp:simplePos x="0" y="0"/>
                <wp:positionH relativeFrom="column">
                  <wp:posOffset>361315</wp:posOffset>
                </wp:positionH>
                <wp:positionV relativeFrom="paragraph">
                  <wp:posOffset>963930</wp:posOffset>
                </wp:positionV>
                <wp:extent cx="482600" cy="290195"/>
                <wp:effectExtent l="0" t="0" r="0" b="0"/>
                <wp:wrapNone/>
                <wp:docPr id="19" name="文本框 19"/>
                <wp:cNvGraphicFramePr/>
                <a:graphic xmlns:a="http://schemas.openxmlformats.org/drawingml/2006/main">
                  <a:graphicData uri="http://schemas.microsoft.com/office/word/2010/wordprocessingShape">
                    <wps:wsp>
                      <wps:cNvSpPr txBox="true"/>
                      <wps:spPr>
                        <a:xfrm>
                          <a:off x="2366010" y="6515100"/>
                          <a:ext cx="482600" cy="2901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FFFF" w:themeColor="background1"/>
                                <w:sz w:val="21"/>
                                <w:szCs w:val="16"/>
                                <w:lang w:val="en-US" w:eastAsia="zh-CN"/>
                                <w14:textFill>
                                  <w14:solidFill>
                                    <w14:schemeClr w14:val="bg1"/>
                                  </w14:solidFill>
                                </w14:textFill>
                              </w:rPr>
                            </w:pPr>
                            <w:r>
                              <w:rPr>
                                <w:rFonts w:hint="eastAsia"/>
                                <w:b/>
                                <w:bCs/>
                                <w:color w:val="FFFFFF" w:themeColor="background1"/>
                                <w:sz w:val="21"/>
                                <w:szCs w:val="16"/>
                                <w:lang w:val="en-US" w:eastAsia="zh-CN"/>
                                <w14:textFill>
                                  <w14:solidFill>
                                    <w14:schemeClr w14:val="bg1"/>
                                  </w14:solidFill>
                                </w14:textFill>
                              </w:rPr>
                              <w:t>L15</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8.45pt;margin-top:75.9pt;height:22.85pt;width:38pt;z-index:251704320;mso-width-relative:page;mso-height-relative:page;" filled="f" stroked="f" coordsize="21600,21600" o:gfxdata="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BYAAABkcnMvUEsBAhQAFAAAAAgAh07iQH2bSX7aAAAACgEAAA8AAAAAAAAAAQAg&#10;AAAAOAAAAGRycy9kb3ducmV2LnhtbFBLAQIUABQAAAAIAIdO4kBDVffYLwIAADcEAAAOAAAAAAAA&#10;AAEAIAAAAD8BAABkcnMvZTJvRG9jLnhtbFBLBQYAAAAABgAGAFkBAADgBQAAAAA=&#10;">
                <v:fill on="f" focussize="0,0"/>
                <v:stroke on="f" weight="0.5pt"/>
                <v:imagedata o:title=""/>
                <o:lock v:ext="edit" aspectratio="f"/>
                <v:textbox>
                  <w:txbxContent>
                    <w:p>
                      <w:pPr>
                        <w:ind w:left="0" w:leftChars="0" w:firstLine="0" w:firstLineChars="0"/>
                        <w:rPr>
                          <w:rFonts w:hint="default" w:eastAsia="宋体"/>
                          <w:b/>
                          <w:bCs/>
                          <w:color w:val="FFFFFF" w:themeColor="background1"/>
                          <w:sz w:val="21"/>
                          <w:szCs w:val="16"/>
                          <w:lang w:val="en-US" w:eastAsia="zh-CN"/>
                          <w14:textFill>
                            <w14:solidFill>
                              <w14:schemeClr w14:val="bg1"/>
                            </w14:solidFill>
                          </w14:textFill>
                        </w:rPr>
                      </w:pPr>
                      <w:r>
                        <w:rPr>
                          <w:rFonts w:hint="eastAsia"/>
                          <w:b/>
                          <w:bCs/>
                          <w:color w:val="FFFFFF" w:themeColor="background1"/>
                          <w:sz w:val="21"/>
                          <w:szCs w:val="16"/>
                          <w:lang w:val="en-US" w:eastAsia="zh-CN"/>
                          <w14:textFill>
                            <w14:solidFill>
                              <w14:schemeClr w14:val="bg1"/>
                            </w14:solidFill>
                          </w14:textFill>
                        </w:rPr>
                        <w:t>L15</w:t>
                      </w:r>
                    </w:p>
                  </w:txbxContent>
                </v:textbox>
              </v:shape>
            </w:pict>
          </mc:Fallback>
        </mc:AlternateContent>
      </w:r>
      <w:r>
        <w:drawing>
          <wp:inline distT="0" distB="0" distL="114300" distR="114300">
            <wp:extent cx="5753735" cy="3491230"/>
            <wp:effectExtent l="0" t="0" r="18415" b="13970"/>
            <wp:docPr id="16"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true"/>
                    </pic:cNvPicPr>
                  </pic:nvPicPr>
                  <pic:blipFill>
                    <a:blip r:embed="rId79"/>
                    <a:stretch>
                      <a:fillRect/>
                    </a:stretch>
                  </pic:blipFill>
                  <pic:spPr>
                    <a:xfrm>
                      <a:off x="0" y="0"/>
                      <a:ext cx="5753735" cy="3491230"/>
                    </a:xfrm>
                    <a:prstGeom prst="rect">
                      <a:avLst/>
                    </a:prstGeom>
                    <a:noFill/>
                    <a:ln>
                      <a:noFill/>
                    </a:ln>
                  </pic:spPr>
                </pic:pic>
              </a:graphicData>
            </a:graphic>
          </wp:inline>
        </w:drawing>
      </w:r>
    </w:p>
    <w:p>
      <w:pPr>
        <w:bidi w:val="0"/>
        <w:ind w:left="0" w:leftChars="0" w:firstLine="0" w:firstLineChars="0"/>
        <w:jc w:val="center"/>
      </w:pPr>
      <w:r>
        <w:rPr>
          <w:sz w:val="24"/>
        </w:rPr>
        <mc:AlternateContent>
          <mc:Choice Requires="wps">
            <w:drawing>
              <wp:anchor distT="0" distB="0" distL="114300" distR="114300" simplePos="0" relativeHeight="251711488" behindDoc="0" locked="0" layoutInCell="1" allowOverlap="1">
                <wp:simplePos x="0" y="0"/>
                <wp:positionH relativeFrom="column">
                  <wp:posOffset>1431290</wp:posOffset>
                </wp:positionH>
                <wp:positionV relativeFrom="paragraph">
                  <wp:posOffset>1690370</wp:posOffset>
                </wp:positionV>
                <wp:extent cx="482600" cy="290195"/>
                <wp:effectExtent l="0" t="0" r="0" b="0"/>
                <wp:wrapNone/>
                <wp:docPr id="36" name="文本框 36"/>
                <wp:cNvGraphicFramePr/>
                <a:graphic xmlns:a="http://schemas.openxmlformats.org/drawingml/2006/main">
                  <a:graphicData uri="http://schemas.microsoft.com/office/word/2010/wordprocessingShape">
                    <wps:wsp>
                      <wps:cNvSpPr txBox="true"/>
                      <wps:spPr>
                        <a:xfrm>
                          <a:off x="0" y="0"/>
                          <a:ext cx="482600" cy="2901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FFFF" w:themeColor="background1"/>
                                <w:sz w:val="21"/>
                                <w:szCs w:val="16"/>
                                <w:lang w:val="en-US" w:eastAsia="zh-CN"/>
                                <w14:textFill>
                                  <w14:solidFill>
                                    <w14:schemeClr w14:val="bg1"/>
                                  </w14:solidFill>
                                </w14:textFill>
                              </w:rPr>
                            </w:pPr>
                            <w:r>
                              <w:rPr>
                                <w:rFonts w:hint="eastAsia"/>
                                <w:b/>
                                <w:bCs/>
                                <w:color w:val="FFFFFF" w:themeColor="background1"/>
                                <w:sz w:val="21"/>
                                <w:szCs w:val="16"/>
                                <w:lang w:val="en-US" w:eastAsia="zh-CN"/>
                                <w14:textFill>
                                  <w14:solidFill>
                                    <w14:schemeClr w14:val="bg1"/>
                                  </w14:solidFill>
                                </w14:textFill>
                              </w:rPr>
                              <w:t>L15</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112.7pt;margin-top:133.1pt;height:22.85pt;width:38pt;z-index:251711488;mso-width-relative:page;mso-height-relative:page;" filled="f" stroked="f" coordsize="21600,21600" o:gfxdata="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BZFN/32wAAAAsBAAAPAAAAAAAAAAEAIAAAADgAAABk&#10;cnMvZG93bnJldi54bWxQSwECFAAUAAAACACHTuJAEbNhHCYCAAArBAAADgAAAAAAAAABACAAAABA&#10;AQAAZHJzL2Uyb0RvYy54bWxQSwUGAAAAAAYABgBZAQAA2AUAAAAA&#10;">
                <v:fill on="f" focussize="0,0"/>
                <v:stroke on="f" weight="0.5pt"/>
                <v:imagedata o:title=""/>
                <o:lock v:ext="edit" aspectratio="f"/>
                <v:textbox>
                  <w:txbxContent>
                    <w:p>
                      <w:pPr>
                        <w:ind w:left="0" w:leftChars="0" w:firstLine="0" w:firstLineChars="0"/>
                        <w:rPr>
                          <w:rFonts w:hint="default" w:eastAsia="宋体"/>
                          <w:b/>
                          <w:bCs/>
                          <w:color w:val="FFFFFF" w:themeColor="background1"/>
                          <w:sz w:val="21"/>
                          <w:szCs w:val="16"/>
                          <w:lang w:val="en-US" w:eastAsia="zh-CN"/>
                          <w14:textFill>
                            <w14:solidFill>
                              <w14:schemeClr w14:val="bg1"/>
                            </w14:solidFill>
                          </w14:textFill>
                        </w:rPr>
                      </w:pPr>
                      <w:r>
                        <w:rPr>
                          <w:rFonts w:hint="eastAsia"/>
                          <w:b/>
                          <w:bCs/>
                          <w:color w:val="FFFFFF" w:themeColor="background1"/>
                          <w:sz w:val="21"/>
                          <w:szCs w:val="16"/>
                          <w:lang w:val="en-US" w:eastAsia="zh-CN"/>
                          <w14:textFill>
                            <w14:solidFill>
                              <w14:schemeClr w14:val="bg1"/>
                            </w14:solidFill>
                          </w14:textFill>
                        </w:rPr>
                        <w:t>L15</w:t>
                      </w:r>
                    </w:p>
                  </w:txbxContent>
                </v:textbox>
              </v:shape>
            </w:pict>
          </mc:Fallback>
        </mc:AlternateContent>
      </w:r>
      <w:r>
        <w:drawing>
          <wp:inline distT="0" distB="0" distL="114300" distR="114300">
            <wp:extent cx="5401945" cy="4417695"/>
            <wp:effectExtent l="0" t="0" r="8255" b="1905"/>
            <wp:docPr id="18"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true"/>
                    </pic:cNvPicPr>
                  </pic:nvPicPr>
                  <pic:blipFill>
                    <a:blip r:embed="rId80"/>
                    <a:stretch>
                      <a:fillRect/>
                    </a:stretch>
                  </pic:blipFill>
                  <pic:spPr>
                    <a:xfrm>
                      <a:off x="0" y="0"/>
                      <a:ext cx="5401945" cy="4417695"/>
                    </a:xfrm>
                    <a:prstGeom prst="rect">
                      <a:avLst/>
                    </a:prstGeom>
                    <a:noFill/>
                    <a:ln>
                      <a:noFill/>
                    </a:ln>
                  </pic:spPr>
                </pic:pic>
              </a:graphicData>
            </a:graphic>
          </wp:inline>
        </w:drawing>
      </w:r>
    </w:p>
    <w:p>
      <w:pPr>
        <w:pStyle w:val="74"/>
        <w:jc w:val="center"/>
        <w:rPr>
          <w:rFonts w:hint="eastAsia"/>
          <w:lang w:val="en-US" w:eastAsia="zh-CN"/>
        </w:rPr>
      </w:pPr>
      <w:r>
        <w:rPr>
          <w:rFonts w:hint="eastAsia" w:ascii="Times New Roman" w:hAnsi="Times New Roman" w:eastAsia="宋体" w:cs="Times New Roman"/>
          <w:b/>
          <w:bCs/>
          <w:sz w:val="21"/>
          <w:szCs w:val="21"/>
          <w:lang w:val="en-US" w:eastAsia="zh-CN"/>
        </w:rPr>
        <w:t>图5-2  项目与新田湾河饮用水水源保护区的位置关系图</w:t>
      </w:r>
    </w:p>
    <w:p>
      <w:pPr>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（3）影响分析</w:t>
      </w:r>
    </w:p>
    <w:p>
      <w:pPr>
        <w:bidi w:val="0"/>
        <w:rPr>
          <w:rFonts w:hint="eastAsia"/>
          <w:lang w:val="en-US" w:eastAsia="zh-CN"/>
        </w:rPr>
      </w:pPr>
      <w:r>
        <w:rPr>
          <w:rFonts w:hint="eastAsia"/>
          <w:lang w:val="en-US" w:eastAsia="zh-CN"/>
        </w:rPr>
        <w:t>施工期间采取的对饮用水源保护区的措施主要包括：</w:t>
      </w:r>
    </w:p>
    <w:p>
      <w:pPr>
        <w:bidi w:val="0"/>
        <w:rPr>
          <w:rFonts w:hint="eastAsia"/>
        </w:rPr>
      </w:pPr>
      <w:r>
        <w:rPr>
          <w:rFonts w:hint="eastAsia"/>
        </w:rPr>
        <w:fldChar w:fldCharType="begin"/>
      </w:r>
      <w:r>
        <w:rPr>
          <w:rFonts w:hint="eastAsia"/>
        </w:rPr>
        <w:instrText xml:space="preserve"> = 1 \* GB3 \* MERGEFORMAT </w:instrText>
      </w:r>
      <w:r>
        <w:rPr>
          <w:rFonts w:hint="eastAsia"/>
        </w:rPr>
        <w:fldChar w:fldCharType="separate"/>
      </w:r>
      <w:r>
        <w:t>①</w:t>
      </w:r>
      <w:r>
        <w:rPr>
          <w:rFonts w:hint="eastAsia"/>
        </w:rPr>
        <w:fldChar w:fldCharType="end"/>
      </w:r>
      <w:r>
        <w:rPr>
          <w:rFonts w:hint="eastAsia"/>
        </w:rPr>
        <w:t>划定施工边界，</w:t>
      </w:r>
      <w:r>
        <w:rPr>
          <w:rFonts w:hint="eastAsia"/>
          <w:lang w:val="en-US" w:eastAsia="zh-CN"/>
        </w:rPr>
        <w:t>旱季</w:t>
      </w:r>
      <w:r>
        <w:rPr>
          <w:rFonts w:hint="eastAsia"/>
        </w:rPr>
        <w:t>施工，施工生产废水经过收集沉淀后回用，</w:t>
      </w:r>
      <w:r>
        <w:rPr>
          <w:rFonts w:hint="eastAsia"/>
          <w:lang w:val="en-US" w:eastAsia="zh-CN"/>
        </w:rPr>
        <w:t>不外排</w:t>
      </w:r>
      <w:r>
        <w:rPr>
          <w:rFonts w:hint="eastAsia"/>
        </w:rPr>
        <w:t>。</w:t>
      </w:r>
    </w:p>
    <w:p>
      <w:pPr>
        <w:bidi w:val="0"/>
        <w:rPr>
          <w:rFonts w:hint="eastAsia"/>
        </w:rPr>
      </w:pPr>
      <w:r>
        <w:rPr>
          <w:rFonts w:hint="eastAsia"/>
        </w:rPr>
        <w:t>②</w:t>
      </w:r>
      <w:r>
        <w:rPr>
          <w:rFonts w:hint="eastAsia"/>
          <w:lang w:val="en-US" w:eastAsia="zh-CN"/>
        </w:rPr>
        <w:t>15号</w:t>
      </w:r>
      <w:r>
        <w:rPr>
          <w:rFonts w:hint="eastAsia"/>
        </w:rPr>
        <w:t>风机平台修建</w:t>
      </w:r>
      <w:r>
        <w:rPr>
          <w:rFonts w:hint="eastAsia"/>
          <w:lang w:eastAsia="zh-CN"/>
        </w:rPr>
        <w:t>了</w:t>
      </w:r>
      <w:r>
        <w:rPr>
          <w:rFonts w:hint="eastAsia"/>
        </w:rPr>
        <w:t>截水沟、导流沟和沉淀池，雨水引入沉淀池后排入水源保护区背水一侧的小溪。</w:t>
      </w:r>
    </w:p>
    <w:p>
      <w:pPr>
        <w:bidi w:val="0"/>
        <w:rPr>
          <w:rFonts w:hint="default"/>
          <w:lang w:val="en-US" w:eastAsia="zh-CN"/>
        </w:rPr>
      </w:pPr>
      <w:r>
        <w:rPr>
          <w:rFonts w:hint="eastAsia"/>
        </w:rPr>
        <w:t>③落实</w:t>
      </w:r>
      <w:r>
        <w:rPr>
          <w:rFonts w:hint="eastAsia"/>
          <w:lang w:eastAsia="zh-CN"/>
        </w:rPr>
        <w:t>了</w:t>
      </w:r>
      <w:r>
        <w:rPr>
          <w:rFonts w:hint="eastAsia"/>
        </w:rPr>
        <w:t>水土保持措施，工程施工时设置截、排、引流、拦挡措施，做好弃渣场覆盖措施，</w:t>
      </w:r>
      <w:r>
        <w:rPr>
          <w:rFonts w:hint="eastAsia"/>
          <w:lang w:val="en-US" w:eastAsia="zh-CN"/>
        </w:rPr>
        <w:t>控制</w:t>
      </w:r>
      <w:r>
        <w:rPr>
          <w:rFonts w:hint="eastAsia"/>
        </w:rPr>
        <w:t>施工</w:t>
      </w:r>
      <w:r>
        <w:rPr>
          <w:rFonts w:hint="eastAsia"/>
          <w:lang w:val="en-US" w:eastAsia="zh-CN"/>
        </w:rPr>
        <w:t>期</w:t>
      </w:r>
      <w:r>
        <w:rPr>
          <w:rFonts w:hint="eastAsia"/>
        </w:rPr>
        <w:t>废水</w:t>
      </w:r>
      <w:r>
        <w:rPr>
          <w:rFonts w:hint="eastAsia"/>
          <w:lang w:val="en-US" w:eastAsia="zh-CN"/>
        </w:rPr>
        <w:t>和雨水</w:t>
      </w:r>
      <w:r>
        <w:rPr>
          <w:rFonts w:hint="eastAsia"/>
        </w:rPr>
        <w:t>不进入水源保护区。</w:t>
      </w:r>
    </w:p>
    <w:p>
      <w:pPr>
        <w:bidi w:val="0"/>
        <w:rPr>
          <w:rFonts w:hint="eastAsia"/>
          <w:lang w:val="en-US" w:eastAsia="zh-CN"/>
        </w:rPr>
      </w:pPr>
      <w:r>
        <w:rPr>
          <w:rFonts w:hint="eastAsia"/>
          <w:lang w:val="en-US" w:eastAsia="zh-CN"/>
        </w:rPr>
        <w:t>根据地表水现状调查，</w:t>
      </w:r>
      <w:r>
        <w:rPr>
          <w:rFonts w:hint="eastAsia"/>
          <w:lang w:eastAsia="zh-CN"/>
        </w:rPr>
        <w:t>新田湾河取水口（汇源源峰村段）</w:t>
      </w:r>
      <w:r>
        <w:rPr>
          <w:rFonts w:hint="eastAsia"/>
          <w:lang w:val="en-US" w:eastAsia="zh-CN"/>
        </w:rPr>
        <w:t>水质能达到II类</w:t>
      </w:r>
      <w:r>
        <w:rPr>
          <w:rFonts w:hint="eastAsia"/>
          <w:lang w:eastAsia="zh-CN"/>
        </w:rPr>
        <w:t>，</w:t>
      </w:r>
      <w:r>
        <w:rPr>
          <w:rFonts w:hint="eastAsia"/>
        </w:rPr>
        <w:t>本项目对</w:t>
      </w:r>
      <w:r>
        <w:rPr>
          <w:rFonts w:hint="eastAsia" w:ascii="Times New Roman" w:hAnsi="Times New Roman" w:eastAsia="宋体" w:cs="Times New Roman"/>
          <w:b w:val="0"/>
          <w:bCs w:val="0"/>
          <w:sz w:val="24"/>
          <w:szCs w:val="24"/>
          <w:lang w:val="en-US" w:eastAsia="zh-CN"/>
        </w:rPr>
        <w:t>新田湾河</w:t>
      </w:r>
      <w:r>
        <w:rPr>
          <w:rFonts w:hint="eastAsia"/>
          <w:lang w:val="en-US" w:eastAsia="zh-CN"/>
        </w:rPr>
        <w:t>饮用水源</w:t>
      </w:r>
      <w:r>
        <w:rPr>
          <w:rFonts w:hint="eastAsia"/>
        </w:rPr>
        <w:t>保护区的影响较小。</w:t>
      </w:r>
    </w:p>
    <w:p>
      <w:pPr>
        <w:bidi w:val="0"/>
        <w:rPr>
          <w:rFonts w:hint="eastAsia"/>
          <w:b/>
          <w:bCs/>
          <w:lang w:val="en-US" w:eastAsia="zh-CN"/>
        </w:rPr>
      </w:pPr>
      <w:r>
        <w:rPr>
          <w:rFonts w:hint="eastAsia"/>
          <w:b/>
          <w:bCs/>
          <w:lang w:val="en-US" w:eastAsia="zh-CN"/>
        </w:rPr>
        <w:t>4、项目对</w:t>
      </w:r>
      <w:r>
        <w:rPr>
          <w:rFonts w:hint="eastAsia" w:ascii="Times New Roman" w:hAnsi="Times New Roman" w:eastAsia="宋体" w:cs="Times New Roman"/>
          <w:b/>
          <w:bCs/>
          <w:lang w:val="en-US" w:eastAsia="zh-CN"/>
        </w:rPr>
        <w:t>蓝山县</w:t>
      </w:r>
      <w:r>
        <w:rPr>
          <w:rFonts w:hint="default" w:ascii="Times New Roman" w:hAnsi="Times New Roman" w:eastAsia="宋体" w:cs="Times New Roman"/>
          <w:b/>
          <w:bCs/>
          <w:lang w:val="en-US" w:eastAsia="zh-CN"/>
        </w:rPr>
        <w:t>塔峰镇岭脚村山溪水饮用水水源保护区</w:t>
      </w:r>
      <w:r>
        <w:rPr>
          <w:rFonts w:hint="eastAsia" w:ascii="Times New Roman" w:hAnsi="Times New Roman" w:eastAsia="宋体" w:cs="Times New Roman"/>
          <w:b/>
          <w:bCs/>
          <w:lang w:val="en-US" w:eastAsia="zh-CN"/>
        </w:rPr>
        <w:t>的</w:t>
      </w:r>
      <w:r>
        <w:rPr>
          <w:rFonts w:hint="eastAsia"/>
          <w:b/>
          <w:bCs/>
          <w:lang w:val="en-US" w:eastAsia="zh-CN"/>
        </w:rPr>
        <w:t>影响分析</w:t>
      </w:r>
    </w:p>
    <w:p>
      <w:pPr>
        <w:bidi w:val="0"/>
        <w:rPr>
          <w:rFonts w:hint="eastAsia"/>
          <w:b w:val="0"/>
          <w:bCs w:val="0"/>
          <w:lang w:val="en-US" w:eastAsia="zh-CN"/>
        </w:rPr>
      </w:pPr>
      <w:r>
        <w:rPr>
          <w:rFonts w:hint="eastAsia"/>
          <w:b w:val="0"/>
          <w:bCs w:val="0"/>
          <w:lang w:val="en-US" w:eastAsia="zh-CN"/>
        </w:rPr>
        <w:t>（1）水源地的位置</w:t>
      </w:r>
    </w:p>
    <w:p>
      <w:pPr>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塔峰镇岭脚村山溪水饮用水水源保护区位于永州市蓝山县塔峰镇岭脚村，取水口坐标为东经112°09'15.8667"，北纬25°20'17.4656"。</w:t>
      </w:r>
    </w:p>
    <w:p>
      <w:pPr>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（2）水厂现状</w:t>
      </w:r>
    </w:p>
    <w:p>
      <w:pPr>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塔峰镇岭脚村供水工程设计供水规模为130m</w:t>
      </w:r>
      <w:r>
        <w:rPr>
          <w:rFonts w:hint="eastAsia" w:ascii="Times New Roman" w:hAnsi="Times New Roman" w:eastAsia="宋体" w:cs="Times New Roman"/>
          <w:vertAlign w:val="superscript"/>
          <w:lang w:val="en-US" w:eastAsia="zh-CN"/>
        </w:rPr>
        <w:t>3</w:t>
      </w:r>
      <w:r>
        <w:rPr>
          <w:rFonts w:hint="eastAsia" w:ascii="Times New Roman" w:hAnsi="Times New Roman" w:eastAsia="宋体" w:cs="Times New Roman"/>
          <w:lang w:val="en-US" w:eastAsia="zh-CN"/>
        </w:rPr>
        <w:t>/d，实际供水人口为2540人，供水范围为岭脚村，水源类型为山溪水。</w:t>
      </w:r>
    </w:p>
    <w:p>
      <w:pPr>
        <w:bidi w:val="0"/>
        <w:ind w:left="0" w:leftChars="0" w:firstLine="0" w:firstLineChars="0"/>
        <w:jc w:val="center"/>
        <w:rPr>
          <w:rFonts w:hint="eastAsia" w:ascii="Times New Roman" w:hAnsi="Times New Roman" w:eastAsia="宋体" w:cs="Times New Roman"/>
          <w:b/>
          <w:bCs/>
          <w:sz w:val="21"/>
          <w:szCs w:val="21"/>
          <w:lang w:val="en-US" w:eastAsia="zh-CN"/>
        </w:rPr>
      </w:pPr>
      <w:r>
        <w:drawing>
          <wp:anchor distT="0" distB="0" distL="114300" distR="114300" simplePos="0" relativeHeight="251718656" behindDoc="0" locked="0" layoutInCell="1" allowOverlap="1">
            <wp:simplePos x="0" y="0"/>
            <wp:positionH relativeFrom="column">
              <wp:posOffset>4417060</wp:posOffset>
            </wp:positionH>
            <wp:positionV relativeFrom="paragraph">
              <wp:posOffset>3326130</wp:posOffset>
            </wp:positionV>
            <wp:extent cx="1285875" cy="1089025"/>
            <wp:effectExtent l="0" t="0" r="9525" b="15875"/>
            <wp:wrapNone/>
            <wp:docPr id="32"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10"/>
                    <pic:cNvPicPr>
                      <a:picLocks noChangeAspect="true"/>
                    </pic:cNvPicPr>
                  </pic:nvPicPr>
                  <pic:blipFill>
                    <a:blip r:embed="rId81"/>
                    <a:stretch>
                      <a:fillRect/>
                    </a:stretch>
                  </pic:blipFill>
                  <pic:spPr>
                    <a:xfrm>
                      <a:off x="0" y="0"/>
                      <a:ext cx="1285875" cy="1089025"/>
                    </a:xfrm>
                    <a:prstGeom prst="rect">
                      <a:avLst/>
                    </a:prstGeom>
                    <a:noFill/>
                    <a:ln>
                      <a:noFill/>
                    </a:ln>
                  </pic:spPr>
                </pic:pic>
              </a:graphicData>
            </a:graphic>
          </wp:anchor>
        </w:drawing>
      </w:r>
      <w:r>
        <w:drawing>
          <wp:inline distT="0" distB="0" distL="114300" distR="114300">
            <wp:extent cx="5755005" cy="4455795"/>
            <wp:effectExtent l="0" t="0" r="17145" b="1905"/>
            <wp:docPr id="24"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true"/>
                    </pic:cNvPicPr>
                  </pic:nvPicPr>
                  <pic:blipFill>
                    <a:blip r:embed="rId82"/>
                    <a:stretch>
                      <a:fillRect/>
                    </a:stretch>
                  </pic:blipFill>
                  <pic:spPr>
                    <a:xfrm>
                      <a:off x="0" y="0"/>
                      <a:ext cx="5755005" cy="4455795"/>
                    </a:xfrm>
                    <a:prstGeom prst="rect">
                      <a:avLst/>
                    </a:prstGeom>
                    <a:noFill/>
                    <a:ln>
                      <a:noFill/>
                    </a:ln>
                  </pic:spPr>
                </pic:pic>
              </a:graphicData>
            </a:graphic>
          </wp:inline>
        </w:drawing>
      </w:r>
    </w:p>
    <w:p>
      <w:pPr>
        <w:bidi w:val="0"/>
        <w:ind w:left="0" w:leftChars="0" w:firstLine="0" w:firstLineChars="0"/>
        <w:jc w:val="center"/>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图5-3  项目与</w:t>
      </w:r>
      <w:r>
        <w:rPr>
          <w:rFonts w:hint="default" w:ascii="Times New Roman" w:hAnsi="Times New Roman" w:eastAsia="宋体" w:cs="Times New Roman"/>
          <w:b/>
          <w:bCs/>
          <w:sz w:val="21"/>
          <w:szCs w:val="21"/>
          <w:lang w:val="en-US" w:eastAsia="zh-CN"/>
        </w:rPr>
        <w:t>塔峰镇岭脚村山溪水饮用水水源保护区</w:t>
      </w:r>
      <w:r>
        <w:rPr>
          <w:rFonts w:hint="eastAsia" w:ascii="Times New Roman" w:hAnsi="Times New Roman" w:eastAsia="宋体" w:cs="Times New Roman"/>
          <w:b/>
          <w:bCs/>
          <w:sz w:val="21"/>
          <w:szCs w:val="21"/>
          <w:lang w:val="en-US" w:eastAsia="zh-CN"/>
        </w:rPr>
        <w:t>的位置关系图</w:t>
      </w:r>
    </w:p>
    <w:p>
      <w:pPr>
        <w:bidi w:val="0"/>
        <w:rPr>
          <w:rFonts w:hint="eastAsia"/>
          <w:lang w:val="en-US" w:eastAsia="zh-CN"/>
        </w:rPr>
      </w:pPr>
    </w:p>
    <w:p>
      <w:pPr>
        <w:bidi w:val="0"/>
        <w:rPr>
          <w:rFonts w:hint="eastAsia"/>
          <w:lang w:val="en-US" w:eastAsia="zh-CN"/>
        </w:rPr>
      </w:pPr>
      <w:r>
        <w:rPr>
          <w:rFonts w:hint="eastAsia"/>
          <w:lang w:val="en-US" w:eastAsia="zh-CN"/>
        </w:rPr>
        <w:t>施工期间采取的对饮用水源保护区的措施主要包括：</w:t>
      </w:r>
    </w:p>
    <w:p>
      <w:pPr>
        <w:bidi w:val="0"/>
        <w:rPr>
          <w:rFonts w:hint="eastAsia"/>
        </w:rPr>
      </w:pPr>
      <w:r>
        <w:rPr>
          <w:rFonts w:hint="eastAsia"/>
        </w:rPr>
        <w:fldChar w:fldCharType="begin"/>
      </w:r>
      <w:r>
        <w:rPr>
          <w:rFonts w:hint="eastAsia"/>
        </w:rPr>
        <w:instrText xml:space="preserve"> = 1 \* GB3 \* MERGEFORMAT </w:instrText>
      </w:r>
      <w:r>
        <w:rPr>
          <w:rFonts w:hint="eastAsia"/>
        </w:rPr>
        <w:fldChar w:fldCharType="separate"/>
      </w:r>
      <w:r>
        <w:t>①</w:t>
      </w:r>
      <w:r>
        <w:rPr>
          <w:rFonts w:hint="eastAsia"/>
        </w:rPr>
        <w:fldChar w:fldCharType="end"/>
      </w:r>
      <w:r>
        <w:rPr>
          <w:rFonts w:hint="eastAsia"/>
        </w:rPr>
        <w:t>划定施工边界，</w:t>
      </w:r>
      <w:r>
        <w:rPr>
          <w:rFonts w:hint="eastAsia"/>
          <w:lang w:val="en-US" w:eastAsia="zh-CN"/>
        </w:rPr>
        <w:t>旱季</w:t>
      </w:r>
      <w:r>
        <w:rPr>
          <w:rFonts w:hint="eastAsia"/>
        </w:rPr>
        <w:t>施工，施工生产废水经过收集沉淀后回用，</w:t>
      </w:r>
      <w:r>
        <w:rPr>
          <w:rFonts w:hint="eastAsia"/>
          <w:lang w:val="en-US" w:eastAsia="zh-CN"/>
        </w:rPr>
        <w:t>不外排</w:t>
      </w:r>
      <w:r>
        <w:rPr>
          <w:rFonts w:hint="eastAsia"/>
        </w:rPr>
        <w:t>。</w:t>
      </w:r>
    </w:p>
    <w:p>
      <w:pPr>
        <w:bidi w:val="0"/>
        <w:rPr>
          <w:rFonts w:hint="eastAsia"/>
        </w:rPr>
      </w:pPr>
      <w:r>
        <w:rPr>
          <w:rFonts w:hint="eastAsia"/>
        </w:rPr>
        <w:t>②</w:t>
      </w:r>
      <w:r>
        <w:rPr>
          <w:rFonts w:hint="eastAsia"/>
          <w:lang w:val="en-US" w:eastAsia="zh-CN"/>
        </w:rPr>
        <w:t>场内</w:t>
      </w:r>
      <w:r>
        <w:rPr>
          <w:rFonts w:hint="eastAsia"/>
        </w:rPr>
        <w:t>道路修建</w:t>
      </w:r>
      <w:r>
        <w:rPr>
          <w:rFonts w:hint="eastAsia"/>
          <w:lang w:eastAsia="zh-CN"/>
        </w:rPr>
        <w:t>了</w:t>
      </w:r>
      <w:r>
        <w:rPr>
          <w:rFonts w:hint="eastAsia"/>
        </w:rPr>
        <w:t>截水沟、导流沟和沉淀池，雨水引入沉淀池后排入水源保护区背水一侧的小溪。</w:t>
      </w:r>
    </w:p>
    <w:p>
      <w:pPr>
        <w:bidi w:val="0"/>
        <w:rPr>
          <w:rFonts w:hint="default"/>
          <w:lang w:val="en-US" w:eastAsia="zh-CN"/>
        </w:rPr>
      </w:pPr>
      <w:r>
        <w:rPr>
          <w:rFonts w:hint="eastAsia"/>
        </w:rPr>
        <w:t>③落实</w:t>
      </w:r>
      <w:r>
        <w:rPr>
          <w:rFonts w:hint="eastAsia"/>
          <w:lang w:eastAsia="zh-CN"/>
        </w:rPr>
        <w:t>了</w:t>
      </w:r>
      <w:r>
        <w:rPr>
          <w:rFonts w:hint="eastAsia"/>
        </w:rPr>
        <w:t>水土保持措施，工程施工时设置截、排、引流、拦挡措施，做好弃渣场覆盖措施，</w:t>
      </w:r>
      <w:r>
        <w:rPr>
          <w:rFonts w:hint="eastAsia"/>
          <w:lang w:val="en-US" w:eastAsia="zh-CN"/>
        </w:rPr>
        <w:t>控制</w:t>
      </w:r>
      <w:r>
        <w:rPr>
          <w:rFonts w:hint="eastAsia"/>
        </w:rPr>
        <w:t>施工</w:t>
      </w:r>
      <w:r>
        <w:rPr>
          <w:rFonts w:hint="eastAsia"/>
          <w:lang w:val="en-US" w:eastAsia="zh-CN"/>
        </w:rPr>
        <w:t>期</w:t>
      </w:r>
      <w:r>
        <w:rPr>
          <w:rFonts w:hint="eastAsia"/>
        </w:rPr>
        <w:t>废水</w:t>
      </w:r>
      <w:r>
        <w:rPr>
          <w:rFonts w:hint="eastAsia"/>
          <w:lang w:val="en-US" w:eastAsia="zh-CN"/>
        </w:rPr>
        <w:t>和雨水</w:t>
      </w:r>
      <w:r>
        <w:rPr>
          <w:rFonts w:hint="eastAsia"/>
        </w:rPr>
        <w:t>不进入水源保护区。</w:t>
      </w:r>
    </w:p>
    <w:p>
      <w:pPr>
        <w:bidi w:val="0"/>
        <w:rPr>
          <w:rFonts w:hint="eastAsia" w:eastAsia="宋体"/>
          <w:lang w:eastAsia="zh-CN"/>
        </w:rPr>
      </w:pPr>
      <w:r>
        <w:rPr>
          <w:rFonts w:hint="eastAsia"/>
          <w:lang w:val="en-US" w:eastAsia="zh-CN"/>
        </w:rPr>
        <w:t>根据地表水现状调查，</w:t>
      </w:r>
      <w:r>
        <w:rPr>
          <w:rFonts w:hint="eastAsia"/>
          <w:lang w:eastAsia="zh-CN"/>
        </w:rPr>
        <w:t>舜水河取水口（岭脚村段）</w:t>
      </w:r>
      <w:r>
        <w:rPr>
          <w:rFonts w:hint="eastAsia"/>
          <w:lang w:val="en-US" w:eastAsia="zh-CN"/>
        </w:rPr>
        <w:t>水质能达到II类</w:t>
      </w:r>
      <w:r>
        <w:rPr>
          <w:rFonts w:hint="eastAsia"/>
          <w:lang w:eastAsia="zh-CN"/>
        </w:rPr>
        <w:t>，</w:t>
      </w:r>
      <w:r>
        <w:rPr>
          <w:rFonts w:hint="eastAsia"/>
        </w:rPr>
        <w:t>本项目对</w:t>
      </w:r>
      <w:r>
        <w:rPr>
          <w:rFonts w:hint="eastAsia"/>
          <w:lang w:val="en-US" w:eastAsia="zh-CN"/>
        </w:rPr>
        <w:t>饮用水源</w:t>
      </w:r>
      <w:r>
        <w:rPr>
          <w:rFonts w:hint="eastAsia"/>
        </w:rPr>
        <w:t>保护区的影响较小。</w:t>
      </w:r>
    </w:p>
    <w:p>
      <w:pPr>
        <w:pStyle w:val="458"/>
        <w:keepNext w:val="0"/>
        <w:keepLines/>
        <w:pageBreakBefore w:val="0"/>
        <w:widowControl w:val="0"/>
        <w:kinsoku/>
        <w:wordWrap/>
        <w:overflowPunct/>
        <w:topLinePunct w:val="0"/>
        <w:autoSpaceDE/>
        <w:autoSpaceDN/>
        <w:bidi w:val="0"/>
        <w:adjustRightInd/>
        <w:snapToGrid w:val="0"/>
        <w:ind w:firstLine="602"/>
        <w:textAlignment w:val="auto"/>
        <w:outlineLvl w:val="2"/>
        <w:rPr>
          <w:color w:val="000000" w:themeColor="text1"/>
          <w:u w:val="none" w:color="auto"/>
          <w14:textFill>
            <w14:solidFill>
              <w14:schemeClr w14:val="tx1"/>
            </w14:solidFill>
          </w14:textFill>
        </w:rPr>
      </w:pPr>
      <w:r>
        <w:rPr>
          <w:rFonts w:hint="eastAsia"/>
          <w:color w:val="000000" w:themeColor="text1"/>
          <w:u w:val="none" w:color="auto"/>
          <w:lang w:eastAsia="zh-CN"/>
          <w14:textFill>
            <w14:solidFill>
              <w14:schemeClr w14:val="tx1"/>
            </w14:solidFill>
          </w14:textFill>
        </w:rPr>
        <w:t>大气环境</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影响</w:t>
      </w:r>
      <w:r>
        <w:rPr>
          <w:rFonts w:hint="eastAsia"/>
          <w:color w:val="000000" w:themeColor="text1"/>
          <w:u w:val="none" w:color="auto"/>
          <w:lang w:val="en-US" w:eastAsia="zh-CN"/>
          <w14:textFill>
            <w14:solidFill>
              <w14:schemeClr w14:val="tx1"/>
            </w14:solidFill>
          </w14:textFill>
        </w:rPr>
        <w:t>回顾</w:t>
      </w:r>
      <w:r>
        <w:rPr>
          <w:rFonts w:hint="eastAsia"/>
          <w:color w:val="000000" w:themeColor="text1"/>
          <w:u w:val="none" w:color="auto"/>
          <w:lang w:eastAsia="zh-CN"/>
          <w14:textFill>
            <w14:solidFill>
              <w14:schemeClr w14:val="tx1"/>
            </w14:solidFill>
          </w14:textFill>
        </w:rPr>
        <w:t>分析</w:t>
      </w:r>
    </w:p>
    <w:p>
      <w:pPr>
        <w:bidi w:val="0"/>
        <w:rPr>
          <w:rFonts w:hint="eastAsia"/>
        </w:rPr>
      </w:pPr>
      <w:r>
        <w:rPr>
          <w:rFonts w:hint="eastAsia"/>
        </w:rPr>
        <w:t>施工期</w:t>
      </w:r>
      <w:r>
        <w:rPr>
          <w:rFonts w:hint="eastAsia"/>
          <w:lang w:val="en-US" w:eastAsia="zh-CN"/>
        </w:rPr>
        <w:t>大气</w:t>
      </w:r>
      <w:r>
        <w:rPr>
          <w:rFonts w:hint="eastAsia"/>
        </w:rPr>
        <w:t>污染源是施工期土石方开挖产生的粉尘和运输车辆产生的道路扬尘。施工机械和车辆运行会排放少量废气，其影响范围局限于施工场地和道路两侧范围，道路施工为线性工程，每个施工点停留的时间非常短，所以对道路两侧的居民的影响是短暂的。本工程施工区域较为分散，单个风机平台的施工规模较小，施工相对简单，工期短，且施工布置较分散，施工期间产生粉尘、扬尘和废气的影响均属暂时性影响，随工程结束而结束，不会对区域环境空气质量产生较大影响。</w:t>
      </w:r>
    </w:p>
    <w:p>
      <w:pPr>
        <w:bidi w:val="0"/>
        <w:rPr>
          <w:rFonts w:hint="eastAsia"/>
        </w:rPr>
      </w:pPr>
      <w:r>
        <w:rPr>
          <w:rFonts w:hint="eastAsia"/>
        </w:rPr>
        <w:t>为减少施工期扬尘的产生，建设单位对</w:t>
      </w:r>
      <w:r>
        <w:rPr>
          <w:rFonts w:hint="eastAsia" w:ascii="Times New Roman" w:hAnsi="Times New Roman" w:eastAsia="宋体" w:cs="Times New Roman"/>
          <w:sz w:val="24"/>
          <w:szCs w:val="22"/>
          <w:lang w:eastAsia="zh-CN"/>
        </w:rPr>
        <w:t>现场运输的物料进行了遮盖，</w:t>
      </w:r>
      <w:r>
        <w:rPr>
          <w:rFonts w:hint="eastAsia"/>
        </w:rPr>
        <w:t>施工区道路进行了管理、养护、定时进行洒水，使路面保持平坦、无损、清洁，处于良好运行状况。运输车辆在经过居民点时减速行驶，减缓对居民生活的影响。</w:t>
      </w:r>
    </w:p>
    <w:p>
      <w:pPr>
        <w:bidi w:val="0"/>
      </w:pPr>
      <w:r>
        <w:rPr>
          <w:rFonts w:hint="eastAsia"/>
        </w:rPr>
        <w:t>根据《</w:t>
      </w:r>
      <w:r>
        <w:rPr>
          <w:rFonts w:hint="eastAsia" w:ascii="Times New Roman" w:hAnsi="Times New Roman" w:eastAsia="宋体" w:cs="Times New Roman"/>
          <w:lang w:eastAsia="zh-CN"/>
        </w:rPr>
        <w:t>湖南华电永州蓝山大源风电项目</w:t>
      </w:r>
      <w:r>
        <w:rPr>
          <w:rFonts w:hint="eastAsia" w:ascii="Times New Roman" w:hAnsi="Times New Roman" w:eastAsia="宋体" w:cs="Times New Roman"/>
          <w:lang w:val="en-US" w:eastAsia="zh-CN"/>
        </w:rPr>
        <w:t>环境监理月报</w:t>
      </w:r>
      <w:r>
        <w:rPr>
          <w:rFonts w:hint="eastAsia"/>
        </w:rPr>
        <w:t>》可知，项目施工期间，</w:t>
      </w:r>
      <w:r>
        <w:rPr>
          <w:rFonts w:hint="eastAsia"/>
          <w:lang w:val="en-US" w:eastAsia="zh-CN"/>
        </w:rPr>
        <w:t>环境监理单位广州科禹环保科技</w:t>
      </w:r>
      <w:r>
        <w:rPr>
          <w:rFonts w:hint="eastAsia"/>
        </w:rPr>
        <w:t>有限公司对本项目施工现场的大气环境进行了2次现状监测，</w:t>
      </w:r>
      <w:r>
        <w:rPr>
          <w:rFonts w:hint="eastAsia"/>
          <w:lang w:val="en-US" w:eastAsia="zh-CN"/>
        </w:rPr>
        <w:t>监测</w:t>
      </w:r>
      <w:r>
        <w:rPr>
          <w:rFonts w:hint="eastAsia"/>
        </w:rPr>
        <w:t>期间，施工场地边界颗粒物</w:t>
      </w:r>
      <w:r>
        <w:rPr>
          <w:rFonts w:hint="eastAsia"/>
          <w:lang w:val="en-US" w:eastAsia="zh-CN"/>
        </w:rPr>
        <w:t>最大值</w:t>
      </w:r>
      <w:r>
        <w:rPr>
          <w:rFonts w:hint="eastAsia"/>
        </w:rPr>
        <w:t>为0.3</w:t>
      </w:r>
      <w:r>
        <w:rPr>
          <w:rFonts w:hint="eastAsia"/>
          <w:lang w:val="en-US" w:eastAsia="zh-CN"/>
        </w:rPr>
        <w:t>24</w:t>
      </w:r>
      <w:r>
        <w:rPr>
          <w:rFonts w:hint="eastAsia"/>
        </w:rPr>
        <w:t>mg/m</w:t>
      </w:r>
      <w:r>
        <w:rPr>
          <w:rFonts w:hint="eastAsia"/>
          <w:vertAlign w:val="superscript"/>
        </w:rPr>
        <w:t>3</w:t>
      </w:r>
      <w:r>
        <w:rPr>
          <w:rFonts w:hint="eastAsia"/>
        </w:rPr>
        <w:t>，场界无组织</w:t>
      </w:r>
      <w:r>
        <w:rPr>
          <w:rFonts w:hint="eastAsia"/>
          <w:lang w:val="en-US" w:eastAsia="zh-CN"/>
        </w:rPr>
        <w:t>颗粒物</w:t>
      </w:r>
      <w:r>
        <w:rPr>
          <w:rFonts w:hint="eastAsia"/>
        </w:rPr>
        <w:t>浓度满足《大气污染物综合排放标准》（GB 16297-1996）无组织限值标准。工程施工期间，大气污染影响较小。</w:t>
      </w:r>
    </w:p>
    <w:p>
      <w:pPr>
        <w:pStyle w:val="458"/>
        <w:keepNext w:val="0"/>
        <w:keepLines/>
        <w:pageBreakBefore w:val="0"/>
        <w:widowControl w:val="0"/>
        <w:kinsoku/>
        <w:wordWrap/>
        <w:overflowPunct/>
        <w:topLinePunct w:val="0"/>
        <w:autoSpaceDE/>
        <w:autoSpaceDN/>
        <w:bidi w:val="0"/>
        <w:adjustRightInd/>
        <w:snapToGrid w:val="0"/>
        <w:ind w:firstLine="602"/>
        <w:textAlignment w:val="auto"/>
        <w:outlineLvl w:val="2"/>
        <w:rPr>
          <w:color w:val="000000" w:themeColor="text1"/>
          <w:u w:val="none" w:color="auto"/>
          <w14:textFill>
            <w14:solidFill>
              <w14:schemeClr w14:val="tx1"/>
            </w14:solidFill>
          </w14:textFill>
        </w:rPr>
      </w:pPr>
      <w:r>
        <w:rPr>
          <w:rFonts w:hint="eastAsia"/>
          <w:color w:val="000000" w:themeColor="text1"/>
          <w:u w:val="none" w:color="auto"/>
          <w:lang w:eastAsia="zh-CN"/>
          <w14:textFill>
            <w14:solidFill>
              <w14:schemeClr w14:val="tx1"/>
            </w14:solidFill>
          </w14:textFill>
        </w:rPr>
        <w:t>噪声</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影响</w:t>
      </w:r>
      <w:r>
        <w:rPr>
          <w:rFonts w:hint="eastAsia"/>
          <w:color w:val="000000" w:themeColor="text1"/>
          <w:u w:val="none" w:color="auto"/>
          <w:lang w:val="en-US" w:eastAsia="zh-CN"/>
          <w14:textFill>
            <w14:solidFill>
              <w14:schemeClr w14:val="tx1"/>
            </w14:solidFill>
          </w14:textFill>
        </w:rPr>
        <w:t>回顾</w:t>
      </w:r>
      <w:r>
        <w:rPr>
          <w:rFonts w:hint="eastAsia"/>
          <w:color w:val="000000" w:themeColor="text1"/>
          <w:u w:val="none" w:color="auto"/>
          <w:lang w:eastAsia="zh-CN"/>
          <w14:textFill>
            <w14:solidFill>
              <w14:schemeClr w14:val="tx1"/>
            </w14:solidFill>
          </w14:textFill>
        </w:rPr>
        <w:t>分析</w:t>
      </w:r>
    </w:p>
    <w:p>
      <w:pPr>
        <w:bidi w:val="0"/>
        <w:rPr>
          <w:rFonts w:hint="eastAsia"/>
        </w:rPr>
      </w:pPr>
      <w:r>
        <w:rPr>
          <w:rFonts w:hint="eastAsia"/>
        </w:rPr>
        <w:t>风电场工程的噪声主要包括道路运输产生的交通噪声、风机机组区及道路工程区的施工机械噪声，以及施工作业噪声。机械噪声主要由施工机械所造成，如挖土机械、打桩机械、混凝土搅拌机、升降机等；施工作业噪声主要指一些零星的敲打声、装卸车辆的撞击声、吆喝声、拆卸模板的撞击声等，还包括偶发的爆破噪声等，多为瞬时噪声；施工车辆的噪声属于交通噪声，属于流动性噪声源。</w:t>
      </w:r>
    </w:p>
    <w:p>
      <w:pPr>
        <w:bidi w:val="0"/>
      </w:pPr>
      <w:r>
        <w:rPr>
          <w:rFonts w:hint="eastAsia"/>
        </w:rPr>
        <w:t>施工单位已采取限制车速、禁止鸣笛，采用低噪声设备施工措施</w:t>
      </w:r>
      <w:r>
        <w:rPr>
          <w:rFonts w:hint="eastAsia"/>
          <w:lang w:eastAsia="zh-CN"/>
        </w:rPr>
        <w:t>。</w:t>
      </w:r>
      <w:r>
        <w:rPr>
          <w:rFonts w:hint="eastAsia"/>
        </w:rPr>
        <w:t>根据《</w:t>
      </w:r>
      <w:r>
        <w:rPr>
          <w:rFonts w:hint="eastAsia" w:ascii="Times New Roman" w:hAnsi="Times New Roman" w:eastAsia="宋体" w:cs="Times New Roman"/>
          <w:lang w:eastAsia="zh-CN"/>
        </w:rPr>
        <w:t>湖南华电永州蓝山大源风电项目</w:t>
      </w:r>
      <w:r>
        <w:rPr>
          <w:rFonts w:hint="eastAsia" w:ascii="Times New Roman" w:hAnsi="Times New Roman" w:eastAsia="宋体" w:cs="Times New Roman"/>
          <w:lang w:val="en-US" w:eastAsia="zh-CN"/>
        </w:rPr>
        <w:t>环境监理月报</w:t>
      </w:r>
      <w:r>
        <w:rPr>
          <w:rFonts w:hint="eastAsia"/>
        </w:rPr>
        <w:t>》可知，项目施工期间，</w:t>
      </w:r>
      <w:r>
        <w:rPr>
          <w:rFonts w:hint="eastAsia"/>
          <w:lang w:val="en-US" w:eastAsia="zh-CN"/>
        </w:rPr>
        <w:t>广州科禹环保科技</w:t>
      </w:r>
      <w:r>
        <w:rPr>
          <w:rFonts w:hint="eastAsia"/>
        </w:rPr>
        <w:t>有限公司对本项目施工</w:t>
      </w:r>
      <w:r>
        <w:rPr>
          <w:rFonts w:hint="eastAsia"/>
          <w:lang w:val="en-US" w:eastAsia="zh-CN"/>
        </w:rPr>
        <w:t>场界噪声</w:t>
      </w:r>
      <w:r>
        <w:rPr>
          <w:rFonts w:hint="eastAsia"/>
        </w:rPr>
        <w:t>进行了2次监测，昼</w:t>
      </w:r>
      <w:r>
        <w:rPr>
          <w:rFonts w:hint="eastAsia"/>
          <w:lang w:val="en-US" w:eastAsia="zh-CN"/>
        </w:rPr>
        <w:t>间</w:t>
      </w:r>
      <w:r>
        <w:rPr>
          <w:rFonts w:hint="eastAsia"/>
        </w:rPr>
        <w:t>噪声监测值</w:t>
      </w:r>
      <w:r>
        <w:rPr>
          <w:rFonts w:hint="eastAsia"/>
          <w:lang w:val="en-US" w:eastAsia="zh-CN"/>
        </w:rPr>
        <w:t>最大值为65dB，</w:t>
      </w:r>
      <w:r>
        <w:rPr>
          <w:rFonts w:hint="eastAsia"/>
        </w:rPr>
        <w:t>可满足</w:t>
      </w:r>
      <w:r>
        <w:t>《建筑施工场界环境噪声排放标准》（GB12523-2011）</w:t>
      </w:r>
      <w:r>
        <w:rPr>
          <w:rFonts w:hint="eastAsia"/>
        </w:rPr>
        <w:t>。</w:t>
      </w:r>
    </w:p>
    <w:p>
      <w:pPr>
        <w:pStyle w:val="458"/>
        <w:keepNext w:val="0"/>
        <w:keepLines/>
        <w:pageBreakBefore w:val="0"/>
        <w:widowControl w:val="0"/>
        <w:kinsoku/>
        <w:wordWrap/>
        <w:overflowPunct/>
        <w:topLinePunct w:val="0"/>
        <w:autoSpaceDE/>
        <w:autoSpaceDN/>
        <w:bidi w:val="0"/>
        <w:adjustRightInd/>
        <w:snapToGrid w:val="0"/>
        <w:ind w:firstLine="602"/>
        <w:textAlignment w:val="auto"/>
        <w:outlineLvl w:val="2"/>
        <w:rPr>
          <w:color w:val="000000" w:themeColor="text1"/>
          <w:u w:val="none" w:color="auto"/>
          <w14:textFill>
            <w14:solidFill>
              <w14:schemeClr w14:val="tx1"/>
            </w14:solidFill>
          </w14:textFill>
        </w:rPr>
      </w:pPr>
      <w:r>
        <w:rPr>
          <w:rFonts w:hint="eastAsia"/>
          <w:color w:val="000000" w:themeColor="text1"/>
          <w:u w:val="none" w:color="auto"/>
          <w:lang w:eastAsia="zh-CN"/>
          <w14:textFill>
            <w14:solidFill>
              <w14:schemeClr w14:val="tx1"/>
            </w14:solidFill>
          </w14:textFill>
        </w:rPr>
        <w:t>固体</w:t>
      </w:r>
      <w:r>
        <w:rPr>
          <w:rFonts w:hint="eastAsia" w:ascii="Times New Roman" w:hAnsi="Times New Roman" w:eastAsia="宋体" w:cs="Times New Roman"/>
          <w:color w:val="000000" w:themeColor="text1"/>
          <w:u w:val="none" w:color="auto"/>
          <w:lang w:eastAsia="zh-CN"/>
          <w14:textFill>
            <w14:solidFill>
              <w14:schemeClr w14:val="tx1"/>
            </w14:solidFill>
          </w14:textFill>
        </w:rPr>
        <w:t>废物</w:t>
      </w:r>
      <w:r>
        <w:rPr>
          <w:rFonts w:hint="eastAsia"/>
          <w:color w:val="000000" w:themeColor="text1"/>
          <w:u w:val="none" w:color="auto"/>
          <w:lang w:eastAsia="zh-CN"/>
          <w14:textFill>
            <w14:solidFill>
              <w14:schemeClr w14:val="tx1"/>
            </w14:solidFill>
          </w14:textFill>
        </w:rPr>
        <w:t>影响</w:t>
      </w:r>
      <w:r>
        <w:rPr>
          <w:rFonts w:hint="eastAsia"/>
          <w:color w:val="000000" w:themeColor="text1"/>
          <w:u w:val="none" w:color="auto"/>
          <w:lang w:val="en-US" w:eastAsia="zh-CN"/>
          <w14:textFill>
            <w14:solidFill>
              <w14:schemeClr w14:val="tx1"/>
            </w14:solidFill>
          </w14:textFill>
        </w:rPr>
        <w:t>回顾</w:t>
      </w:r>
      <w:r>
        <w:rPr>
          <w:rFonts w:hint="eastAsia"/>
          <w:color w:val="000000" w:themeColor="text1"/>
          <w:u w:val="none" w:color="auto"/>
          <w:lang w:eastAsia="zh-CN"/>
          <w14:textFill>
            <w14:solidFill>
              <w14:schemeClr w14:val="tx1"/>
            </w14:solidFill>
          </w14:textFill>
        </w:rPr>
        <w:t>分析</w:t>
      </w:r>
    </w:p>
    <w:p>
      <w:pPr>
        <w:bidi w:val="0"/>
      </w:pPr>
      <w:r>
        <w:rPr>
          <w:rFonts w:hint="eastAsia"/>
        </w:rPr>
        <w:t>本工程土石方开挖量主要是场内施工道路、风机基础开挖等。开挖后的土料回填主要用于风机基础、</w:t>
      </w:r>
      <w:r>
        <w:rPr>
          <w:rFonts w:hint="eastAsia"/>
          <w:lang w:val="en-US" w:eastAsia="zh-CN"/>
        </w:rPr>
        <w:t>汇集</w:t>
      </w:r>
      <w:r>
        <w:rPr>
          <w:rFonts w:hint="eastAsia"/>
        </w:rPr>
        <w:t>站及安装场地平整的回填。施工弃渣不含有毒有害物质，弃渣对环境影响主要是增加水土流失。</w:t>
      </w:r>
      <w:r>
        <w:rPr>
          <w:rFonts w:hint="eastAsia"/>
          <w:lang w:val="en-US" w:eastAsia="zh-CN"/>
        </w:rPr>
        <w:t>本项目弃渣场按照水土保持方案设计实施，通过采取截排水和生态恢复措施</w:t>
      </w:r>
      <w:r>
        <w:rPr>
          <w:rFonts w:hint="eastAsia"/>
        </w:rPr>
        <w:t>，对环境造成的影响较小。施工人员生活垃圾经垃圾桶收集后，纳入了当地生活垃圾清运系统。</w:t>
      </w:r>
    </w:p>
    <w:p>
      <w:pPr>
        <w:pStyle w:val="458"/>
        <w:keepNext w:val="0"/>
        <w:keepLines/>
        <w:pageBreakBefore w:val="0"/>
        <w:widowControl w:val="0"/>
        <w:kinsoku/>
        <w:wordWrap/>
        <w:overflowPunct/>
        <w:topLinePunct w:val="0"/>
        <w:autoSpaceDE/>
        <w:autoSpaceDN/>
        <w:bidi w:val="0"/>
        <w:adjustRightInd/>
        <w:snapToGrid w:val="0"/>
        <w:ind w:firstLine="602"/>
        <w:textAlignment w:val="auto"/>
        <w:outlineLvl w:val="2"/>
        <w:rPr>
          <w:color w:val="000000" w:themeColor="text1"/>
          <w:u w:val="none" w:color="auto"/>
          <w14:textFill>
            <w14:solidFill>
              <w14:schemeClr w14:val="tx1"/>
            </w14:solidFill>
          </w14:textFill>
        </w:rPr>
      </w:pPr>
      <w:r>
        <w:rPr>
          <w:rFonts w:hint="eastAsia"/>
          <w:color w:val="000000" w:themeColor="text1"/>
          <w:u w:val="none" w:color="auto"/>
          <w:lang w:eastAsia="zh-CN"/>
          <w14:textFill>
            <w14:solidFill>
              <w14:schemeClr w14:val="tx1"/>
            </w14:solidFill>
          </w14:textFill>
        </w:rPr>
        <w:t>生态环境影响</w:t>
      </w:r>
      <w:r>
        <w:rPr>
          <w:rFonts w:hint="eastAsia"/>
          <w:color w:val="000000" w:themeColor="text1"/>
          <w:u w:val="none" w:color="auto"/>
          <w:lang w:val="en-US" w:eastAsia="zh-CN"/>
          <w14:textFill>
            <w14:solidFill>
              <w14:schemeClr w14:val="tx1"/>
            </w14:solidFill>
          </w14:textFill>
        </w:rPr>
        <w:t>回顾</w:t>
      </w:r>
      <w:r>
        <w:rPr>
          <w:rFonts w:hint="eastAsia"/>
          <w:color w:val="000000" w:themeColor="text1"/>
          <w:u w:val="none" w:color="auto"/>
          <w:lang w:eastAsia="zh-CN"/>
          <w14:textFill>
            <w14:solidFill>
              <w14:schemeClr w14:val="tx1"/>
            </w14:solidFill>
          </w14:textFill>
        </w:rPr>
        <w:t>分析</w:t>
      </w:r>
    </w:p>
    <w:p>
      <w:pPr>
        <w:keepNext w:val="0"/>
        <w:keepLines w:val="0"/>
        <w:pageBreakBefore w:val="0"/>
        <w:widowControl w:val="0"/>
        <w:kinsoku/>
        <w:wordWrap/>
        <w:overflowPunct/>
        <w:topLinePunct w:val="0"/>
        <w:autoSpaceDE/>
        <w:autoSpaceDN/>
        <w:bidi w:val="0"/>
        <w:adjustRightInd/>
        <w:snapToGrid w:val="0"/>
        <w:textAlignment w:val="auto"/>
        <w:rPr>
          <w:rFonts w:hint="eastAsia"/>
        </w:rPr>
      </w:pPr>
      <w:bookmarkStart w:id="126" w:name="_Toc5000"/>
      <w:bookmarkStart w:id="127" w:name="_Toc25599"/>
      <w:bookmarkStart w:id="128" w:name="_Toc26930_WPSOffice_Level2"/>
      <w:r>
        <w:rPr>
          <w:rFonts w:hint="eastAsia"/>
        </w:rPr>
        <w:t>本项目施工期生态影响已形成，本项目工程占地、土石方开挖、临时道路施工、弃渣堆存等工程行为对生态环境产生了不利影响。但上述工程行为不属于可能产生重大生态影响的工程行为；项目评价范围无生态环境敏感区；故无与环境敏感区有关的工程行为；</w:t>
      </w:r>
      <w:r>
        <w:rPr>
          <w:rFonts w:hint="eastAsia"/>
          <w:lang w:val="en-US" w:eastAsia="zh-CN"/>
        </w:rPr>
        <w:t>未</w:t>
      </w:r>
      <w:r>
        <w:rPr>
          <w:rFonts w:hint="eastAsia"/>
        </w:rPr>
        <w:t>产生间接与累积生态影响的工程行为；</w:t>
      </w:r>
      <w:r>
        <w:rPr>
          <w:rFonts w:hint="eastAsia"/>
          <w:lang w:val="en-US" w:eastAsia="zh-CN"/>
        </w:rPr>
        <w:t>未</w:t>
      </w:r>
      <w:r>
        <w:rPr>
          <w:rFonts w:hint="eastAsia"/>
        </w:rPr>
        <w:t>造成重大资源占用与配置的工程行为。</w:t>
      </w:r>
    </w:p>
    <w:p>
      <w:pPr>
        <w:pStyle w:val="5"/>
        <w:keepNext/>
        <w:keepLines/>
        <w:pageBreakBefore w:val="0"/>
        <w:widowControl w:val="0"/>
        <w:kinsoku/>
        <w:wordWrap/>
        <w:overflowPunct/>
        <w:topLinePunct w:val="0"/>
        <w:autoSpaceDE/>
        <w:autoSpaceDN/>
        <w:bidi w:val="0"/>
        <w:adjustRightInd/>
        <w:snapToGrid w:val="0"/>
        <w:spacing w:before="0" w:after="0"/>
        <w:textAlignment w:val="auto"/>
        <w:outlineLvl w:val="3"/>
        <w:rPr>
          <w:rFonts w:hint="eastAsia" w:ascii="宋体" w:hAnsi="宋体" w:eastAsia="宋体" w:cs="宋体"/>
          <w:u w:val="none" w:color="auto"/>
        </w:rPr>
      </w:pPr>
      <w:r>
        <w:rPr>
          <w:rFonts w:hint="eastAsia" w:ascii="宋体" w:hAnsi="宋体" w:eastAsia="宋体" w:cs="宋体"/>
          <w:u w:val="none" w:color="auto"/>
        </w:rPr>
        <w:t>土地利用变化</w:t>
      </w:r>
    </w:p>
    <w:p>
      <w:pPr>
        <w:keepNext w:val="0"/>
        <w:keepLines w:val="0"/>
        <w:pageBreakBefore w:val="0"/>
        <w:widowControl w:val="0"/>
        <w:kinsoku/>
        <w:wordWrap/>
        <w:overflowPunct/>
        <w:topLinePunct w:val="0"/>
        <w:autoSpaceDE/>
        <w:autoSpaceDN/>
        <w:bidi w:val="0"/>
        <w:adjustRightInd/>
        <w:snapToGrid w:val="0"/>
        <w:textAlignment w:val="auto"/>
        <w:rPr>
          <w:rFonts w:hint="eastAsia"/>
        </w:rPr>
      </w:pPr>
      <w:r>
        <w:rPr>
          <w:rFonts w:hint="eastAsia"/>
        </w:rPr>
        <w:t>本风电场工程永久占地为</w:t>
      </w:r>
      <w:r>
        <w:rPr>
          <w:rFonts w:hint="eastAsia"/>
          <w:lang w:val="en-US" w:eastAsia="zh-CN"/>
        </w:rPr>
        <w:t>2.13</w:t>
      </w:r>
      <w:r>
        <w:rPr>
          <w:rFonts w:hint="eastAsia"/>
        </w:rPr>
        <w:t>hm</w:t>
      </w:r>
      <w:r>
        <w:rPr>
          <w:rFonts w:hint="eastAsia"/>
          <w:vertAlign w:val="superscript"/>
        </w:rPr>
        <w:t>2</w:t>
      </w:r>
      <w:r>
        <w:rPr>
          <w:rFonts w:hint="eastAsia"/>
        </w:rPr>
        <w:t>，占地类型主要为林地、灌草地。永久占地改变了原有土地利用类型，对土地类型产生不可逆影响。工程建设前后，评价区土地利用格局发生了变化，由于本工程永久占地面积较小，仅占评价区总面积（</w:t>
      </w:r>
      <w:r>
        <w:rPr>
          <w:rFonts w:hint="eastAsia" w:cs="Times New Roman"/>
          <w:szCs w:val="22"/>
          <w:highlight w:val="none"/>
          <w:u w:val="none" w:color="auto"/>
          <w:lang w:val="en-US" w:eastAsia="zh-CN" w:bidi="ar"/>
        </w:rPr>
        <w:t>1289.33</w:t>
      </w:r>
      <w:r>
        <w:rPr>
          <w:rFonts w:hint="eastAsia"/>
        </w:rPr>
        <w:t>hm</w:t>
      </w:r>
      <w:r>
        <w:rPr>
          <w:rFonts w:hint="eastAsia"/>
          <w:vertAlign w:val="superscript"/>
        </w:rPr>
        <w:t>2</w:t>
      </w:r>
      <w:r>
        <w:rPr>
          <w:rFonts w:hint="eastAsia"/>
        </w:rPr>
        <w:t>）的0.1</w:t>
      </w:r>
      <w:r>
        <w:rPr>
          <w:rFonts w:hint="eastAsia"/>
          <w:lang w:val="en-US" w:eastAsia="zh-CN"/>
        </w:rPr>
        <w:t>7</w:t>
      </w:r>
      <w:r>
        <w:rPr>
          <w:rFonts w:hint="eastAsia"/>
        </w:rPr>
        <w:t>%，因此，工程建设对评价区土地利用变化的影响较小。</w:t>
      </w:r>
    </w:p>
    <w:p>
      <w:pPr>
        <w:pStyle w:val="5"/>
        <w:keepNext/>
        <w:keepLines/>
        <w:pageBreakBefore w:val="0"/>
        <w:widowControl w:val="0"/>
        <w:kinsoku/>
        <w:wordWrap/>
        <w:overflowPunct/>
        <w:topLinePunct w:val="0"/>
        <w:autoSpaceDE/>
        <w:autoSpaceDN/>
        <w:bidi w:val="0"/>
        <w:adjustRightInd/>
        <w:snapToGrid w:val="0"/>
        <w:spacing w:before="0" w:after="0"/>
        <w:textAlignment w:val="auto"/>
        <w:outlineLvl w:val="3"/>
        <w:rPr>
          <w:rFonts w:hint="eastAsia" w:ascii="宋体" w:hAnsi="宋体" w:eastAsia="宋体" w:cs="宋体"/>
          <w:u w:val="none" w:color="auto"/>
        </w:rPr>
      </w:pPr>
      <w:r>
        <w:rPr>
          <w:rFonts w:hint="eastAsia" w:ascii="宋体" w:hAnsi="宋体" w:eastAsia="宋体" w:cs="宋体"/>
          <w:u w:val="none" w:color="auto"/>
        </w:rPr>
        <w:t>对植物及植被的影响</w:t>
      </w:r>
      <w:bookmarkEnd w:id="126"/>
      <w:bookmarkEnd w:id="127"/>
      <w:bookmarkEnd w:id="128"/>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rPr>
          <w:rFonts w:ascii="Times New Roman" w:hAnsi="Times New Roman" w:eastAsia="宋体" w:cs="Times New Roman"/>
          <w:b/>
          <w:bCs w:val="0"/>
          <w:szCs w:val="24"/>
          <w:u w:val="none" w:color="auto"/>
        </w:rPr>
      </w:pPr>
      <w:r>
        <w:rPr>
          <w:rFonts w:hint="eastAsia" w:ascii="Times New Roman" w:hAnsi="Times New Roman" w:eastAsia="宋体" w:cs="Times New Roman"/>
          <w:b/>
          <w:bCs w:val="0"/>
          <w:szCs w:val="24"/>
          <w:u w:val="none" w:color="auto"/>
          <w:lang w:val="en-US" w:eastAsia="zh-CN"/>
        </w:rPr>
        <w:t>1、</w:t>
      </w:r>
      <w:r>
        <w:rPr>
          <w:rFonts w:ascii="Times New Roman" w:hAnsi="Times New Roman" w:eastAsia="宋体" w:cs="Times New Roman"/>
          <w:b/>
          <w:bCs w:val="0"/>
          <w:szCs w:val="24"/>
          <w:u w:val="none" w:color="auto"/>
        </w:rPr>
        <w:t>施工占地对植物及植被的影响</w:t>
      </w:r>
    </w:p>
    <w:p>
      <w:pPr>
        <w:keepNext w:val="0"/>
        <w:keepLines w:val="0"/>
        <w:pageBreakBefore w:val="0"/>
        <w:widowControl w:val="0"/>
        <w:kinsoku/>
        <w:wordWrap/>
        <w:overflowPunct/>
        <w:topLinePunct w:val="0"/>
        <w:autoSpaceDE/>
        <w:autoSpaceDN/>
        <w:bidi w:val="0"/>
        <w:adjustRightInd/>
        <w:snapToGrid w:val="0"/>
        <w:textAlignment w:val="auto"/>
        <w:rPr>
          <w:rFonts w:hint="eastAsia"/>
        </w:rPr>
      </w:pPr>
      <w:r>
        <w:rPr>
          <w:rFonts w:hint="eastAsia"/>
        </w:rPr>
        <w:t>根据资料收集及现场调查，项目评价区未发现重要植被的分布。</w:t>
      </w:r>
    </w:p>
    <w:p>
      <w:pPr>
        <w:keepNext w:val="0"/>
        <w:keepLines w:val="0"/>
        <w:pageBreakBefore w:val="0"/>
        <w:widowControl w:val="0"/>
        <w:kinsoku/>
        <w:wordWrap/>
        <w:overflowPunct/>
        <w:topLinePunct w:val="0"/>
        <w:autoSpaceDE/>
        <w:autoSpaceDN/>
        <w:bidi w:val="0"/>
        <w:adjustRightInd/>
        <w:snapToGrid w:val="0"/>
        <w:textAlignment w:val="auto"/>
        <w:rPr>
          <w:rFonts w:hint="eastAsia"/>
        </w:rPr>
      </w:pPr>
      <w:r>
        <w:rPr>
          <w:rFonts w:hint="eastAsia"/>
        </w:rPr>
        <w:t>（1）工程占地对植物及植被的影响</w:t>
      </w:r>
    </w:p>
    <w:p>
      <w:pPr>
        <w:keepNext w:val="0"/>
        <w:keepLines w:val="0"/>
        <w:pageBreakBefore w:val="0"/>
        <w:widowControl w:val="0"/>
        <w:kinsoku/>
        <w:wordWrap/>
        <w:overflowPunct/>
        <w:topLinePunct w:val="0"/>
        <w:autoSpaceDE/>
        <w:autoSpaceDN/>
        <w:bidi w:val="0"/>
        <w:adjustRightInd/>
        <w:snapToGrid w:val="0"/>
        <w:textAlignment w:val="auto"/>
        <w:rPr>
          <w:rFonts w:hint="eastAsia"/>
        </w:rPr>
      </w:pPr>
      <w:r>
        <w:rPr>
          <w:rFonts w:hint="eastAsia"/>
        </w:rPr>
        <w:t>本工程施工占地不可避免会破坏占地区植物及植被。占用土地类型主要为林地和灌草地等。</w:t>
      </w:r>
    </w:p>
    <w:p>
      <w:pPr>
        <w:keepNext w:val="0"/>
        <w:keepLines w:val="0"/>
        <w:pageBreakBefore w:val="0"/>
        <w:widowControl w:val="0"/>
        <w:kinsoku/>
        <w:wordWrap/>
        <w:overflowPunct/>
        <w:topLinePunct w:val="0"/>
        <w:autoSpaceDE/>
        <w:autoSpaceDN/>
        <w:bidi w:val="0"/>
        <w:adjustRightInd/>
        <w:snapToGrid w:val="0"/>
        <w:textAlignment w:val="auto"/>
        <w:rPr>
          <w:rFonts w:hint="eastAsia"/>
        </w:rPr>
      </w:pPr>
      <w:r>
        <w:rPr>
          <w:rFonts w:hint="eastAsia"/>
        </w:rPr>
        <w:t>①永久占地对植物及植被的影响</w:t>
      </w:r>
    </w:p>
    <w:p>
      <w:pPr>
        <w:keepNext w:val="0"/>
        <w:keepLines w:val="0"/>
        <w:pageBreakBefore w:val="0"/>
        <w:widowControl w:val="0"/>
        <w:kinsoku/>
        <w:wordWrap/>
        <w:overflowPunct/>
        <w:topLinePunct w:val="0"/>
        <w:autoSpaceDE/>
        <w:autoSpaceDN/>
        <w:bidi w:val="0"/>
        <w:adjustRightInd/>
        <w:snapToGrid w:val="0"/>
        <w:textAlignment w:val="auto"/>
        <w:rPr>
          <w:rFonts w:hint="eastAsia"/>
        </w:rPr>
      </w:pPr>
      <w:r>
        <w:rPr>
          <w:rFonts w:hint="eastAsia"/>
        </w:rPr>
        <w:t>永久占地对占地区植物及植被的影响是长期的、不可逆的。永久占地区施工将使区域内</w:t>
      </w:r>
      <w:r>
        <w:rPr>
          <w:rFonts w:hint="eastAsia"/>
          <w:lang w:val="en-US" w:eastAsia="zh-CN"/>
        </w:rPr>
        <w:t>2.13</w:t>
      </w:r>
      <w:r>
        <w:rPr>
          <w:rFonts w:hint="eastAsia"/>
        </w:rPr>
        <w:t>hm</w:t>
      </w:r>
      <w:r>
        <w:rPr>
          <w:rFonts w:hint="eastAsia"/>
          <w:vertAlign w:val="superscript"/>
        </w:rPr>
        <w:t>2</w:t>
      </w:r>
      <w:r>
        <w:rPr>
          <w:rFonts w:hint="eastAsia"/>
        </w:rPr>
        <w:t>范围内的植被遭到破坏，土地利用类型发生改变，植物个体损失，植被生物量减少。根据估算，工程永久占地造成的生物量损失为</w:t>
      </w:r>
      <w:r>
        <w:rPr>
          <w:rFonts w:hint="eastAsia" w:ascii="Times New Roman" w:hAnsi="Times New Roman" w:eastAsia="宋体" w:cs="Times New Roman"/>
          <w:color w:val="auto"/>
          <w:sz w:val="24"/>
          <w:szCs w:val="24"/>
          <w:lang w:val="en-US" w:eastAsia="zh-CN"/>
        </w:rPr>
        <w:t xml:space="preserve">71.5 </w:t>
      </w:r>
      <w:r>
        <w:rPr>
          <w:rFonts w:hint="eastAsia"/>
        </w:rPr>
        <w:t>t。</w:t>
      </w:r>
    </w:p>
    <w:p>
      <w:pPr>
        <w:keepNext w:val="0"/>
        <w:keepLines w:val="0"/>
        <w:pageBreakBefore w:val="0"/>
        <w:widowControl w:val="0"/>
        <w:kinsoku/>
        <w:wordWrap/>
        <w:overflowPunct/>
        <w:topLinePunct w:val="0"/>
        <w:autoSpaceDE/>
        <w:autoSpaceDN/>
        <w:bidi w:val="0"/>
        <w:adjustRightInd/>
        <w:snapToGrid w:val="0"/>
        <w:textAlignment w:val="auto"/>
        <w:rPr>
          <w:rFonts w:hint="eastAsia"/>
        </w:rPr>
      </w:pPr>
      <w:r>
        <w:rPr>
          <w:rFonts w:hint="eastAsia"/>
        </w:rPr>
        <w:t>根据工程布置，永久占地类型工程包括风机基础及箱式变压器、</w:t>
      </w:r>
      <w:r>
        <w:rPr>
          <w:rFonts w:hint="eastAsia"/>
          <w:lang w:val="en-US" w:eastAsia="zh-CN"/>
        </w:rPr>
        <w:t>汇集</w:t>
      </w:r>
      <w:r>
        <w:rPr>
          <w:rFonts w:hint="eastAsia"/>
        </w:rPr>
        <w:t>站等，永久占地区土地类型以林地为主，常见的群系有杉木林</w:t>
      </w:r>
      <w:r>
        <w:rPr>
          <w:rFonts w:hint="eastAsia"/>
          <w:lang w:eastAsia="zh-CN"/>
        </w:rPr>
        <w:t>、</w:t>
      </w:r>
      <w:r>
        <w:rPr>
          <w:rFonts w:hint="eastAsia"/>
        </w:rPr>
        <w:t>竹林，常见植物有毛竹、杉木、马尾松、芒萁等，受工程永久占地影响的植被为区域的主要植被类型，种类均为常见种，且永久占地面积小，个体及植被生物量减少较小，结合前文计算可知，评价区总生物量约为</w:t>
      </w:r>
      <w:r>
        <w:rPr>
          <w:rFonts w:hint="eastAsia" w:ascii="Times New Roman" w:hAnsi="Times New Roman" w:eastAsia="宋体" w:cs="Times New Roman"/>
          <w:i w:val="0"/>
          <w:iCs w:val="0"/>
          <w:color w:val="000000"/>
          <w:kern w:val="0"/>
          <w:sz w:val="24"/>
          <w:szCs w:val="24"/>
          <w:u w:val="none" w:color="auto"/>
          <w:lang w:val="en-US" w:eastAsia="zh-CN" w:bidi="ar"/>
        </w:rPr>
        <w:t>29276.45</w:t>
      </w:r>
      <w:r>
        <w:rPr>
          <w:rFonts w:hint="eastAsia"/>
        </w:rPr>
        <w:t>t，永久占地造成的生物量损失约占评价区总生物量的0.</w:t>
      </w:r>
      <w:r>
        <w:rPr>
          <w:rFonts w:hint="eastAsia"/>
          <w:lang w:val="en-US" w:eastAsia="zh-CN"/>
        </w:rPr>
        <w:t>24</w:t>
      </w:r>
      <w:r>
        <w:rPr>
          <w:rFonts w:hint="eastAsia"/>
        </w:rPr>
        <w:t>%。因此，本工程永久占地对评价区内植物及植被影响较小，仅为个体损失、植被生物量减少，且项目永久占用林地均在林业</w:t>
      </w:r>
      <w:r>
        <w:rPr>
          <w:rFonts w:hint="eastAsia"/>
          <w:lang w:val="en-US" w:eastAsia="zh-CN"/>
        </w:rPr>
        <w:t>部门</w:t>
      </w:r>
      <w:r>
        <w:rPr>
          <w:rFonts w:hint="eastAsia"/>
        </w:rPr>
        <w:t>缴纳了生态补偿费用，用于异地生态补偿。施工结束后，工程区被破坏的植被通过异地生态补偿可有效缓解其生态影响，因此，本工程永久占地对占地区植物种类、植被类型及生物量的影响较小。</w:t>
      </w:r>
    </w:p>
    <w:p>
      <w:pPr>
        <w:keepNext w:val="0"/>
        <w:keepLines w:val="0"/>
        <w:pageBreakBefore w:val="0"/>
        <w:widowControl w:val="0"/>
        <w:kinsoku/>
        <w:wordWrap/>
        <w:overflowPunct/>
        <w:topLinePunct w:val="0"/>
        <w:autoSpaceDE/>
        <w:autoSpaceDN/>
        <w:bidi w:val="0"/>
        <w:adjustRightInd/>
        <w:snapToGrid w:val="0"/>
        <w:textAlignment w:val="auto"/>
        <w:rPr>
          <w:rFonts w:hint="eastAsia"/>
        </w:rPr>
      </w:pPr>
      <w:r>
        <w:rPr>
          <w:rFonts w:hint="eastAsia"/>
        </w:rPr>
        <w:t>②临时占地对植物及植被的影响</w:t>
      </w:r>
    </w:p>
    <w:p>
      <w:pPr>
        <w:keepNext w:val="0"/>
        <w:keepLines w:val="0"/>
        <w:pageBreakBefore w:val="0"/>
        <w:widowControl w:val="0"/>
        <w:kinsoku/>
        <w:wordWrap/>
        <w:overflowPunct/>
        <w:topLinePunct w:val="0"/>
        <w:autoSpaceDE/>
        <w:autoSpaceDN/>
        <w:bidi w:val="0"/>
        <w:adjustRightInd/>
        <w:snapToGrid w:val="0"/>
        <w:textAlignment w:val="auto"/>
        <w:rPr>
          <w:rFonts w:hint="eastAsia"/>
        </w:rPr>
      </w:pPr>
      <w:r>
        <w:rPr>
          <w:rFonts w:hint="eastAsia"/>
        </w:rPr>
        <w:t>根据工程布置，临时占地的主要工程类型包括施工道路、弃渣场、安装场地等，本工程临时占地区土地类型以林地为主。工程临时占地面积约为</w:t>
      </w:r>
      <w:r>
        <w:rPr>
          <w:rFonts w:hint="eastAsia"/>
          <w:highlight w:val="none"/>
          <w:lang w:val="en-US" w:eastAsia="zh-CN"/>
        </w:rPr>
        <w:t>41.109</w:t>
      </w:r>
      <w:r>
        <w:rPr>
          <w:rFonts w:hint="eastAsia"/>
        </w:rPr>
        <w:t>hm</w:t>
      </w:r>
      <w:r>
        <w:rPr>
          <w:rFonts w:hint="eastAsia"/>
          <w:vertAlign w:val="superscript"/>
        </w:rPr>
        <w:t>2</w:t>
      </w:r>
      <w:r>
        <w:rPr>
          <w:rFonts w:hint="eastAsia"/>
        </w:rPr>
        <w:t>，由前文可知，临时占地造成的生物量损失约为</w:t>
      </w:r>
      <w:r>
        <w:rPr>
          <w:rFonts w:hint="eastAsia" w:ascii="Times New Roman" w:hAnsi="Times New Roman" w:eastAsia="宋体" w:cs="Times New Roman"/>
          <w:color w:val="auto"/>
          <w:sz w:val="24"/>
          <w:szCs w:val="24"/>
          <w:lang w:val="en-US" w:eastAsia="zh-CN"/>
        </w:rPr>
        <w:t>1377.199</w:t>
      </w:r>
      <w:r>
        <w:rPr>
          <w:rFonts w:hint="eastAsia"/>
        </w:rPr>
        <w:t>t。</w:t>
      </w:r>
    </w:p>
    <w:p>
      <w:pPr>
        <w:keepNext w:val="0"/>
        <w:keepLines w:val="0"/>
        <w:pageBreakBefore w:val="0"/>
        <w:widowControl w:val="0"/>
        <w:kinsoku/>
        <w:wordWrap/>
        <w:overflowPunct/>
        <w:topLinePunct w:val="0"/>
        <w:autoSpaceDE/>
        <w:autoSpaceDN/>
        <w:bidi w:val="0"/>
        <w:adjustRightInd/>
        <w:snapToGrid w:val="0"/>
        <w:textAlignment w:val="auto"/>
        <w:rPr>
          <w:rFonts w:hint="eastAsia" w:ascii="Times New Roman" w:hAnsi="Times New Roman" w:eastAsia="宋体" w:cs="Times New Roman"/>
        </w:rPr>
      </w:pPr>
      <w:r>
        <w:rPr>
          <w:rFonts w:hint="eastAsia" w:ascii="Times New Roman" w:hAnsi="Times New Roman" w:eastAsia="宋体" w:cs="Times New Roman"/>
        </w:rPr>
        <w:t>临时占地对占地区植物及植被的影响是暂时的，除了道路占地外</w:t>
      </w: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场内检修道路需保留4m宽度，用于运营期检修维护风机使用，亦可作为森林防火通道使用</w:t>
      </w:r>
      <w:r>
        <w:rPr>
          <w:rFonts w:hint="eastAsia" w:ascii="Times New Roman" w:hAnsi="Times New Roman" w:eastAsia="宋体" w:cs="Times New Roman"/>
          <w:lang w:eastAsia="zh-CN"/>
        </w:rPr>
        <w:t>）</w:t>
      </w:r>
      <w:r>
        <w:rPr>
          <w:rFonts w:hint="eastAsia" w:ascii="Times New Roman" w:hAnsi="Times New Roman" w:eastAsia="宋体" w:cs="Times New Roman"/>
        </w:rPr>
        <w:t>，其它</w:t>
      </w:r>
      <w:r>
        <w:rPr>
          <w:rFonts w:hint="eastAsia" w:ascii="Times New Roman" w:hAnsi="Times New Roman" w:eastAsia="宋体" w:cs="Times New Roman"/>
          <w:lang w:val="en-US" w:eastAsia="zh-CN"/>
        </w:rPr>
        <w:t>场地</w:t>
      </w:r>
      <w:r>
        <w:rPr>
          <w:rFonts w:hint="eastAsia" w:ascii="Times New Roman" w:hAnsi="Times New Roman" w:eastAsia="宋体" w:cs="Times New Roman"/>
        </w:rPr>
        <w:t>均</w:t>
      </w:r>
      <w:r>
        <w:rPr>
          <w:rFonts w:hint="eastAsia" w:ascii="Times New Roman" w:hAnsi="Times New Roman" w:eastAsia="宋体" w:cs="Times New Roman"/>
          <w:lang w:val="en-US" w:eastAsia="zh-CN"/>
        </w:rPr>
        <w:t>进行生态</w:t>
      </w:r>
      <w:r>
        <w:rPr>
          <w:rFonts w:hint="eastAsia" w:ascii="Times New Roman" w:hAnsi="Times New Roman" w:eastAsia="宋体" w:cs="Times New Roman"/>
        </w:rPr>
        <w:t>恢复；但项目应根据周边环境条件及植被分布情况，尽量缩小和控制临时占地范围，道路尽可能利用已有道路，减少道路占地植被破坏。</w:t>
      </w:r>
    </w:p>
    <w:p>
      <w:pPr>
        <w:keepNext w:val="0"/>
        <w:keepLines w:val="0"/>
        <w:pageBreakBefore w:val="0"/>
        <w:widowControl w:val="0"/>
        <w:kinsoku/>
        <w:wordWrap/>
        <w:overflowPunct/>
        <w:topLinePunct w:val="0"/>
        <w:autoSpaceDE/>
        <w:autoSpaceDN/>
        <w:bidi w:val="0"/>
        <w:adjustRightInd/>
        <w:snapToGrid w:val="0"/>
        <w:textAlignment w:val="auto"/>
      </w:pPr>
      <w:r>
        <w:rPr>
          <w:rFonts w:hint="eastAsia"/>
        </w:rPr>
        <w:t>根据现场调查，本工程临时占地区林地上植被多以针叶林、阔叶林、灌丛为主，常见的群系有竹林、杉木林、马尾松林，常见的植物有毛竹、杉树、马尾松、芒萁灌丛等，受工程临时占地影响的植物均为常见种，受工程临时占地影响的植被均为常见类型，且临时占地造成的生物量损失约占评价区总生物量的4.</w:t>
      </w:r>
      <w:r>
        <w:rPr>
          <w:rFonts w:hint="eastAsia"/>
          <w:lang w:val="en-US" w:eastAsia="zh-CN"/>
        </w:rPr>
        <w:t>7</w:t>
      </w:r>
      <w:r>
        <w:rPr>
          <w:rFonts w:hint="eastAsia"/>
        </w:rPr>
        <w:t>%。因此本工程临时占地对评价区内植物及植被影响较小，仅为个体损失、植被生物量减少，随着施工结束，部分临时施工区植物及植被在适宜条件下可迅速得到恢复。</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rPr>
          <w:rFonts w:hint="eastAsia" w:ascii="Times New Roman" w:hAnsi="Times New Roman" w:eastAsia="宋体" w:cs="Times New Roman"/>
          <w:b/>
          <w:bCs w:val="0"/>
          <w:szCs w:val="24"/>
          <w:u w:val="none" w:color="auto"/>
          <w:lang w:val="en-US" w:eastAsia="zh-CN"/>
        </w:rPr>
      </w:pPr>
      <w:r>
        <w:rPr>
          <w:rFonts w:hint="eastAsia" w:ascii="Times New Roman" w:hAnsi="Times New Roman" w:eastAsia="宋体" w:cs="Times New Roman"/>
          <w:b/>
          <w:bCs w:val="0"/>
          <w:szCs w:val="24"/>
          <w:u w:val="none" w:color="auto"/>
          <w:lang w:val="en-US" w:eastAsia="zh-CN"/>
        </w:rPr>
        <w:t>2、施工活动对植物及植被的影响</w:t>
      </w:r>
    </w:p>
    <w:p>
      <w:pPr>
        <w:keepNext w:val="0"/>
        <w:keepLines w:val="0"/>
        <w:pageBreakBefore w:val="0"/>
        <w:widowControl w:val="0"/>
        <w:kinsoku/>
        <w:wordWrap/>
        <w:overflowPunct/>
        <w:topLinePunct w:val="0"/>
        <w:autoSpaceDE/>
        <w:autoSpaceDN/>
        <w:bidi w:val="0"/>
        <w:adjustRightInd/>
        <w:snapToGrid w:val="0"/>
        <w:textAlignment w:val="auto"/>
      </w:pPr>
      <w:r>
        <w:t>施工期施工活动对评价区植物及植被的影响因素主要有：施工活动产生的弃渣、废水、废气、固废物及人为干扰等。依据施工活动对植物的影响方式，可分为直接影响及间接影响，直接影响主要是指人员活动、车辆碾压等会使周边植物个体损失，植被生物量减少；间接影响主要是指施工过程中产生的废气、废水、弃渣、固废、扬尘等会使周边植物的生命活动受阻。</w:t>
      </w:r>
    </w:p>
    <w:p>
      <w:pPr>
        <w:keepNext w:val="0"/>
        <w:keepLines w:val="0"/>
        <w:pageBreakBefore w:val="0"/>
        <w:widowControl w:val="0"/>
        <w:kinsoku/>
        <w:wordWrap/>
        <w:overflowPunct/>
        <w:topLinePunct w:val="0"/>
        <w:autoSpaceDE/>
        <w:autoSpaceDN/>
        <w:bidi w:val="0"/>
        <w:adjustRightInd/>
        <w:snapToGrid w:val="0"/>
        <w:textAlignment w:val="auto"/>
      </w:pPr>
      <w:r>
        <w:rPr>
          <w:rFonts w:hint="eastAsia"/>
        </w:rPr>
        <w:t>（1）</w:t>
      </w:r>
      <w:r>
        <w:t>废气对植物及植被的影响：施工期废气主要来源于燃油机械的尾气，其主要污染物为SO</w:t>
      </w:r>
      <w:r>
        <w:rPr>
          <w:vertAlign w:val="subscript"/>
        </w:rPr>
        <w:t>2</w:t>
      </w:r>
      <w:r>
        <w:t>、NO</w:t>
      </w:r>
      <w:r>
        <w:rPr>
          <w:vertAlign w:val="subscript"/>
        </w:rPr>
        <w:t>2</w:t>
      </w:r>
      <w:r>
        <w:t>、CO等。废气对植物的影响主要是在叶脉间或边缘出现不规则水渍状，导致叶片逐渐坏死，植物光合生产受阻，生长发育</w:t>
      </w:r>
      <w:r>
        <w:rPr>
          <w:rFonts w:hint="eastAsia"/>
        </w:rPr>
        <w:t>变缓</w:t>
      </w:r>
      <w:r>
        <w:t>。由于本工程施工较分散，燃油机械相对较少，燃油机械的废气排放量相对较低，再加上施工期机械尾气属移动线源排放，因此施工期废气对植物及植被的影响有限。</w:t>
      </w:r>
    </w:p>
    <w:p>
      <w:pPr>
        <w:keepNext w:val="0"/>
        <w:keepLines w:val="0"/>
        <w:pageBreakBefore w:val="0"/>
        <w:widowControl w:val="0"/>
        <w:kinsoku/>
        <w:wordWrap/>
        <w:overflowPunct/>
        <w:topLinePunct w:val="0"/>
        <w:autoSpaceDE/>
        <w:autoSpaceDN/>
        <w:bidi w:val="0"/>
        <w:adjustRightInd/>
        <w:snapToGrid w:val="0"/>
        <w:textAlignment w:val="auto"/>
      </w:pPr>
      <w:r>
        <w:rPr>
          <w:rFonts w:hint="eastAsia"/>
        </w:rPr>
        <w:t>（2）</w:t>
      </w:r>
      <w:r>
        <w:t>废水对植物及植被的影响：施工期废水分为生产废水和生活污水，生产废水主要来源于砂石料冲洗废水和机械检修场含油废水等，废水对植物的影响主要是废水的随意排放会改变土壤理化性质，改变植物生长发育环境，进而影响其正常生命活动。</w:t>
      </w:r>
      <w:r>
        <w:rPr>
          <w:rFonts w:hint="eastAsia"/>
          <w:lang w:val="en-US" w:eastAsia="zh-CN"/>
        </w:rPr>
        <w:t>本项目施工期生产废水经处理后回用，未对植物和植被造成影响</w:t>
      </w:r>
      <w:r>
        <w:t>。</w:t>
      </w:r>
    </w:p>
    <w:p>
      <w:pPr>
        <w:keepNext w:val="0"/>
        <w:keepLines w:val="0"/>
        <w:pageBreakBefore w:val="0"/>
        <w:widowControl w:val="0"/>
        <w:kinsoku/>
        <w:wordWrap/>
        <w:overflowPunct/>
        <w:topLinePunct w:val="0"/>
        <w:autoSpaceDE/>
        <w:autoSpaceDN/>
        <w:bidi w:val="0"/>
        <w:adjustRightInd/>
        <w:snapToGrid w:val="0"/>
        <w:textAlignment w:val="auto"/>
        <w:rPr>
          <w:rFonts w:hint="default" w:eastAsia="宋体"/>
          <w:lang w:val="en-US" w:eastAsia="zh-CN"/>
        </w:rPr>
      </w:pPr>
      <w:r>
        <w:rPr>
          <w:rFonts w:hint="eastAsia"/>
        </w:rPr>
        <w:t>（3）</w:t>
      </w:r>
      <w:r>
        <w:t>弃渣对植物及植被的影响：弃渣主要来源于基础开挖、施工场地以及施工道路建设等，弃渣的随意堆放不仅会压覆区域内植物及植被，改变区域生境条件，还可能导致局部区域的水土流失。</w:t>
      </w:r>
      <w:r>
        <w:rPr>
          <w:rFonts w:hint="eastAsia"/>
          <w:lang w:val="en-US" w:eastAsia="zh-CN"/>
        </w:rPr>
        <w:t>本项目施工弃渣规范堆存于弃渣场，弃渣场进行了生态恢复，水土流失得到了控制。</w:t>
      </w:r>
    </w:p>
    <w:p>
      <w:pPr>
        <w:keepNext w:val="0"/>
        <w:keepLines w:val="0"/>
        <w:pageBreakBefore w:val="0"/>
        <w:widowControl w:val="0"/>
        <w:kinsoku/>
        <w:wordWrap/>
        <w:overflowPunct/>
        <w:topLinePunct w:val="0"/>
        <w:autoSpaceDE/>
        <w:autoSpaceDN/>
        <w:bidi w:val="0"/>
        <w:adjustRightInd/>
        <w:snapToGrid w:val="0"/>
        <w:textAlignment w:val="auto"/>
      </w:pPr>
      <w:r>
        <w:rPr>
          <w:rFonts w:hint="eastAsia"/>
        </w:rPr>
        <w:t>（4）</w:t>
      </w:r>
      <w:r>
        <w:t>扬尘对植物及植被的影响：扬尘主要来源于开辟施工便道，土石方调配，建筑物施工，直至工程竣工后场地清理、恢复等诸多工程，其中以运输车辆引起的二次扬尘影响时间最长，对周围植物及植被影响最严重。扬尘粗颗粒随风飘落到附近地面或植物叶、茎、花表面，会使其生命活动受到一定影响。由于评价区处亚热带季风气候区，区域内空气湿度相对较大，扬尘扩散范围相对较小，</w:t>
      </w:r>
      <w:r>
        <w:rPr>
          <w:rFonts w:hint="eastAsia"/>
          <w:lang w:val="en-US" w:eastAsia="zh-CN"/>
        </w:rPr>
        <w:t>本项目</w:t>
      </w:r>
      <w:r>
        <w:t>施工期采取</w:t>
      </w:r>
      <w:r>
        <w:rPr>
          <w:rFonts w:hint="eastAsia"/>
          <w:lang w:eastAsia="zh-CN"/>
        </w:rPr>
        <w:t>了</w:t>
      </w:r>
      <w:r>
        <w:t>洒水抑尘</w:t>
      </w:r>
      <w:r>
        <w:rPr>
          <w:rFonts w:hint="eastAsia"/>
          <w:lang w:eastAsia="zh-CN"/>
        </w:rPr>
        <w:t>、</w:t>
      </w:r>
      <w:r>
        <w:rPr>
          <w:rFonts w:hint="eastAsia"/>
          <w:lang w:val="en-US" w:eastAsia="zh-CN"/>
        </w:rPr>
        <w:t>临时覆盖</w:t>
      </w:r>
      <w:r>
        <w:t>等措施，扬尘对周围植物及植被的影响</w:t>
      </w:r>
      <w:r>
        <w:rPr>
          <w:rFonts w:hint="eastAsia"/>
          <w:lang w:val="en-US" w:eastAsia="zh-CN"/>
        </w:rPr>
        <w:t>较小</w:t>
      </w:r>
      <w:r>
        <w:t>。</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eastAsia="宋体" w:cs="Times New Roman"/>
          <w:b/>
          <w:bCs w:val="0"/>
          <w:szCs w:val="24"/>
          <w:u w:val="none" w:color="auto"/>
          <w:lang w:val="en-US" w:eastAsia="zh-CN"/>
        </w:rPr>
      </w:pPr>
      <w:r>
        <w:rPr>
          <w:rFonts w:hint="eastAsia" w:ascii="Times New Roman" w:hAnsi="Times New Roman" w:eastAsia="宋体" w:cs="Times New Roman"/>
          <w:b/>
          <w:bCs w:val="0"/>
          <w:szCs w:val="24"/>
          <w:u w:val="none" w:color="auto"/>
          <w:lang w:val="en-US" w:eastAsia="zh-CN"/>
        </w:rPr>
        <w:t>3、人为干扰对植物及植被的影响</w:t>
      </w:r>
    </w:p>
    <w:p>
      <w:pPr>
        <w:keepNext w:val="0"/>
        <w:keepLines w:val="0"/>
        <w:pageBreakBefore w:val="0"/>
        <w:widowControl w:val="0"/>
        <w:kinsoku/>
        <w:wordWrap/>
        <w:overflowPunct/>
        <w:topLinePunct w:val="0"/>
        <w:autoSpaceDE/>
        <w:autoSpaceDN/>
        <w:bidi w:val="0"/>
        <w:adjustRightInd/>
        <w:snapToGrid w:val="0"/>
        <w:textAlignment w:val="auto"/>
      </w:pPr>
      <w:r>
        <w:rPr>
          <w:rFonts w:hint="eastAsia"/>
        </w:rPr>
        <w:t>施工人员及机械增多，施工人员砍伐、踩踏及施工机械碾压等会破坏区域内植物及其生境。由于本工程占地区多集中分布于山脊区，占地区人为活动范围相对较小，同时施工期人为干扰等可通过加强宣传教育活动，加强施工监理，在施工前划定施工范围，规范施工人员活动等进行缓解，在相对措施得到落实后，人为干扰对植物及植被的影响较小</w:t>
      </w:r>
      <w:r>
        <w:t>。</w:t>
      </w:r>
    </w:p>
    <w:p>
      <w:pPr>
        <w:keepNext w:val="0"/>
        <w:keepLines w:val="0"/>
        <w:pageBreakBefore w:val="0"/>
        <w:widowControl w:val="0"/>
        <w:kinsoku/>
        <w:wordWrap/>
        <w:overflowPunct/>
        <w:topLinePunct w:val="0"/>
        <w:autoSpaceDE/>
        <w:autoSpaceDN/>
        <w:bidi w:val="0"/>
        <w:adjustRightInd/>
        <w:snapToGrid w:val="0"/>
        <w:spacing w:line="360" w:lineRule="auto"/>
        <w:ind w:firstLine="480"/>
        <w:textAlignment w:val="auto"/>
        <w:rPr>
          <w:rFonts w:hint="eastAsia" w:ascii="Times New Roman" w:hAnsi="Times New Roman" w:eastAsia="宋体" w:cs="Times New Roman"/>
          <w:b/>
          <w:bCs w:val="0"/>
          <w:szCs w:val="24"/>
          <w:u w:val="none" w:color="auto"/>
          <w:lang w:val="en-US" w:eastAsia="zh-CN"/>
        </w:rPr>
      </w:pPr>
      <w:r>
        <w:rPr>
          <w:rFonts w:hint="eastAsia" w:ascii="Times New Roman" w:hAnsi="Times New Roman" w:eastAsia="宋体" w:cs="Times New Roman"/>
          <w:b/>
          <w:bCs w:val="0"/>
          <w:szCs w:val="24"/>
          <w:u w:val="none" w:color="auto"/>
          <w:lang w:val="en-US" w:eastAsia="zh-CN"/>
        </w:rPr>
        <w:t>4、水土流失对植物及植被的影响</w:t>
      </w:r>
    </w:p>
    <w:p>
      <w:pPr>
        <w:keepNext w:val="0"/>
        <w:keepLines w:val="0"/>
        <w:pageBreakBefore w:val="0"/>
        <w:widowControl w:val="0"/>
        <w:kinsoku/>
        <w:wordWrap/>
        <w:overflowPunct/>
        <w:topLinePunct w:val="0"/>
        <w:autoSpaceDE/>
        <w:autoSpaceDN/>
        <w:bidi w:val="0"/>
        <w:adjustRightInd/>
        <w:snapToGrid w:val="0"/>
        <w:textAlignment w:val="auto"/>
        <w:rPr>
          <w:rFonts w:hint="eastAsia"/>
          <w:color w:val="000000" w:themeColor="text1"/>
          <w:u w:val="none" w:color="auto"/>
          <w14:textFill>
            <w14:solidFill>
              <w14:schemeClr w14:val="tx1"/>
            </w14:solidFill>
          </w14:textFill>
        </w:rPr>
      </w:pPr>
      <w:r>
        <w:rPr>
          <w:rFonts w:hint="eastAsia"/>
        </w:rPr>
        <w:t>根据现场调查</w:t>
      </w:r>
      <w:r>
        <w:t>情况，风电场区域内</w:t>
      </w:r>
      <w:r>
        <w:rPr>
          <w:rFonts w:hint="eastAsia"/>
        </w:rPr>
        <w:t>施工范围</w:t>
      </w:r>
      <w:r>
        <w:t>内有</w:t>
      </w:r>
      <w:r>
        <w:rPr>
          <w:rFonts w:hint="eastAsia"/>
        </w:rPr>
        <w:t>表土</w:t>
      </w:r>
      <w:r>
        <w:t>裸露情况存在，</w:t>
      </w:r>
      <w:r>
        <w:rPr>
          <w:rFonts w:hint="eastAsia"/>
          <w:lang w:val="en-US" w:eastAsia="zh-CN"/>
        </w:rPr>
        <w:t>主要位于各</w:t>
      </w:r>
      <w:r>
        <w:t>风机</w:t>
      </w:r>
      <w:r>
        <w:rPr>
          <w:rFonts w:hint="eastAsia"/>
          <w:lang w:val="en-US" w:eastAsia="zh-CN"/>
        </w:rPr>
        <w:t>平台和部分道路边坡</w:t>
      </w:r>
      <w:r>
        <w:t>处</w:t>
      </w:r>
      <w:r>
        <w:rPr>
          <w:rFonts w:hint="eastAsia"/>
          <w:lang w:eastAsia="zh-CN"/>
        </w:rPr>
        <w:t>，</w:t>
      </w:r>
      <w:r>
        <w:t>受雨水冲击时易造成水土流失，将对植物及其生境造成不利影响，同时，水土流失易导致土壤中的有机质也不断流失，从而破坏了土壤的结构，增加植被复垦工作的难度。本工程采取表层土剥离并单独保存、开挖区下游侧拦挡、场地截排水、弃渣场综合防护、施工场地及时绿化等措施为水土流失做保障，只要切实落实水土保持方案，本工程水土流失对区域植物及植被的影响可以缓解</w:t>
      </w:r>
      <w:r>
        <w:rPr>
          <w:rFonts w:hint="eastAsia"/>
        </w:rPr>
        <w:t>。</w:t>
      </w:r>
    </w:p>
    <w:p>
      <w:pPr>
        <w:pStyle w:val="5"/>
        <w:keepNext/>
        <w:keepLines/>
        <w:pageBreakBefore w:val="0"/>
        <w:widowControl w:val="0"/>
        <w:kinsoku/>
        <w:wordWrap/>
        <w:overflowPunct/>
        <w:topLinePunct w:val="0"/>
        <w:autoSpaceDE/>
        <w:autoSpaceDN/>
        <w:bidi w:val="0"/>
        <w:adjustRightInd/>
        <w:snapToGrid w:val="0"/>
        <w:spacing w:before="0" w:after="0"/>
        <w:textAlignment w:val="auto"/>
        <w:outlineLvl w:val="3"/>
        <w:rPr>
          <w:rFonts w:hint="eastAsia" w:ascii="宋体" w:hAnsi="宋体" w:eastAsia="宋体" w:cs="宋体"/>
          <w:u w:val="none" w:color="auto"/>
        </w:rPr>
      </w:pPr>
      <w:bookmarkStart w:id="129" w:name="_Toc12046_WPSOffice_Level2"/>
      <w:bookmarkStart w:id="130" w:name="_Toc24215"/>
      <w:bookmarkStart w:id="131" w:name="_Toc10485"/>
      <w:r>
        <w:rPr>
          <w:rFonts w:hint="eastAsia" w:ascii="宋体" w:hAnsi="宋体" w:eastAsia="宋体" w:cs="宋体"/>
          <w:u w:val="none" w:color="auto"/>
        </w:rPr>
        <w:t>对陆生动物的影响</w:t>
      </w:r>
      <w:bookmarkEnd w:id="129"/>
      <w:bookmarkEnd w:id="130"/>
      <w:bookmarkEnd w:id="131"/>
    </w:p>
    <w:p>
      <w:pPr>
        <w:pStyle w:val="2565"/>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476" w:leftChars="0"/>
        <w:textAlignment w:val="auto"/>
        <w:rPr>
          <w:b/>
          <w:bCs w:val="0"/>
          <w:sz w:val="24"/>
          <w:szCs w:val="32"/>
          <w:u w:val="none" w:color="auto"/>
        </w:rPr>
      </w:pPr>
      <w:r>
        <w:rPr>
          <w:rFonts w:hint="eastAsia"/>
          <w:b/>
          <w:bCs w:val="0"/>
          <w:sz w:val="24"/>
          <w:szCs w:val="32"/>
          <w:u w:val="none" w:color="auto"/>
          <w:lang w:val="en-US" w:eastAsia="zh-CN"/>
        </w:rPr>
        <w:t>1、</w:t>
      </w:r>
      <w:r>
        <w:rPr>
          <w:b/>
          <w:bCs w:val="0"/>
          <w:sz w:val="24"/>
          <w:szCs w:val="32"/>
          <w:u w:val="none" w:color="auto"/>
        </w:rPr>
        <w:t>施工道路修建</w:t>
      </w:r>
      <w:r>
        <w:rPr>
          <w:rFonts w:hint="eastAsia"/>
          <w:b/>
          <w:bCs w:val="0"/>
          <w:sz w:val="24"/>
          <w:szCs w:val="32"/>
          <w:u w:val="none" w:color="auto"/>
        </w:rPr>
        <w:t>、</w:t>
      </w:r>
      <w:r>
        <w:rPr>
          <w:b/>
          <w:bCs w:val="0"/>
          <w:sz w:val="24"/>
          <w:szCs w:val="32"/>
          <w:u w:val="none" w:color="auto"/>
        </w:rPr>
        <w:t>工程占地对动物的影响</w:t>
      </w:r>
    </w:p>
    <w:p>
      <w:pPr>
        <w:bidi w:val="0"/>
      </w:pPr>
      <w:r>
        <w:t>本项目工程新建道路</w:t>
      </w:r>
      <w:r>
        <w:rPr>
          <w:rFonts w:hint="eastAsia"/>
          <w:lang w:val="en-US" w:eastAsia="zh-CN"/>
        </w:rPr>
        <w:t>为</w:t>
      </w:r>
      <w:r>
        <w:t>泥结碎石路面。集电线路</w:t>
      </w:r>
      <w:r>
        <w:rPr>
          <w:rFonts w:hint="eastAsia"/>
        </w:rPr>
        <w:t>、</w:t>
      </w:r>
      <w:r>
        <w:t>场内道路占用土地利用类型主要有灌草地</w:t>
      </w:r>
      <w:r>
        <w:rPr>
          <w:rFonts w:hint="eastAsia"/>
        </w:rPr>
        <w:t>和</w:t>
      </w:r>
      <w:r>
        <w:t>林地。施工道路修建对动物的影响有：生境丧失及生境片段化的影响、对动物活动的阻隔影响</w:t>
      </w:r>
      <w:r>
        <w:rPr>
          <w:rFonts w:hint="eastAsia"/>
        </w:rPr>
        <w:t>等</w:t>
      </w:r>
      <w:r>
        <w:t>。</w:t>
      </w:r>
    </w:p>
    <w:p>
      <w:pPr>
        <w:bidi w:val="0"/>
      </w:pPr>
      <w:r>
        <w:rPr>
          <w:rFonts w:hint="eastAsia"/>
        </w:rPr>
        <w:t>①</w:t>
      </w:r>
      <w:r>
        <w:t>生境丧失及生境片段化的影响</w:t>
      </w:r>
      <w:r>
        <w:rPr>
          <w:rFonts w:hint="eastAsia"/>
        </w:rPr>
        <w:t>：施工道路的占地伴随着两爬类生境的丧失、生境的片段化，两爬类动物被迫寻找新的生活环境，从而加剧种内种间竞争。片段化的两爬的生境，使其觅食范围、活动区域减少，对其栖息、觅食、求偶繁殖等有一定的影响。施工道路的修建会使得鸟类、兽类的部分生境被占用，但鸟类、兽类的迁移能力较强，且道路周围类似生境较多，其可以迁往其他适宜其栖息、觅食、求偶繁殖等活动区生境，故施工道路的修建对鸟类和兽类的影响不大。</w:t>
      </w:r>
    </w:p>
    <w:p>
      <w:pPr>
        <w:bidi w:val="0"/>
      </w:pPr>
      <w:r>
        <w:rPr>
          <w:rFonts w:hint="eastAsia"/>
        </w:rPr>
        <w:t>②</w:t>
      </w:r>
      <w:r>
        <w:t>对动物活动的阻隔影响</w:t>
      </w:r>
      <w:r>
        <w:rPr>
          <w:rFonts w:hint="eastAsia"/>
        </w:rPr>
        <w:t>：施工道路修建时材料运输车辆通行，以及公路本身，阻断了两边动物的正常交流，对其觅食、求偶繁殖等活动有一定的影响，可能造成其种群数量的下降。这类影响也主要是针对运动能力较弱的两栖、爬行类动物。这些影响在施工结束后，通过一定的植被恢复措施，对破坏的动物生境进行恢复，可以使两边动物类群恢复原有种群数量及密度，且施工道路路面为泥结碎石，施工结束后通行车辆较少，一些草本植被可以自然生长，因此动物生境丧失及生境片断化、公路的阻隔作用对两栖类、爬行类和兽类的影响不大。</w:t>
      </w:r>
    </w:p>
    <w:p>
      <w:pPr>
        <w:bidi w:val="0"/>
      </w:pPr>
      <w:r>
        <w:rPr>
          <w:rFonts w:hint="eastAsia"/>
        </w:rPr>
        <w:t>③</w:t>
      </w:r>
      <w:r>
        <w:t>工程占地对动物的影响</w:t>
      </w:r>
      <w:r>
        <w:rPr>
          <w:rFonts w:hint="eastAsia"/>
        </w:rPr>
        <w:t>：</w:t>
      </w:r>
      <w:r>
        <w:t>本工程占地区常见的陆生野生动物主要为鸟类和小型兽类，其中鸟类以小型鸣禽为主。本项目占地类型主要为</w:t>
      </w:r>
      <w:r>
        <w:rPr>
          <w:rFonts w:hint="eastAsia"/>
        </w:rPr>
        <w:t>灌丛及</w:t>
      </w:r>
      <w:r>
        <w:t>灌草丛和林地。</w:t>
      </w:r>
    </w:p>
    <w:p>
      <w:pPr>
        <w:bidi w:val="0"/>
      </w:pPr>
      <w:r>
        <w:rPr>
          <w:rFonts w:hint="eastAsia"/>
        </w:rPr>
        <w:t>灌丛及</w:t>
      </w:r>
      <w:r>
        <w:t>灌草丛和混交林是环颈雉、灰胸竹鸡以及鸦雀科鸟类的主要筑巢区，</w:t>
      </w:r>
      <w:r>
        <w:rPr>
          <w:rFonts w:hint="eastAsia"/>
          <w:lang w:val="en-US" w:eastAsia="zh-CN"/>
        </w:rPr>
        <w:t>施工期间，施工单位已主动避让筑巢区，未对</w:t>
      </w:r>
      <w:r>
        <w:rPr>
          <w:rFonts w:hint="eastAsia"/>
        </w:rPr>
        <w:t>鸟类的筑巢繁殖</w:t>
      </w:r>
      <w:r>
        <w:rPr>
          <w:rFonts w:hint="eastAsia"/>
          <w:lang w:val="en-US" w:eastAsia="zh-CN"/>
        </w:rPr>
        <w:t>产生</w:t>
      </w:r>
      <w:r>
        <w:rPr>
          <w:rFonts w:hint="eastAsia"/>
        </w:rPr>
        <w:t>影响。</w:t>
      </w:r>
    </w:p>
    <w:p>
      <w:pPr>
        <w:bidi w:val="0"/>
      </w:pPr>
      <w:r>
        <w:t>占地对其他种类的影响主要表现为</w:t>
      </w:r>
      <w:r>
        <w:rPr>
          <w:rFonts w:hint="eastAsia"/>
        </w:rPr>
        <w:t>施工期</w:t>
      </w:r>
      <w:r>
        <w:t>风机安装场地、弃渣场、表土堆存场、施工营地等</w:t>
      </w:r>
      <w:r>
        <w:rPr>
          <w:rFonts w:hint="eastAsia"/>
        </w:rPr>
        <w:t>区域占地</w:t>
      </w:r>
      <w:r>
        <w:t>，缩小野生动物的栖息空间，限制部分陆生动物的活动区域、觅食范围等，从而对陆生动物的生存产生一定的影响</w:t>
      </w:r>
      <w:r>
        <w:rPr>
          <w:rFonts w:hint="eastAsia"/>
        </w:rPr>
        <w:t>，但这种影响随着施工结束生境的恢复而消失，因而影响有限。</w:t>
      </w:r>
    </w:p>
    <w:p>
      <w:pPr>
        <w:pStyle w:val="2565"/>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476" w:leftChars="0"/>
        <w:textAlignment w:val="auto"/>
        <w:rPr>
          <w:b/>
          <w:bCs w:val="0"/>
          <w:sz w:val="24"/>
          <w:szCs w:val="32"/>
          <w:u w:val="none" w:color="auto"/>
        </w:rPr>
      </w:pPr>
      <w:r>
        <w:rPr>
          <w:rFonts w:hint="eastAsia"/>
          <w:b/>
          <w:bCs w:val="0"/>
          <w:sz w:val="24"/>
          <w:szCs w:val="32"/>
          <w:u w:val="none" w:color="auto"/>
          <w:lang w:val="en-US" w:eastAsia="zh-CN"/>
        </w:rPr>
        <w:t>2、</w:t>
      </w:r>
      <w:r>
        <w:rPr>
          <w:b/>
          <w:bCs w:val="0"/>
          <w:sz w:val="24"/>
          <w:szCs w:val="32"/>
          <w:u w:val="none" w:color="auto"/>
        </w:rPr>
        <w:t>施工活动对动物栖息、觅食、求偶繁殖等行为的影响</w:t>
      </w:r>
    </w:p>
    <w:p>
      <w:pPr>
        <w:bidi w:val="0"/>
      </w:pPr>
      <w:r>
        <w:rPr>
          <w:rFonts w:hint="eastAsia"/>
        </w:rPr>
        <w:t>①施工噪音对动物的影响</w:t>
      </w:r>
      <w:r>
        <w:rPr>
          <w:rFonts w:hint="eastAsia"/>
          <w:lang w:eastAsia="zh-CN"/>
        </w:rPr>
        <w:t>。</w:t>
      </w:r>
      <w:r>
        <w:t>在项目建设过程中，施工机械发出的声音或材料运输</w:t>
      </w:r>
      <w:r>
        <w:rPr>
          <w:rFonts w:hint="eastAsia"/>
        </w:rPr>
        <w:t>车辆</w:t>
      </w:r>
      <w:r>
        <w:t>噪声等，可能使施工区域附近的野生动物受到惊吓，对其觅食活动也将产生一定的影响。由于动物均具有迁移能力，特别是鸟类和兽类的迁移能力很强，且施工区域附近生境都比较相似，野生动物可暂时由原来的生境转移到远离施工区域的相似生境生活；且由于工程施工时间短、风机设置点分散，这些不利影响随施工的结束而逐渐消失。</w:t>
      </w:r>
    </w:p>
    <w:p>
      <w:pPr>
        <w:bidi w:val="0"/>
      </w:pPr>
      <w:r>
        <w:rPr>
          <w:rFonts w:hint="eastAsia"/>
        </w:rPr>
        <w:t>②</w:t>
      </w:r>
      <w:r>
        <w:t>施工人员活动</w:t>
      </w:r>
      <w:r>
        <w:rPr>
          <w:rFonts w:hint="eastAsia"/>
        </w:rPr>
        <w:t>对动物的影响：工程施工期间，</w:t>
      </w:r>
      <w:r>
        <w:rPr>
          <w:rFonts w:hint="eastAsia"/>
          <w:lang w:val="en-US" w:eastAsia="zh-CN"/>
        </w:rPr>
        <w:t>建设单位</w:t>
      </w:r>
      <w:r>
        <w:rPr>
          <w:rFonts w:hint="eastAsia"/>
        </w:rPr>
        <w:t>通过制定相关制度，</w:t>
      </w:r>
      <w:r>
        <w:rPr>
          <w:rFonts w:hint="eastAsia"/>
          <w:lang w:val="en-US" w:eastAsia="zh-CN"/>
        </w:rPr>
        <w:t>严格要求</w:t>
      </w:r>
      <w:r>
        <w:rPr>
          <w:rFonts w:hint="eastAsia"/>
        </w:rPr>
        <w:t>施工人员</w:t>
      </w:r>
      <w:r>
        <w:rPr>
          <w:rFonts w:hint="eastAsia"/>
          <w:lang w:val="en-US" w:eastAsia="zh-CN"/>
        </w:rPr>
        <w:t>不得</w:t>
      </w:r>
      <w:r>
        <w:rPr>
          <w:rFonts w:hint="eastAsia"/>
        </w:rPr>
        <w:t>对野生动物进行捕杀，避免</w:t>
      </w:r>
      <w:r>
        <w:rPr>
          <w:rFonts w:hint="eastAsia"/>
          <w:lang w:eastAsia="zh-CN"/>
        </w:rPr>
        <w:t>了</w:t>
      </w:r>
      <w:r>
        <w:rPr>
          <w:rFonts w:hint="eastAsia"/>
        </w:rPr>
        <w:t>工程施工对野生动物的影响。</w:t>
      </w:r>
    </w:p>
    <w:p>
      <w:pPr>
        <w:bidi w:val="0"/>
        <w:rPr>
          <w:rFonts w:hint="eastAsia"/>
        </w:rPr>
      </w:pPr>
      <w:r>
        <w:rPr>
          <w:rFonts w:hint="eastAsia"/>
        </w:rPr>
        <w:t>③</w:t>
      </w:r>
      <w:r>
        <w:t>夜间光照对动物</w:t>
      </w:r>
      <w:r>
        <w:rPr>
          <w:rFonts w:hint="eastAsia"/>
        </w:rPr>
        <w:t>的影响：由于大部分爬行类、哺乳类以及部分两栖类在夜晚活动，这些夜行性动物大多具有趋光或者避光性，夜间光照则会影响其觅食、求偶等行为。但这种影响随着施工期结束而消失，因而夜间光照对动物影响有限。</w:t>
      </w:r>
    </w:p>
    <w:p>
      <w:pPr>
        <w:bidi w:val="0"/>
        <w:rPr>
          <w:rFonts w:hint="eastAsia"/>
          <w:lang w:eastAsia="zh-CN"/>
        </w:rPr>
      </w:pPr>
      <w:r>
        <w:t>以上分析表明，本项目在施工期对野生动物影响有限，且影响时间相对较短，对动物的影响将随着施工的结束和临时占地植被的恢复而缓解乃至消失</w:t>
      </w:r>
      <w:r>
        <w:rPr>
          <w:rFonts w:hint="eastAsia"/>
          <w:lang w:eastAsia="zh-CN"/>
        </w:rPr>
        <w:t>。</w:t>
      </w:r>
    </w:p>
    <w:p>
      <w:pPr>
        <w:bidi w:val="0"/>
      </w:pPr>
      <w:r>
        <w:rPr>
          <w:rFonts w:hint="eastAsia"/>
        </w:rPr>
        <w:t>④对国家重点保护鸟类的影响</w:t>
      </w:r>
    </w:p>
    <w:p>
      <w:pPr>
        <w:bidi w:val="0"/>
      </w:pPr>
      <w:r>
        <w:rPr>
          <w:rFonts w:hint="eastAsia"/>
        </w:rPr>
        <w:t>黑鸢、松雀鹰、普通鵟、红隼为猛禽，它们种群数量较少，出现频次低。项目建设对其的影响主要是施工期间噪声的驱赶，以及施工导致评价区内的两栖、爬行以及部分小型兽类的迁出而引起的食源减少对其觅食产生的不利影响。猛禽捕食范围大，飞行能力强，视觉敏锐、避险能力强，评价区内不是其唯一的捕食区域，项目建设产生的噪音和食源减少对他们影响有限，且施工结束后这种影响逐渐消失。</w:t>
      </w:r>
    </w:p>
    <w:p>
      <w:pPr>
        <w:bidi w:val="0"/>
      </w:pPr>
      <w:r>
        <w:rPr>
          <w:rFonts w:hint="eastAsia"/>
        </w:rPr>
        <w:t>白鹇、</w:t>
      </w:r>
      <w:r>
        <w:t>斑头鸺鹠</w:t>
      </w:r>
      <w:r>
        <w:rPr>
          <w:rFonts w:hint="eastAsia"/>
        </w:rPr>
        <w:t>、领角鸮在评价区内为留鸟，由于附近替代生境较多，移动能力强，能够快速的迁移到替代生境中；它们种群数少，适应生境减少不会加剧种内和种间竞争，适应生境面积减少不会对其造成显著影响。</w:t>
      </w:r>
    </w:p>
    <w:p>
      <w:pPr>
        <w:bidi w:val="0"/>
        <w:rPr>
          <w:rFonts w:hint="eastAsia"/>
          <w:lang w:eastAsia="zh-CN"/>
        </w:rPr>
      </w:pPr>
      <w:r>
        <w:rPr>
          <w:rFonts w:hint="eastAsia"/>
        </w:rPr>
        <w:t>综上所述，本项目在施工期对野生动物</w:t>
      </w:r>
      <w:r>
        <w:t>分布</w:t>
      </w:r>
      <w:r>
        <w:rPr>
          <w:rFonts w:hint="eastAsia"/>
        </w:rPr>
        <w:t>有一定影响，但是对</w:t>
      </w:r>
      <w:r>
        <w:t>种群数量、生境状况</w:t>
      </w:r>
      <w:r>
        <w:rPr>
          <w:rFonts w:hint="eastAsia"/>
        </w:rPr>
        <w:t>影响较小，且影响时间相对较短，对动物的影响将随着施工的结束和临时占地植被的恢复而缓解。</w:t>
      </w:r>
    </w:p>
    <w:p>
      <w:pPr>
        <w:pStyle w:val="457"/>
        <w:ind w:firstLine="643"/>
        <w:rPr>
          <w:rFonts w:ascii="Times New Roman" w:hAnsi="Times New Roman" w:cs="Times New Roman"/>
          <w:color w:val="000000" w:themeColor="text1"/>
          <w:u w:val="none" w:color="auto"/>
          <w14:textFill>
            <w14:solidFill>
              <w14:schemeClr w14:val="tx1"/>
            </w14:solidFill>
          </w14:textFill>
        </w:rPr>
      </w:pPr>
      <w:bookmarkStart w:id="132" w:name="_Toc23715"/>
      <w:r>
        <w:rPr>
          <w:rFonts w:hint="eastAsia" w:ascii="Times New Roman" w:cs="Times New Roman"/>
          <w:color w:val="000000" w:themeColor="text1"/>
          <w:u w:val="none" w:color="auto"/>
          <w:lang w:eastAsia="zh-CN"/>
          <w14:textFill>
            <w14:solidFill>
              <w14:schemeClr w14:val="tx1"/>
            </w14:solidFill>
          </w14:textFill>
        </w:rPr>
        <w:t>运营期环境影响预测与分析</w:t>
      </w:r>
      <w:bookmarkEnd w:id="132"/>
    </w:p>
    <w:p>
      <w:pPr>
        <w:pStyle w:val="458"/>
        <w:ind w:firstLine="602"/>
        <w:rPr>
          <w:color w:val="000000" w:themeColor="text1"/>
          <w:u w:val="none" w:color="auto"/>
          <w14:textFill>
            <w14:solidFill>
              <w14:schemeClr w14:val="tx1"/>
            </w14:solidFill>
          </w14:textFill>
        </w:rPr>
      </w:pPr>
      <w:r>
        <w:rPr>
          <w:rFonts w:hint="eastAsia"/>
          <w:color w:val="000000" w:themeColor="text1"/>
          <w:u w:val="none" w:color="auto"/>
          <w:lang w:eastAsia="zh-CN"/>
          <w14:textFill>
            <w14:solidFill>
              <w14:schemeClr w14:val="tx1"/>
            </w14:solidFill>
          </w14:textFill>
        </w:rPr>
        <w:t>噪声影响预测与评价</w:t>
      </w:r>
    </w:p>
    <w:p>
      <w:pPr>
        <w:bidi w:val="0"/>
        <w:rPr>
          <w:rFonts w:hint="default" w:cs="Times New Roman"/>
          <w:b/>
          <w:bCs/>
          <w:color w:val="auto"/>
          <w:u w:val="none" w:color="auto"/>
          <w:lang w:val="en-US" w:eastAsia="zh-CN"/>
        </w:rPr>
      </w:pPr>
      <w:r>
        <w:rPr>
          <w:rFonts w:hint="eastAsia" w:cs="Times New Roman"/>
          <w:b/>
          <w:bCs/>
          <w:color w:val="auto"/>
          <w:u w:val="none" w:color="auto"/>
          <w:lang w:val="en-US" w:eastAsia="zh-CN"/>
        </w:rPr>
        <w:t>5.2.1.1风机噪声影响预测</w:t>
      </w:r>
    </w:p>
    <w:p>
      <w:pPr>
        <w:bidi w:val="0"/>
        <w:rPr>
          <w:rFonts w:hint="default"/>
        </w:rPr>
      </w:pPr>
      <w:r>
        <w:rPr>
          <w:rFonts w:hint="eastAsia" w:cs="Times New Roman"/>
          <w:color w:val="auto"/>
          <w:u w:val="none" w:color="auto"/>
          <w:lang w:val="en-US" w:eastAsia="zh-CN"/>
        </w:rPr>
        <w:t>本项目变更后风机和汇集站噪声源强不变，与变更前一致。</w:t>
      </w:r>
      <w:r>
        <w:rPr>
          <w:rFonts w:hint="default"/>
          <w:lang w:eastAsia="zh-CN"/>
        </w:rPr>
        <w:t>风机运行过程中的噪声来源于风轮叶片旋转时产生的空气动力噪声和齿轮箱和发电机等部件发出的机械噪声，液压及润滑油冷却系统噪声。</w:t>
      </w:r>
      <w:r>
        <w:rPr>
          <w:rFonts w:hint="eastAsia"/>
          <w:lang w:eastAsia="zh-CN"/>
        </w:rPr>
        <w:t>本项目</w:t>
      </w:r>
      <w:r>
        <w:rPr>
          <w:rFonts w:hint="default"/>
        </w:rPr>
        <w:t>风机轮毂处噪声源强</w:t>
      </w:r>
      <w:r>
        <w:rPr>
          <w:rFonts w:hint="eastAsia"/>
          <w:lang w:eastAsia="zh-CN"/>
        </w:rPr>
        <w:t>为</w:t>
      </w:r>
      <w:r>
        <w:rPr>
          <w:rFonts w:hint="default"/>
        </w:rPr>
        <w:t>10</w:t>
      </w:r>
      <w:r>
        <w:rPr>
          <w:rFonts w:hint="eastAsia"/>
          <w:lang w:val="en-US" w:eastAsia="zh-CN"/>
        </w:rPr>
        <w:t>9</w:t>
      </w:r>
      <w:r>
        <w:rPr>
          <w:rFonts w:hint="default"/>
        </w:rPr>
        <w:t>dB(A)</w:t>
      </w:r>
      <w:r>
        <w:rPr>
          <w:rFonts w:hint="eastAsia"/>
          <w:lang w:eastAsia="zh-CN"/>
        </w:rPr>
        <w:t>；</w:t>
      </w:r>
      <w:r>
        <w:rPr>
          <w:rFonts w:hint="default"/>
        </w:rPr>
        <w:t>液压及润滑油冷却系统噪声值约为78dB(A)；偏航系统刹车偶发噪声，偏航系统刹车偶发噪声值约为120dB(A)。</w:t>
      </w:r>
    </w:p>
    <w:p>
      <w:pPr>
        <w:bidi w:val="0"/>
        <w:rPr>
          <w:rFonts w:hint="default"/>
        </w:rPr>
      </w:pPr>
      <w:r>
        <w:rPr>
          <w:rFonts w:hint="default"/>
        </w:rPr>
        <w:t>（</w:t>
      </w:r>
      <w:r>
        <w:rPr>
          <w:rFonts w:hint="eastAsia"/>
          <w:lang w:val="en-US" w:eastAsia="zh-CN"/>
        </w:rPr>
        <w:t>1</w:t>
      </w:r>
      <w:r>
        <w:rPr>
          <w:rFonts w:hint="default"/>
        </w:rPr>
        <w:t>）预测内容</w:t>
      </w:r>
    </w:p>
    <w:p>
      <w:pPr>
        <w:bidi w:val="0"/>
        <w:rPr>
          <w:rFonts w:hint="default"/>
        </w:rPr>
      </w:pPr>
      <w:r>
        <w:rPr>
          <w:rFonts w:hint="default"/>
        </w:rPr>
        <w:t>本次评价噪声影响预测内容为风机运行噪声正常情况距离衰减规律</w:t>
      </w:r>
      <w:r>
        <w:rPr>
          <w:rFonts w:hint="eastAsia"/>
          <w:lang w:eastAsia="zh-CN"/>
        </w:rPr>
        <w:t>、噪声敏感点风机噪声预测值</w:t>
      </w:r>
      <w:r>
        <w:rPr>
          <w:rFonts w:hint="default"/>
        </w:rPr>
        <w:t>和偏航系统运行单个风电机组突发噪声最大预</w:t>
      </w:r>
      <w:r>
        <w:rPr>
          <w:rFonts w:hint="eastAsia"/>
          <w:lang w:eastAsia="zh-CN"/>
        </w:rPr>
        <w:t>测</w:t>
      </w:r>
      <w:r>
        <w:rPr>
          <w:rFonts w:hint="default"/>
        </w:rPr>
        <w:t>值。</w:t>
      </w:r>
    </w:p>
    <w:p>
      <w:pPr>
        <w:bidi w:val="0"/>
        <w:rPr>
          <w:rFonts w:hint="default"/>
        </w:rPr>
      </w:pPr>
      <w:r>
        <w:rPr>
          <w:rFonts w:hint="default"/>
        </w:rPr>
        <w:t>（</w:t>
      </w:r>
      <w:r>
        <w:rPr>
          <w:rFonts w:hint="eastAsia"/>
          <w:lang w:val="en-US" w:eastAsia="zh-CN"/>
        </w:rPr>
        <w:t>2</w:t>
      </w:r>
      <w:r>
        <w:rPr>
          <w:rFonts w:hint="default"/>
        </w:rPr>
        <w:t>）噪声源简化及预测模式</w:t>
      </w:r>
    </w:p>
    <w:p>
      <w:pPr>
        <w:bidi w:val="0"/>
        <w:rPr>
          <w:rFonts w:hint="default"/>
        </w:rPr>
      </w:pPr>
      <w:r>
        <w:rPr>
          <w:rFonts w:hint="default"/>
        </w:rPr>
        <w:t>本次评价噪声预测采用处于半自由空间的点声源衰减公式和多声源叠加公式对预测点进行预测。处于半自由空间的点声源衰减公式为：</w:t>
      </w:r>
    </w:p>
    <w:p>
      <w:pPr>
        <w:bidi w:val="0"/>
        <w:rPr>
          <w:rFonts w:hint="default"/>
        </w:rPr>
      </w:pPr>
      <w:r>
        <w:rPr>
          <w:rFonts w:hint="default"/>
        </w:rPr>
        <w:t>L(r)＝LW-20lgr-8</w:t>
      </w:r>
    </w:p>
    <w:p>
      <w:pPr>
        <w:bidi w:val="0"/>
        <w:rPr>
          <w:rFonts w:hint="default"/>
        </w:rPr>
      </w:pPr>
      <w:r>
        <w:rPr>
          <w:rFonts w:hint="default"/>
        </w:rPr>
        <w:t>式中：LW：点声源的声功率级，dB(A)；</w:t>
      </w:r>
    </w:p>
    <w:p>
      <w:pPr>
        <w:bidi w:val="0"/>
        <w:rPr>
          <w:rFonts w:hint="default"/>
        </w:rPr>
      </w:pPr>
      <w:r>
        <w:rPr>
          <w:rFonts w:hint="default"/>
        </w:rPr>
        <w:t>其他符号意义同公式(1)。</w:t>
      </w:r>
    </w:p>
    <w:p>
      <w:pPr>
        <w:bidi w:val="0"/>
        <w:rPr>
          <w:rFonts w:hint="default"/>
        </w:rPr>
      </w:pPr>
      <w:r>
        <w:rPr>
          <w:rFonts w:hint="default"/>
        </w:rPr>
        <w:t>多声源叠加公式为：</w:t>
      </w:r>
    </w:p>
    <w:p>
      <w:pPr>
        <w:bidi w:val="0"/>
        <w:rPr>
          <w:rFonts w:hint="default"/>
        </w:rPr>
      </w:pPr>
      <w:r>
        <w:rPr>
          <w:rFonts w:hint="default"/>
        </w:rPr>
        <w:t>Lp＝10lg(10Lp1/10＋10Lp2/10＋…＋10Lpn/10)</w:t>
      </w:r>
    </w:p>
    <w:p>
      <w:pPr>
        <w:bidi w:val="0"/>
        <w:rPr>
          <w:rFonts w:hint="default"/>
        </w:rPr>
      </w:pPr>
      <w:r>
        <w:rPr>
          <w:rFonts w:hint="default"/>
        </w:rPr>
        <w:t>式中：Lp：n个噪声源叠加后的总噪声值，dB(A)；</w:t>
      </w:r>
    </w:p>
    <w:p>
      <w:pPr>
        <w:bidi w:val="0"/>
        <w:rPr>
          <w:rFonts w:hint="default"/>
        </w:rPr>
      </w:pPr>
      <w:r>
        <w:rPr>
          <w:rFonts w:hint="default"/>
        </w:rPr>
        <w:t>Lpi：第i个噪声源对该点的噪声值，dB(A)。</w:t>
      </w:r>
    </w:p>
    <w:p>
      <w:pPr>
        <w:bidi w:val="0"/>
        <w:rPr>
          <w:rFonts w:hint="default"/>
        </w:rPr>
      </w:pPr>
      <w:r>
        <w:rPr>
          <w:rFonts w:hint="default"/>
        </w:rPr>
        <w:t>（</w:t>
      </w:r>
      <w:r>
        <w:rPr>
          <w:rFonts w:hint="eastAsia"/>
          <w:lang w:val="en-US" w:eastAsia="zh-CN"/>
        </w:rPr>
        <w:t>3</w:t>
      </w:r>
      <w:r>
        <w:rPr>
          <w:rFonts w:hint="default"/>
        </w:rPr>
        <w:t>）正常情况</w:t>
      </w:r>
      <w:r>
        <w:rPr>
          <w:rFonts w:hint="eastAsia"/>
          <w:lang w:eastAsia="zh-CN"/>
        </w:rPr>
        <w:t>风机噪声</w:t>
      </w:r>
      <w:r>
        <w:rPr>
          <w:rFonts w:hint="default"/>
        </w:rPr>
        <w:t>预测结果</w:t>
      </w:r>
    </w:p>
    <w:p>
      <w:pPr>
        <w:bidi w:val="0"/>
        <w:rPr>
          <w:rFonts w:hint="default"/>
        </w:rPr>
      </w:pPr>
      <w:r>
        <w:rPr>
          <w:rFonts w:hint="default"/>
        </w:rPr>
        <w:t>在不考虑地形高差及阻隔等影响情况下，在风单个声源噪声影响预测结果见表</w:t>
      </w:r>
      <w:r>
        <w:rPr>
          <w:rFonts w:hint="eastAsia"/>
          <w:lang w:val="en-US" w:eastAsia="zh-CN"/>
        </w:rPr>
        <w:t>5-2</w:t>
      </w:r>
      <w:r>
        <w:rPr>
          <w:rFonts w:hint="default"/>
        </w:rPr>
        <w:t>。</w:t>
      </w:r>
    </w:p>
    <w:p>
      <w:pPr>
        <w:pStyle w:val="3590"/>
        <w:bidi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单个风机噪声正常情况衰减计算结果一览表</w:t>
      </w:r>
    </w:p>
    <w:tbl>
      <w:tblPr>
        <w:tblStyle w:val="88"/>
        <w:tblW w:w="476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64"/>
        <w:gridCol w:w="957"/>
        <w:gridCol w:w="879"/>
        <w:gridCol w:w="980"/>
        <w:gridCol w:w="881"/>
        <w:gridCol w:w="885"/>
        <w:gridCol w:w="885"/>
        <w:gridCol w:w="885"/>
        <w:gridCol w:w="64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3" w:hRule="atLeast"/>
          <w:jc w:val="center"/>
        </w:trPr>
        <w:tc>
          <w:tcPr>
            <w:tcW w:w="1052" w:type="pct"/>
            <w:vAlign w:val="center"/>
          </w:tcPr>
          <w:p>
            <w:pPr>
              <w:widowControl/>
              <w:spacing w:line="240" w:lineRule="auto"/>
              <w:ind w:firstLine="0" w:firstLineChars="0"/>
              <w:jc w:val="center"/>
              <w:textAlignment w:val="center"/>
              <w:rPr>
                <w:kern w:val="0"/>
                <w:sz w:val="21"/>
                <w:szCs w:val="21"/>
                <w:u w:val="none" w:color="auto"/>
                <w:lang w:bidi="ar"/>
              </w:rPr>
            </w:pPr>
            <w:r>
              <w:rPr>
                <w:kern w:val="0"/>
                <w:sz w:val="21"/>
                <w:szCs w:val="21"/>
                <w:u w:val="none" w:color="auto"/>
                <w:lang w:bidi="ar"/>
              </w:rPr>
              <w:t>距声源水平距离r1（m）</w:t>
            </w:r>
          </w:p>
        </w:tc>
        <w:tc>
          <w:tcPr>
            <w:tcW w:w="540" w:type="pct"/>
            <w:vAlign w:val="center"/>
          </w:tcPr>
          <w:p>
            <w:pPr>
              <w:widowControl/>
              <w:spacing w:line="240" w:lineRule="auto"/>
              <w:ind w:firstLine="0" w:firstLineChars="0"/>
              <w:jc w:val="center"/>
              <w:textAlignment w:val="center"/>
              <w:rPr>
                <w:kern w:val="0"/>
                <w:sz w:val="21"/>
                <w:szCs w:val="21"/>
                <w:u w:val="none" w:color="auto"/>
                <w:lang w:bidi="ar"/>
              </w:rPr>
            </w:pPr>
            <w:r>
              <w:rPr>
                <w:kern w:val="0"/>
                <w:sz w:val="21"/>
                <w:szCs w:val="21"/>
                <w:u w:val="none" w:color="auto"/>
                <w:lang w:bidi="ar"/>
              </w:rPr>
              <w:t>50</w:t>
            </w:r>
          </w:p>
        </w:tc>
        <w:tc>
          <w:tcPr>
            <w:tcW w:w="496" w:type="pct"/>
            <w:vAlign w:val="center"/>
          </w:tcPr>
          <w:p>
            <w:pPr>
              <w:widowControl/>
              <w:spacing w:line="240" w:lineRule="auto"/>
              <w:ind w:firstLine="0" w:firstLineChars="0"/>
              <w:jc w:val="center"/>
              <w:textAlignment w:val="center"/>
              <w:rPr>
                <w:kern w:val="0"/>
                <w:sz w:val="21"/>
                <w:szCs w:val="21"/>
                <w:u w:val="none" w:color="auto"/>
                <w:lang w:bidi="ar"/>
              </w:rPr>
            </w:pPr>
            <w:r>
              <w:rPr>
                <w:kern w:val="0"/>
                <w:sz w:val="21"/>
                <w:szCs w:val="21"/>
                <w:u w:val="none" w:color="auto"/>
                <w:lang w:bidi="ar"/>
              </w:rPr>
              <w:t>100</w:t>
            </w:r>
          </w:p>
        </w:tc>
        <w:tc>
          <w:tcPr>
            <w:tcW w:w="553" w:type="pct"/>
            <w:vAlign w:val="center"/>
          </w:tcPr>
          <w:p>
            <w:pPr>
              <w:widowControl/>
              <w:spacing w:line="240" w:lineRule="auto"/>
              <w:ind w:firstLine="0" w:firstLineChars="0"/>
              <w:jc w:val="center"/>
              <w:textAlignment w:val="center"/>
              <w:rPr>
                <w:kern w:val="0"/>
                <w:sz w:val="21"/>
                <w:szCs w:val="21"/>
                <w:u w:val="none" w:color="auto"/>
                <w:lang w:bidi="ar"/>
              </w:rPr>
            </w:pPr>
            <w:r>
              <w:rPr>
                <w:kern w:val="0"/>
                <w:sz w:val="21"/>
                <w:szCs w:val="21"/>
                <w:u w:val="none" w:color="auto"/>
                <w:lang w:bidi="ar"/>
              </w:rPr>
              <w:t>150</w:t>
            </w:r>
          </w:p>
        </w:tc>
        <w:tc>
          <w:tcPr>
            <w:tcW w:w="497" w:type="pct"/>
            <w:vAlign w:val="center"/>
          </w:tcPr>
          <w:p>
            <w:pPr>
              <w:widowControl/>
              <w:spacing w:line="240" w:lineRule="auto"/>
              <w:ind w:firstLine="0" w:firstLineChars="0"/>
              <w:jc w:val="center"/>
              <w:textAlignment w:val="center"/>
              <w:rPr>
                <w:kern w:val="0"/>
                <w:sz w:val="21"/>
                <w:szCs w:val="21"/>
                <w:u w:val="none" w:color="auto"/>
                <w:lang w:bidi="ar"/>
              </w:rPr>
            </w:pPr>
            <w:r>
              <w:rPr>
                <w:kern w:val="0"/>
                <w:sz w:val="21"/>
                <w:szCs w:val="21"/>
                <w:u w:val="none" w:color="auto"/>
                <w:lang w:bidi="ar"/>
              </w:rPr>
              <w:t>200</w:t>
            </w:r>
          </w:p>
        </w:tc>
        <w:tc>
          <w:tcPr>
            <w:tcW w:w="499" w:type="pct"/>
            <w:vAlign w:val="center"/>
          </w:tcPr>
          <w:p>
            <w:pPr>
              <w:widowControl/>
              <w:spacing w:line="240" w:lineRule="auto"/>
              <w:ind w:firstLine="0" w:firstLineChars="0"/>
              <w:jc w:val="center"/>
              <w:textAlignment w:val="center"/>
              <w:rPr>
                <w:kern w:val="0"/>
                <w:sz w:val="21"/>
                <w:szCs w:val="21"/>
                <w:u w:val="none" w:color="auto"/>
                <w:lang w:bidi="ar"/>
              </w:rPr>
            </w:pPr>
            <w:r>
              <w:rPr>
                <w:kern w:val="0"/>
                <w:sz w:val="21"/>
                <w:szCs w:val="21"/>
                <w:u w:val="none" w:color="auto"/>
                <w:lang w:bidi="ar"/>
              </w:rPr>
              <w:t>300</w:t>
            </w:r>
          </w:p>
        </w:tc>
        <w:tc>
          <w:tcPr>
            <w:tcW w:w="499" w:type="pct"/>
            <w:vAlign w:val="center"/>
          </w:tcPr>
          <w:p>
            <w:pPr>
              <w:widowControl/>
              <w:spacing w:line="240" w:lineRule="auto"/>
              <w:ind w:firstLine="0" w:firstLineChars="0"/>
              <w:jc w:val="center"/>
              <w:textAlignment w:val="center"/>
              <w:rPr>
                <w:kern w:val="0"/>
                <w:sz w:val="21"/>
                <w:szCs w:val="21"/>
                <w:u w:val="none" w:color="auto"/>
                <w:lang w:bidi="ar"/>
              </w:rPr>
            </w:pPr>
            <w:r>
              <w:rPr>
                <w:kern w:val="0"/>
                <w:sz w:val="21"/>
                <w:szCs w:val="21"/>
                <w:u w:val="none" w:color="auto"/>
                <w:lang w:bidi="ar"/>
              </w:rPr>
              <w:t>337.3</w:t>
            </w:r>
          </w:p>
        </w:tc>
        <w:tc>
          <w:tcPr>
            <w:tcW w:w="499" w:type="pct"/>
            <w:vAlign w:val="center"/>
          </w:tcPr>
          <w:p>
            <w:pPr>
              <w:widowControl/>
              <w:spacing w:line="240" w:lineRule="auto"/>
              <w:ind w:firstLine="0" w:firstLineChars="0"/>
              <w:jc w:val="center"/>
              <w:textAlignment w:val="center"/>
              <w:rPr>
                <w:kern w:val="0"/>
                <w:sz w:val="21"/>
                <w:szCs w:val="21"/>
                <w:u w:val="none" w:color="auto"/>
                <w:lang w:bidi="ar"/>
              </w:rPr>
            </w:pPr>
            <w:r>
              <w:rPr>
                <w:kern w:val="0"/>
                <w:sz w:val="21"/>
                <w:szCs w:val="21"/>
                <w:u w:val="none" w:color="auto"/>
                <w:lang w:bidi="ar"/>
              </w:rPr>
              <w:t>400</w:t>
            </w:r>
          </w:p>
        </w:tc>
        <w:tc>
          <w:tcPr>
            <w:tcW w:w="361" w:type="pct"/>
            <w:vAlign w:val="center"/>
          </w:tcPr>
          <w:p>
            <w:pPr>
              <w:widowControl/>
              <w:spacing w:line="240" w:lineRule="auto"/>
              <w:ind w:firstLine="0" w:firstLineChars="0"/>
              <w:jc w:val="center"/>
              <w:textAlignment w:val="center"/>
              <w:rPr>
                <w:kern w:val="0"/>
                <w:sz w:val="21"/>
                <w:szCs w:val="21"/>
                <w:u w:val="none" w:color="auto"/>
                <w:lang w:bidi="ar"/>
              </w:rPr>
            </w:pPr>
            <w:r>
              <w:rPr>
                <w:kern w:val="0"/>
                <w:sz w:val="21"/>
                <w:szCs w:val="21"/>
                <w:u w:val="none" w:color="auto"/>
                <w:lang w:bidi="ar"/>
              </w:rPr>
              <w:t>500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3" w:hRule="atLeast"/>
          <w:jc w:val="center"/>
        </w:trPr>
        <w:tc>
          <w:tcPr>
            <w:tcW w:w="1052" w:type="pct"/>
            <w:vAlign w:val="center"/>
          </w:tcPr>
          <w:p>
            <w:pPr>
              <w:widowControl/>
              <w:spacing w:line="240" w:lineRule="auto"/>
              <w:ind w:firstLine="0" w:firstLineChars="0"/>
              <w:jc w:val="center"/>
              <w:textAlignment w:val="center"/>
              <w:rPr>
                <w:kern w:val="0"/>
                <w:sz w:val="21"/>
                <w:szCs w:val="21"/>
                <w:u w:val="none" w:color="auto"/>
                <w:lang w:bidi="ar"/>
              </w:rPr>
            </w:pPr>
            <w:r>
              <w:rPr>
                <w:kern w:val="0"/>
                <w:sz w:val="21"/>
                <w:szCs w:val="21"/>
                <w:u w:val="none" w:color="auto"/>
                <w:lang w:bidi="ar"/>
              </w:rPr>
              <w:t>距声源</w:t>
            </w:r>
            <w:r>
              <w:rPr>
                <w:rFonts w:hint="eastAsia"/>
                <w:kern w:val="0"/>
                <w:sz w:val="21"/>
                <w:szCs w:val="21"/>
                <w:u w:val="none" w:color="auto"/>
                <w:lang w:bidi="ar"/>
              </w:rPr>
              <w:t>几何</w:t>
            </w:r>
            <w:r>
              <w:rPr>
                <w:kern w:val="0"/>
                <w:sz w:val="21"/>
                <w:szCs w:val="21"/>
                <w:u w:val="none" w:color="auto"/>
                <w:lang w:bidi="ar"/>
              </w:rPr>
              <w:t>距离r（m）</w:t>
            </w:r>
          </w:p>
        </w:tc>
        <w:tc>
          <w:tcPr>
            <w:tcW w:w="540" w:type="pct"/>
            <w:vAlign w:val="center"/>
          </w:tcPr>
          <w:p>
            <w:pPr>
              <w:widowControl/>
              <w:spacing w:line="240" w:lineRule="auto"/>
              <w:ind w:firstLine="0" w:firstLineChars="0"/>
              <w:jc w:val="center"/>
              <w:textAlignment w:val="center"/>
              <w:rPr>
                <w:kern w:val="0"/>
                <w:sz w:val="21"/>
                <w:szCs w:val="21"/>
                <w:highlight w:val="yellow"/>
                <w:u w:val="none" w:color="auto"/>
                <w:lang w:bidi="ar"/>
              </w:rPr>
            </w:pPr>
            <w:r>
              <w:rPr>
                <w:kern w:val="0"/>
                <w:sz w:val="21"/>
                <w:szCs w:val="21"/>
                <w:u w:val="none" w:color="auto"/>
                <w:lang w:bidi="ar"/>
              </w:rPr>
              <w:t>120.8</w:t>
            </w:r>
          </w:p>
        </w:tc>
        <w:tc>
          <w:tcPr>
            <w:tcW w:w="496" w:type="pct"/>
            <w:vAlign w:val="center"/>
          </w:tcPr>
          <w:p>
            <w:pPr>
              <w:widowControl/>
              <w:spacing w:line="240" w:lineRule="auto"/>
              <w:ind w:firstLine="0" w:firstLineChars="0"/>
              <w:jc w:val="center"/>
              <w:textAlignment w:val="center"/>
              <w:rPr>
                <w:kern w:val="0"/>
                <w:sz w:val="21"/>
                <w:szCs w:val="21"/>
                <w:highlight w:val="yellow"/>
                <w:u w:val="none" w:color="auto"/>
                <w:lang w:bidi="ar"/>
              </w:rPr>
            </w:pPr>
            <w:r>
              <w:rPr>
                <w:kern w:val="0"/>
                <w:sz w:val="21"/>
                <w:szCs w:val="21"/>
                <w:u w:val="none" w:color="auto"/>
                <w:lang w:bidi="ar"/>
              </w:rPr>
              <w:t>148.</w:t>
            </w:r>
            <w:r>
              <w:rPr>
                <w:rFonts w:hint="eastAsia"/>
                <w:kern w:val="0"/>
                <w:sz w:val="21"/>
                <w:szCs w:val="21"/>
                <w:u w:val="none" w:color="auto"/>
                <w:lang w:bidi="ar"/>
              </w:rPr>
              <w:t>7</w:t>
            </w:r>
          </w:p>
        </w:tc>
        <w:tc>
          <w:tcPr>
            <w:tcW w:w="553" w:type="pct"/>
            <w:vAlign w:val="center"/>
          </w:tcPr>
          <w:p>
            <w:pPr>
              <w:widowControl/>
              <w:spacing w:line="240" w:lineRule="auto"/>
              <w:ind w:firstLine="0" w:firstLineChars="0"/>
              <w:jc w:val="center"/>
              <w:textAlignment w:val="center"/>
              <w:rPr>
                <w:kern w:val="0"/>
                <w:sz w:val="21"/>
                <w:szCs w:val="21"/>
                <w:highlight w:val="yellow"/>
                <w:u w:val="none" w:color="auto"/>
                <w:lang w:bidi="ar"/>
              </w:rPr>
            </w:pPr>
            <w:r>
              <w:rPr>
                <w:kern w:val="0"/>
                <w:sz w:val="21"/>
                <w:szCs w:val="21"/>
                <w:u w:val="none" w:color="auto"/>
                <w:lang w:bidi="ar"/>
              </w:rPr>
              <w:t>186.0</w:t>
            </w:r>
          </w:p>
        </w:tc>
        <w:tc>
          <w:tcPr>
            <w:tcW w:w="497" w:type="pct"/>
            <w:vAlign w:val="center"/>
          </w:tcPr>
          <w:p>
            <w:pPr>
              <w:widowControl/>
              <w:spacing w:line="240" w:lineRule="auto"/>
              <w:ind w:firstLine="0" w:firstLineChars="0"/>
              <w:jc w:val="center"/>
              <w:textAlignment w:val="center"/>
              <w:rPr>
                <w:kern w:val="0"/>
                <w:sz w:val="21"/>
                <w:szCs w:val="21"/>
                <w:highlight w:val="yellow"/>
                <w:u w:val="none" w:color="auto"/>
                <w:lang w:bidi="ar"/>
              </w:rPr>
            </w:pPr>
            <w:r>
              <w:rPr>
                <w:kern w:val="0"/>
                <w:sz w:val="21"/>
                <w:szCs w:val="21"/>
                <w:u w:val="none" w:color="auto"/>
                <w:lang w:bidi="ar"/>
              </w:rPr>
              <w:t>228.</w:t>
            </w:r>
            <w:r>
              <w:rPr>
                <w:rFonts w:hint="eastAsia"/>
                <w:kern w:val="0"/>
                <w:sz w:val="21"/>
                <w:szCs w:val="21"/>
                <w:u w:val="none" w:color="auto"/>
                <w:lang w:bidi="ar"/>
              </w:rPr>
              <w:t>3</w:t>
            </w:r>
          </w:p>
        </w:tc>
        <w:tc>
          <w:tcPr>
            <w:tcW w:w="499" w:type="pct"/>
            <w:vAlign w:val="center"/>
          </w:tcPr>
          <w:p>
            <w:pPr>
              <w:widowControl/>
              <w:spacing w:line="240" w:lineRule="auto"/>
              <w:ind w:firstLine="0" w:firstLineChars="0"/>
              <w:jc w:val="center"/>
              <w:textAlignment w:val="center"/>
              <w:rPr>
                <w:kern w:val="0"/>
                <w:sz w:val="21"/>
                <w:szCs w:val="21"/>
                <w:u w:val="none" w:color="auto"/>
                <w:lang w:bidi="ar"/>
              </w:rPr>
            </w:pPr>
            <w:r>
              <w:rPr>
                <w:kern w:val="0"/>
                <w:sz w:val="21"/>
                <w:szCs w:val="21"/>
                <w:u w:val="none" w:color="auto"/>
                <w:lang w:bidi="ar"/>
              </w:rPr>
              <w:t>319.5</w:t>
            </w:r>
          </w:p>
        </w:tc>
        <w:tc>
          <w:tcPr>
            <w:tcW w:w="499" w:type="pct"/>
            <w:vAlign w:val="center"/>
          </w:tcPr>
          <w:p>
            <w:pPr>
              <w:widowControl/>
              <w:spacing w:line="240" w:lineRule="auto"/>
              <w:ind w:firstLine="0" w:firstLineChars="0"/>
              <w:jc w:val="center"/>
              <w:textAlignment w:val="center"/>
              <w:rPr>
                <w:kern w:val="0"/>
                <w:sz w:val="21"/>
                <w:szCs w:val="21"/>
                <w:u w:val="none" w:color="auto"/>
                <w:lang w:bidi="ar"/>
              </w:rPr>
            </w:pPr>
            <w:r>
              <w:rPr>
                <w:kern w:val="0"/>
                <w:sz w:val="21"/>
                <w:szCs w:val="21"/>
                <w:u w:val="none" w:color="auto"/>
                <w:lang w:bidi="ar"/>
              </w:rPr>
              <w:t>354.8</w:t>
            </w:r>
          </w:p>
        </w:tc>
        <w:tc>
          <w:tcPr>
            <w:tcW w:w="499" w:type="pct"/>
            <w:vAlign w:val="center"/>
          </w:tcPr>
          <w:p>
            <w:pPr>
              <w:widowControl/>
              <w:spacing w:line="240" w:lineRule="auto"/>
              <w:ind w:firstLine="0" w:firstLineChars="0"/>
              <w:jc w:val="center"/>
              <w:textAlignment w:val="center"/>
              <w:rPr>
                <w:kern w:val="0"/>
                <w:sz w:val="21"/>
                <w:szCs w:val="21"/>
                <w:u w:val="none" w:color="auto"/>
                <w:lang w:bidi="ar"/>
              </w:rPr>
            </w:pPr>
            <w:r>
              <w:rPr>
                <w:kern w:val="0"/>
                <w:sz w:val="21"/>
                <w:szCs w:val="21"/>
                <w:u w:val="none" w:color="auto"/>
                <w:lang w:bidi="ar"/>
              </w:rPr>
              <w:t>414.8</w:t>
            </w:r>
          </w:p>
        </w:tc>
        <w:tc>
          <w:tcPr>
            <w:tcW w:w="361" w:type="pct"/>
            <w:vAlign w:val="center"/>
          </w:tcPr>
          <w:p>
            <w:pPr>
              <w:widowControl/>
              <w:spacing w:line="240" w:lineRule="auto"/>
              <w:ind w:firstLine="0" w:firstLineChars="0"/>
              <w:jc w:val="center"/>
              <w:textAlignment w:val="center"/>
              <w:rPr>
                <w:kern w:val="0"/>
                <w:sz w:val="21"/>
                <w:szCs w:val="21"/>
                <w:u w:val="none" w:color="auto"/>
                <w:lang w:bidi="ar"/>
              </w:rPr>
            </w:pPr>
            <w:r>
              <w:rPr>
                <w:kern w:val="0"/>
                <w:sz w:val="21"/>
                <w:szCs w:val="21"/>
                <w:u w:val="none" w:color="auto"/>
                <w:lang w:bidi="ar"/>
              </w:rPr>
              <w:t>51</w:t>
            </w:r>
            <w:r>
              <w:rPr>
                <w:rFonts w:hint="eastAsia"/>
                <w:kern w:val="0"/>
                <w:sz w:val="21"/>
                <w:szCs w:val="21"/>
                <w:u w:val="none" w:color="auto"/>
                <w:lang w:bidi="ar"/>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 w:hRule="atLeast"/>
          <w:jc w:val="center"/>
        </w:trPr>
        <w:tc>
          <w:tcPr>
            <w:tcW w:w="1052" w:type="pct"/>
            <w:vAlign w:val="center"/>
          </w:tcPr>
          <w:p>
            <w:pPr>
              <w:widowControl/>
              <w:spacing w:line="240" w:lineRule="auto"/>
              <w:ind w:firstLine="0" w:firstLineChars="0"/>
              <w:jc w:val="center"/>
              <w:textAlignment w:val="center"/>
              <w:rPr>
                <w:kern w:val="0"/>
                <w:sz w:val="21"/>
                <w:szCs w:val="21"/>
                <w:u w:val="none" w:color="auto"/>
                <w:lang w:bidi="ar"/>
              </w:rPr>
            </w:pPr>
            <w:r>
              <w:rPr>
                <w:kern w:val="0"/>
                <w:sz w:val="21"/>
                <w:szCs w:val="21"/>
                <w:u w:val="none" w:color="auto"/>
                <w:lang w:bidi="ar"/>
              </w:rPr>
              <w:t>风机贡献值L(r)dB(A)</w:t>
            </w:r>
          </w:p>
        </w:tc>
        <w:tc>
          <w:tcPr>
            <w:tcW w:w="540" w:type="pct"/>
            <w:vAlign w:val="center"/>
          </w:tcPr>
          <w:p>
            <w:pPr>
              <w:widowControl/>
              <w:spacing w:line="240" w:lineRule="auto"/>
              <w:ind w:firstLine="0" w:firstLineChars="0"/>
              <w:jc w:val="center"/>
              <w:textAlignment w:val="center"/>
              <w:rPr>
                <w:kern w:val="0"/>
                <w:sz w:val="21"/>
                <w:szCs w:val="21"/>
                <w:highlight w:val="yellow"/>
                <w:u w:val="none" w:color="auto"/>
                <w:lang w:bidi="ar"/>
              </w:rPr>
            </w:pPr>
            <w:r>
              <w:rPr>
                <w:kern w:val="0"/>
                <w:sz w:val="21"/>
                <w:szCs w:val="21"/>
                <w:u w:val="none" w:color="auto"/>
                <w:lang w:bidi="ar"/>
              </w:rPr>
              <w:t>59.3</w:t>
            </w:r>
            <w:r>
              <w:rPr>
                <w:rFonts w:hint="eastAsia"/>
                <w:kern w:val="0"/>
                <w:sz w:val="21"/>
                <w:szCs w:val="21"/>
                <w:u w:val="none" w:color="auto"/>
                <w:lang w:bidi="ar"/>
              </w:rPr>
              <w:t>6</w:t>
            </w:r>
          </w:p>
        </w:tc>
        <w:tc>
          <w:tcPr>
            <w:tcW w:w="496" w:type="pct"/>
            <w:vAlign w:val="center"/>
          </w:tcPr>
          <w:p>
            <w:pPr>
              <w:widowControl/>
              <w:spacing w:line="240" w:lineRule="auto"/>
              <w:ind w:firstLine="0" w:firstLineChars="0"/>
              <w:jc w:val="center"/>
              <w:textAlignment w:val="center"/>
              <w:rPr>
                <w:kern w:val="0"/>
                <w:sz w:val="21"/>
                <w:szCs w:val="21"/>
                <w:highlight w:val="yellow"/>
                <w:u w:val="none" w:color="auto"/>
                <w:lang w:bidi="ar"/>
              </w:rPr>
            </w:pPr>
            <w:r>
              <w:rPr>
                <w:rFonts w:hint="eastAsia"/>
                <w:kern w:val="0"/>
                <w:sz w:val="21"/>
                <w:szCs w:val="21"/>
                <w:u w:val="none" w:color="auto"/>
                <w:lang w:bidi="ar"/>
              </w:rPr>
              <w:t>5</w:t>
            </w:r>
            <w:r>
              <w:rPr>
                <w:kern w:val="0"/>
                <w:sz w:val="21"/>
                <w:szCs w:val="21"/>
                <w:u w:val="none" w:color="auto"/>
                <w:lang w:bidi="ar"/>
              </w:rPr>
              <w:t>7.</w:t>
            </w:r>
            <w:r>
              <w:rPr>
                <w:rFonts w:hint="eastAsia"/>
                <w:kern w:val="0"/>
                <w:sz w:val="21"/>
                <w:szCs w:val="21"/>
                <w:u w:val="none" w:color="auto"/>
                <w:lang w:bidi="ar"/>
              </w:rPr>
              <w:t>55</w:t>
            </w:r>
          </w:p>
        </w:tc>
        <w:tc>
          <w:tcPr>
            <w:tcW w:w="553" w:type="pct"/>
            <w:vAlign w:val="center"/>
          </w:tcPr>
          <w:p>
            <w:pPr>
              <w:widowControl/>
              <w:spacing w:line="240" w:lineRule="auto"/>
              <w:ind w:firstLine="0" w:firstLineChars="0"/>
              <w:jc w:val="center"/>
              <w:textAlignment w:val="center"/>
              <w:rPr>
                <w:kern w:val="0"/>
                <w:sz w:val="21"/>
                <w:szCs w:val="21"/>
                <w:highlight w:val="yellow"/>
                <w:u w:val="none" w:color="auto"/>
                <w:lang w:bidi="ar"/>
              </w:rPr>
            </w:pPr>
            <w:r>
              <w:rPr>
                <w:rFonts w:hint="eastAsia"/>
                <w:kern w:val="0"/>
                <w:sz w:val="21"/>
                <w:szCs w:val="21"/>
                <w:u w:val="none" w:color="auto"/>
                <w:lang w:bidi="ar"/>
              </w:rPr>
              <w:t>5</w:t>
            </w:r>
            <w:r>
              <w:rPr>
                <w:kern w:val="0"/>
                <w:sz w:val="21"/>
                <w:szCs w:val="21"/>
                <w:u w:val="none" w:color="auto"/>
                <w:lang w:bidi="ar"/>
              </w:rPr>
              <w:t>5.</w:t>
            </w:r>
            <w:r>
              <w:rPr>
                <w:rFonts w:hint="eastAsia"/>
                <w:kern w:val="0"/>
                <w:sz w:val="21"/>
                <w:szCs w:val="21"/>
                <w:u w:val="none" w:color="auto"/>
                <w:lang w:bidi="ar"/>
              </w:rPr>
              <w:t>61</w:t>
            </w:r>
          </w:p>
        </w:tc>
        <w:tc>
          <w:tcPr>
            <w:tcW w:w="497" w:type="pct"/>
            <w:vAlign w:val="center"/>
          </w:tcPr>
          <w:p>
            <w:pPr>
              <w:widowControl/>
              <w:spacing w:line="240" w:lineRule="auto"/>
              <w:ind w:firstLine="0" w:firstLineChars="0"/>
              <w:jc w:val="center"/>
              <w:textAlignment w:val="center"/>
              <w:rPr>
                <w:kern w:val="0"/>
                <w:sz w:val="21"/>
                <w:szCs w:val="21"/>
                <w:highlight w:val="yellow"/>
                <w:u w:val="none" w:color="auto"/>
                <w:lang w:bidi="ar"/>
              </w:rPr>
            </w:pPr>
            <w:r>
              <w:rPr>
                <w:rFonts w:hint="eastAsia"/>
                <w:kern w:val="0"/>
                <w:sz w:val="21"/>
                <w:szCs w:val="21"/>
                <w:u w:val="none" w:color="auto"/>
                <w:lang w:bidi="ar"/>
              </w:rPr>
              <w:t>5</w:t>
            </w:r>
            <w:r>
              <w:rPr>
                <w:kern w:val="0"/>
                <w:sz w:val="21"/>
                <w:szCs w:val="21"/>
                <w:u w:val="none" w:color="auto"/>
                <w:lang w:bidi="ar"/>
              </w:rPr>
              <w:t>3.</w:t>
            </w:r>
            <w:r>
              <w:rPr>
                <w:rFonts w:hint="eastAsia"/>
                <w:kern w:val="0"/>
                <w:sz w:val="21"/>
                <w:szCs w:val="21"/>
                <w:u w:val="none" w:color="auto"/>
                <w:lang w:bidi="ar"/>
              </w:rPr>
              <w:t xml:space="preserve">83 </w:t>
            </w:r>
          </w:p>
        </w:tc>
        <w:tc>
          <w:tcPr>
            <w:tcW w:w="499" w:type="pct"/>
            <w:vAlign w:val="center"/>
          </w:tcPr>
          <w:p>
            <w:pPr>
              <w:widowControl/>
              <w:spacing w:line="240" w:lineRule="auto"/>
              <w:ind w:firstLine="0" w:firstLineChars="0"/>
              <w:jc w:val="center"/>
              <w:textAlignment w:val="center"/>
              <w:rPr>
                <w:kern w:val="0"/>
                <w:sz w:val="21"/>
                <w:szCs w:val="21"/>
                <w:u w:val="none" w:color="auto"/>
                <w:lang w:bidi="ar"/>
              </w:rPr>
            </w:pPr>
            <w:r>
              <w:rPr>
                <w:kern w:val="0"/>
                <w:sz w:val="21"/>
                <w:szCs w:val="21"/>
                <w:u w:val="none" w:color="auto"/>
                <w:lang w:bidi="ar"/>
              </w:rPr>
              <w:t>50.91</w:t>
            </w:r>
            <w:r>
              <w:rPr>
                <w:rFonts w:hint="eastAsia"/>
                <w:kern w:val="0"/>
                <w:sz w:val="21"/>
                <w:szCs w:val="21"/>
                <w:u w:val="none" w:color="auto"/>
                <w:lang w:bidi="ar"/>
              </w:rPr>
              <w:t xml:space="preserve"> </w:t>
            </w:r>
          </w:p>
        </w:tc>
        <w:tc>
          <w:tcPr>
            <w:tcW w:w="499" w:type="pct"/>
            <w:vAlign w:val="center"/>
          </w:tcPr>
          <w:p>
            <w:pPr>
              <w:widowControl/>
              <w:spacing w:line="240" w:lineRule="auto"/>
              <w:ind w:firstLine="0" w:firstLineChars="0"/>
              <w:jc w:val="center"/>
              <w:textAlignment w:val="center"/>
              <w:rPr>
                <w:kern w:val="0"/>
                <w:sz w:val="21"/>
                <w:szCs w:val="21"/>
                <w:u w:val="none" w:color="auto"/>
                <w:lang w:bidi="ar"/>
              </w:rPr>
            </w:pPr>
            <w:r>
              <w:rPr>
                <w:rFonts w:hint="eastAsia"/>
                <w:kern w:val="0"/>
                <w:sz w:val="21"/>
                <w:szCs w:val="21"/>
                <w:u w:val="none" w:color="auto"/>
                <w:lang w:bidi="ar"/>
              </w:rPr>
              <w:t>5</w:t>
            </w:r>
            <w:r>
              <w:rPr>
                <w:kern w:val="0"/>
                <w:sz w:val="21"/>
                <w:szCs w:val="21"/>
                <w:u w:val="none" w:color="auto"/>
                <w:lang w:bidi="ar"/>
              </w:rPr>
              <w:t>0</w:t>
            </w:r>
          </w:p>
        </w:tc>
        <w:tc>
          <w:tcPr>
            <w:tcW w:w="499" w:type="pct"/>
            <w:vAlign w:val="center"/>
          </w:tcPr>
          <w:p>
            <w:pPr>
              <w:widowControl/>
              <w:spacing w:line="240" w:lineRule="auto"/>
              <w:ind w:firstLine="0" w:firstLineChars="0"/>
              <w:jc w:val="center"/>
              <w:textAlignment w:val="center"/>
              <w:rPr>
                <w:kern w:val="0"/>
                <w:sz w:val="21"/>
                <w:szCs w:val="21"/>
                <w:u w:val="none" w:color="auto"/>
                <w:lang w:bidi="ar"/>
              </w:rPr>
            </w:pPr>
            <w:r>
              <w:rPr>
                <w:kern w:val="0"/>
                <w:sz w:val="21"/>
                <w:szCs w:val="21"/>
                <w:u w:val="none" w:color="auto"/>
                <w:lang w:bidi="ar"/>
              </w:rPr>
              <w:t>4</w:t>
            </w:r>
            <w:r>
              <w:rPr>
                <w:rFonts w:hint="eastAsia"/>
                <w:kern w:val="0"/>
                <w:sz w:val="21"/>
                <w:szCs w:val="21"/>
                <w:u w:val="none" w:color="auto"/>
                <w:lang w:bidi="ar"/>
              </w:rPr>
              <w:t>8</w:t>
            </w:r>
            <w:r>
              <w:rPr>
                <w:kern w:val="0"/>
                <w:sz w:val="21"/>
                <w:szCs w:val="21"/>
                <w:u w:val="none" w:color="auto"/>
                <w:lang w:bidi="ar"/>
              </w:rPr>
              <w:t>.6</w:t>
            </w:r>
            <w:r>
              <w:rPr>
                <w:rFonts w:hint="eastAsia"/>
                <w:kern w:val="0"/>
                <w:sz w:val="21"/>
                <w:szCs w:val="21"/>
                <w:u w:val="none" w:color="auto"/>
                <w:lang w:bidi="ar"/>
              </w:rPr>
              <w:t xml:space="preserve"> </w:t>
            </w:r>
          </w:p>
        </w:tc>
        <w:tc>
          <w:tcPr>
            <w:tcW w:w="361" w:type="pct"/>
            <w:vAlign w:val="center"/>
          </w:tcPr>
          <w:p>
            <w:pPr>
              <w:widowControl/>
              <w:spacing w:line="240" w:lineRule="auto"/>
              <w:ind w:firstLine="0" w:firstLineChars="0"/>
              <w:jc w:val="center"/>
              <w:textAlignment w:val="center"/>
              <w:rPr>
                <w:kern w:val="0"/>
                <w:sz w:val="21"/>
                <w:szCs w:val="21"/>
                <w:u w:val="none" w:color="auto"/>
                <w:lang w:bidi="ar"/>
              </w:rPr>
            </w:pPr>
            <w:r>
              <w:rPr>
                <w:kern w:val="0"/>
                <w:sz w:val="21"/>
                <w:szCs w:val="21"/>
                <w:u w:val="none" w:color="auto"/>
                <w:lang w:bidi="ar"/>
              </w:rPr>
              <w:t>4</w:t>
            </w:r>
            <w:r>
              <w:rPr>
                <w:rFonts w:hint="eastAsia"/>
                <w:kern w:val="0"/>
                <w:sz w:val="21"/>
                <w:szCs w:val="21"/>
                <w:u w:val="none" w:color="auto"/>
                <w:lang w:bidi="ar"/>
              </w:rPr>
              <w:t>6</w:t>
            </w:r>
            <w:r>
              <w:rPr>
                <w:kern w:val="0"/>
                <w:sz w:val="21"/>
                <w:szCs w:val="21"/>
                <w:u w:val="none" w:color="auto"/>
                <w:lang w:bidi="ar"/>
              </w:rPr>
              <w:t>.8</w:t>
            </w:r>
            <w:r>
              <w:rPr>
                <w:rFonts w:hint="eastAsia"/>
                <w:kern w:val="0"/>
                <w:sz w:val="21"/>
                <w:szCs w:val="21"/>
                <w:u w:val="none" w:color="auto"/>
                <w:lang w:bidi="ar"/>
              </w:rPr>
              <w:t xml:space="preserve"> </w:t>
            </w:r>
          </w:p>
        </w:tc>
      </w:tr>
    </w:tbl>
    <w:p>
      <w:pPr>
        <w:pStyle w:val="3631"/>
        <w:rPr>
          <w:rFonts w:hint="default" w:ascii="Times New Roman" w:hAnsi="Times New Roman" w:cs="Times New Roman"/>
          <w:b/>
          <w:color w:val="auto"/>
          <w:u w:val="none" w:color="auto"/>
        </w:rPr>
      </w:pPr>
      <w:r>
        <w:rPr>
          <w:rFonts w:hint="default" w:ascii="Times New Roman" w:hAnsi="Times New Roman" w:eastAsia="宋体" w:cs="Times New Roman"/>
          <w:kern w:val="2"/>
          <w:sz w:val="21"/>
          <w:szCs w:val="21"/>
          <w:u w:val="none" w:color="auto"/>
        </w:rPr>
        <w:t>注：风机轮毂高</w:t>
      </w:r>
      <w:r>
        <w:rPr>
          <w:rFonts w:hint="default" w:ascii="Times New Roman" w:hAnsi="Times New Roman" w:eastAsia="宋体" w:cs="Times New Roman"/>
          <w:kern w:val="2"/>
          <w:sz w:val="21"/>
          <w:szCs w:val="21"/>
          <w:u w:val="none" w:color="auto"/>
          <w:lang w:val="en-US" w:eastAsia="zh-CN"/>
        </w:rPr>
        <w:t>1</w:t>
      </w:r>
      <w:r>
        <w:rPr>
          <w:rFonts w:hint="eastAsia" w:cs="Times New Roman"/>
          <w:kern w:val="2"/>
          <w:sz w:val="21"/>
          <w:szCs w:val="21"/>
          <w:u w:val="none" w:color="auto"/>
          <w:lang w:val="en-US" w:eastAsia="zh-CN"/>
        </w:rPr>
        <w:t>1</w:t>
      </w:r>
      <w:r>
        <w:rPr>
          <w:rFonts w:hint="default" w:ascii="Times New Roman" w:hAnsi="Times New Roman" w:eastAsia="宋体" w:cs="Times New Roman"/>
          <w:kern w:val="2"/>
          <w:sz w:val="21"/>
          <w:szCs w:val="21"/>
          <w:u w:val="none" w:color="auto"/>
          <w:lang w:val="en-US" w:eastAsia="zh-CN"/>
        </w:rPr>
        <w:t>0</w:t>
      </w:r>
      <w:r>
        <w:rPr>
          <w:rFonts w:hint="default" w:ascii="Times New Roman" w:hAnsi="Times New Roman" w:eastAsia="宋体" w:cs="Times New Roman"/>
          <w:kern w:val="2"/>
          <w:sz w:val="21"/>
          <w:szCs w:val="21"/>
          <w:u w:val="none" w:color="auto"/>
        </w:rPr>
        <w:t>m，预测点与风机的</w:t>
      </w:r>
      <w:r>
        <w:rPr>
          <w:rFonts w:hint="eastAsia" w:ascii="Times New Roman" w:hAnsi="Times New Roman" w:eastAsia="宋体" w:cs="Times New Roman"/>
          <w:kern w:val="2"/>
          <w:sz w:val="21"/>
          <w:szCs w:val="21"/>
          <w:u w:val="none" w:color="auto"/>
          <w:lang w:eastAsia="zh-CN"/>
        </w:rPr>
        <w:t>几何</w:t>
      </w:r>
      <w:r>
        <w:rPr>
          <w:rFonts w:hint="default" w:ascii="Times New Roman" w:hAnsi="Times New Roman" w:eastAsia="宋体" w:cs="Times New Roman"/>
          <w:kern w:val="2"/>
          <w:sz w:val="21"/>
          <w:szCs w:val="21"/>
          <w:u w:val="none" w:color="auto"/>
        </w:rPr>
        <w:t>距离r=(r</w:t>
      </w:r>
      <w:r>
        <w:rPr>
          <w:rFonts w:hint="default" w:ascii="Times New Roman" w:hAnsi="Times New Roman" w:eastAsia="宋体" w:cs="Times New Roman"/>
          <w:kern w:val="2"/>
          <w:sz w:val="21"/>
          <w:szCs w:val="21"/>
          <w:u w:val="none" w:color="auto"/>
          <w:vertAlign w:val="subscript"/>
        </w:rPr>
        <w:t>1</w:t>
      </w:r>
      <w:r>
        <w:rPr>
          <w:rFonts w:hint="default" w:ascii="Times New Roman" w:hAnsi="Times New Roman" w:eastAsia="宋体" w:cs="Times New Roman"/>
          <w:kern w:val="2"/>
          <w:sz w:val="21"/>
          <w:szCs w:val="21"/>
          <w:u w:val="none" w:color="auto"/>
          <w:vertAlign w:val="superscript"/>
        </w:rPr>
        <w:t>2</w:t>
      </w:r>
      <w:r>
        <w:rPr>
          <w:rFonts w:hint="default" w:ascii="Times New Roman" w:hAnsi="Times New Roman" w:eastAsia="宋体" w:cs="Times New Roman"/>
          <w:kern w:val="2"/>
          <w:sz w:val="21"/>
          <w:szCs w:val="21"/>
          <w:u w:val="none" w:color="auto"/>
        </w:rPr>
        <w:t>+</w:t>
      </w:r>
      <w:r>
        <w:rPr>
          <w:rFonts w:hint="eastAsia" w:ascii="Times New Roman" w:hAnsi="Times New Roman" w:eastAsia="宋体" w:cs="Times New Roman"/>
          <w:kern w:val="2"/>
          <w:sz w:val="21"/>
          <w:szCs w:val="21"/>
          <w:u w:val="none" w:color="auto"/>
          <w:lang w:val="en-US" w:eastAsia="zh-CN"/>
        </w:rPr>
        <w:t>1</w:t>
      </w:r>
      <w:r>
        <w:rPr>
          <w:rFonts w:hint="eastAsia" w:cs="Times New Roman"/>
          <w:kern w:val="2"/>
          <w:sz w:val="21"/>
          <w:szCs w:val="21"/>
          <w:u w:val="none" w:color="auto"/>
          <w:lang w:val="en-US" w:eastAsia="zh-CN"/>
        </w:rPr>
        <w:t>1</w:t>
      </w:r>
      <w:r>
        <w:rPr>
          <w:rFonts w:hint="eastAsia" w:ascii="Times New Roman" w:hAnsi="Times New Roman" w:eastAsia="宋体" w:cs="Times New Roman"/>
          <w:kern w:val="2"/>
          <w:sz w:val="21"/>
          <w:szCs w:val="21"/>
          <w:u w:val="none" w:color="auto"/>
          <w:lang w:val="en-US" w:eastAsia="zh-CN"/>
        </w:rPr>
        <w:t>0</w:t>
      </w:r>
      <w:r>
        <w:rPr>
          <w:rFonts w:hint="default" w:ascii="Times New Roman" w:hAnsi="Times New Roman" w:eastAsia="宋体" w:cs="Times New Roman"/>
          <w:kern w:val="2"/>
          <w:sz w:val="21"/>
          <w:szCs w:val="21"/>
          <w:u w:val="none" w:color="auto"/>
          <w:vertAlign w:val="superscript"/>
        </w:rPr>
        <w:t>2</w:t>
      </w:r>
      <w:r>
        <w:rPr>
          <w:rFonts w:hint="default" w:ascii="Times New Roman" w:hAnsi="Times New Roman" w:eastAsia="宋体" w:cs="Times New Roman"/>
          <w:kern w:val="2"/>
          <w:sz w:val="21"/>
          <w:szCs w:val="21"/>
          <w:u w:val="none" w:color="auto"/>
        </w:rPr>
        <w:t>)</w:t>
      </w:r>
      <w:r>
        <w:rPr>
          <w:rFonts w:hint="default" w:ascii="Times New Roman" w:hAnsi="Times New Roman" w:eastAsia="宋体" w:cs="Times New Roman"/>
          <w:kern w:val="2"/>
          <w:sz w:val="21"/>
          <w:szCs w:val="21"/>
          <w:u w:val="none" w:color="auto"/>
          <w:vertAlign w:val="superscript"/>
        </w:rPr>
        <w:t>1/2</w:t>
      </w:r>
      <w:r>
        <w:rPr>
          <w:rFonts w:hint="default" w:ascii="Times New Roman" w:hAnsi="Times New Roman" w:eastAsia="宋体" w:cs="Times New Roman"/>
          <w:kern w:val="2"/>
          <w:sz w:val="21"/>
          <w:szCs w:val="21"/>
          <w:u w:val="none" w:color="auto"/>
        </w:rPr>
        <w:t>。</w:t>
      </w:r>
    </w:p>
    <w:p>
      <w:pPr>
        <w:bidi w:val="0"/>
        <w:rPr>
          <w:rFonts w:hint="default"/>
        </w:rPr>
      </w:pPr>
      <w:r>
        <w:rPr>
          <w:rFonts w:hint="default"/>
        </w:rPr>
        <w:t>由上表可知，不考虑敏感点与风电机组基础处高程差的情况下，5MW风机水平距离337.3m处的噪声贡献值满足《声环境质量标准》（GB3096-2008）中2类标准，即昼间60dB(A)、夜间50dB(A)。</w:t>
      </w:r>
    </w:p>
    <w:p>
      <w:pPr>
        <w:bidi w:val="0"/>
        <w:rPr>
          <w:rFonts w:hint="default"/>
        </w:rPr>
      </w:pPr>
      <w:r>
        <w:rPr>
          <w:rFonts w:hint="eastAsia"/>
          <w:lang w:eastAsia="zh-CN"/>
        </w:rPr>
        <w:t>（</w:t>
      </w:r>
      <w:r>
        <w:rPr>
          <w:rFonts w:hint="eastAsia"/>
          <w:lang w:val="en-US" w:eastAsia="zh-CN"/>
        </w:rPr>
        <w:t>4</w:t>
      </w:r>
      <w:r>
        <w:rPr>
          <w:rFonts w:hint="eastAsia"/>
          <w:lang w:eastAsia="zh-CN"/>
        </w:rPr>
        <w:t>）</w:t>
      </w:r>
      <w:r>
        <w:rPr>
          <w:rFonts w:hint="default"/>
        </w:rPr>
        <w:t>敏感点</w:t>
      </w:r>
      <w:r>
        <w:rPr>
          <w:rFonts w:hint="eastAsia"/>
          <w:lang w:eastAsia="zh-CN"/>
        </w:rPr>
        <w:t>噪声影响</w:t>
      </w:r>
      <w:r>
        <w:rPr>
          <w:rFonts w:hint="default"/>
        </w:rPr>
        <w:t>预测</w:t>
      </w:r>
    </w:p>
    <w:p>
      <w:pPr>
        <w:bidi w:val="0"/>
        <w:rPr>
          <w:rFonts w:hint="default"/>
        </w:rPr>
      </w:pPr>
      <w:r>
        <w:rPr>
          <w:rFonts w:hint="eastAsia"/>
          <w:lang w:val="en-US" w:eastAsia="zh-CN"/>
        </w:rPr>
        <w:t>本项目距离风机最近居民点为14号风机西北</w:t>
      </w:r>
      <w:r>
        <w:rPr>
          <w:rFonts w:hint="default"/>
        </w:rPr>
        <w:t>侧</w:t>
      </w:r>
      <w:r>
        <w:rPr>
          <w:rFonts w:hint="eastAsia"/>
          <w:lang w:val="en-US" w:eastAsia="zh-CN"/>
        </w:rPr>
        <w:t>525m的五龙爪居民点，考虑风机轮毂高度和地形高差等因素情况，预测结果</w:t>
      </w:r>
      <w:r>
        <w:rPr>
          <w:rFonts w:hint="default"/>
        </w:rPr>
        <w:t>详见下表所示。</w:t>
      </w:r>
    </w:p>
    <w:p>
      <w:pPr>
        <w:pStyle w:val="3590"/>
        <w:bidi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敏感点噪声预测结果一览表</w:t>
      </w:r>
      <w:r>
        <w:rPr>
          <w:rFonts w:hint="eastAsia" w:ascii="Times New Roman" w:hAnsi="Times New Roman" w:eastAsia="宋体" w:cs="Times New Roman"/>
          <w:u w:val="none" w:color="auto"/>
          <w:lang w:val="en-US" w:eastAsia="zh-CN"/>
        </w:rPr>
        <w:t xml:space="preserve">  dB（A）</w:t>
      </w:r>
    </w:p>
    <w:tbl>
      <w:tblPr>
        <w:tblStyle w:val="88"/>
        <w:tblW w:w="514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64"/>
        <w:gridCol w:w="774"/>
        <w:gridCol w:w="968"/>
        <w:gridCol w:w="1021"/>
        <w:gridCol w:w="979"/>
        <w:gridCol w:w="826"/>
        <w:gridCol w:w="866"/>
        <w:gridCol w:w="761"/>
        <w:gridCol w:w="762"/>
        <w:gridCol w:w="807"/>
        <w:gridCol w:w="8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50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敏感点</w:t>
            </w:r>
          </w:p>
        </w:tc>
        <w:tc>
          <w:tcPr>
            <w:tcW w:w="40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cs="Times New Roman"/>
                <w:sz w:val="21"/>
                <w:szCs w:val="21"/>
                <w:u w:val="none" w:color="auto"/>
                <w:vertAlign w:val="baseline"/>
                <w:lang w:val="en-US" w:eastAsia="zh-CN"/>
              </w:rPr>
              <w:t>周边</w:t>
            </w:r>
            <w:r>
              <w:rPr>
                <w:rFonts w:hint="eastAsia" w:ascii="Times New Roman" w:hAnsi="Times New Roman" w:eastAsia="宋体" w:cs="Times New Roman"/>
                <w:sz w:val="21"/>
                <w:szCs w:val="21"/>
                <w:u w:val="none" w:color="auto"/>
                <w:vertAlign w:val="baseline"/>
                <w:lang w:val="en-US" w:eastAsia="zh-CN"/>
              </w:rPr>
              <w:t>风机</w:t>
            </w:r>
          </w:p>
        </w:tc>
        <w:tc>
          <w:tcPr>
            <w:tcW w:w="1041"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与风机平台最近距离（m）</w:t>
            </w:r>
          </w:p>
        </w:tc>
        <w:tc>
          <w:tcPr>
            <w:tcW w:w="51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贡献值</w:t>
            </w:r>
          </w:p>
        </w:tc>
        <w:tc>
          <w:tcPr>
            <w:tcW w:w="886"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背景值</w:t>
            </w:r>
          </w:p>
        </w:tc>
        <w:tc>
          <w:tcPr>
            <w:tcW w:w="797"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叠加值</w:t>
            </w:r>
          </w:p>
        </w:tc>
        <w:tc>
          <w:tcPr>
            <w:tcW w:w="85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5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p>
        </w:tc>
        <w:tc>
          <w:tcPr>
            <w:tcW w:w="40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p>
        </w:tc>
        <w:tc>
          <w:tcPr>
            <w:tcW w:w="5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水平距离</w:t>
            </w:r>
          </w:p>
        </w:tc>
        <w:tc>
          <w:tcPr>
            <w:tcW w:w="53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垂直高差</w:t>
            </w:r>
          </w:p>
        </w:tc>
        <w:tc>
          <w:tcPr>
            <w:tcW w:w="51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p>
        </w:tc>
        <w:tc>
          <w:tcPr>
            <w:tcW w:w="4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u w:val="none" w:color="auto"/>
                <w:vertAlign w:val="baseline"/>
                <w:lang w:val="en-US" w:eastAsia="zh-CN"/>
              </w:rPr>
            </w:pPr>
            <w:r>
              <w:rPr>
                <w:rFonts w:hint="eastAsia" w:cs="Times New Roman"/>
                <w:sz w:val="21"/>
                <w:szCs w:val="21"/>
                <w:u w:val="none" w:color="auto"/>
                <w:vertAlign w:val="baseline"/>
                <w:lang w:val="en-US" w:eastAsia="zh-CN"/>
              </w:rPr>
              <w:t>昼间</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u w:val="none" w:color="auto"/>
                <w:vertAlign w:val="baseline"/>
                <w:lang w:val="en-US" w:eastAsia="zh-CN"/>
              </w:rPr>
            </w:pPr>
            <w:r>
              <w:rPr>
                <w:rFonts w:hint="eastAsia" w:cs="Times New Roman"/>
                <w:sz w:val="21"/>
                <w:szCs w:val="21"/>
                <w:u w:val="none" w:color="auto"/>
                <w:vertAlign w:val="baseline"/>
                <w:lang w:val="en-US" w:eastAsia="zh-CN"/>
              </w:rPr>
              <w:t>夜间</w:t>
            </w:r>
          </w:p>
        </w:tc>
        <w:tc>
          <w:tcPr>
            <w:tcW w:w="39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u w:val="none" w:color="auto"/>
                <w:vertAlign w:val="baseline"/>
                <w:lang w:val="en-US" w:eastAsia="zh-CN" w:bidi="ar-SA"/>
                <w14:textFill>
                  <w14:solidFill>
                    <w14:schemeClr w14:val="tx1"/>
                  </w14:solidFill>
                </w14:textFill>
              </w:rPr>
            </w:pPr>
            <w:r>
              <w:rPr>
                <w:rFonts w:hint="eastAsia" w:cs="Times New Roman"/>
                <w:sz w:val="21"/>
                <w:szCs w:val="21"/>
                <w:u w:val="none" w:color="auto"/>
                <w:vertAlign w:val="baseline"/>
                <w:lang w:val="en-US" w:eastAsia="zh-CN"/>
              </w:rPr>
              <w:t>昼间</w:t>
            </w:r>
          </w:p>
        </w:tc>
        <w:tc>
          <w:tcPr>
            <w:tcW w:w="39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u w:val="none" w:color="auto"/>
                <w:vertAlign w:val="baseline"/>
                <w:lang w:val="en-US" w:eastAsia="zh-CN" w:bidi="ar-SA"/>
                <w14:textFill>
                  <w14:solidFill>
                    <w14:schemeClr w14:val="tx1"/>
                  </w14:solidFill>
                </w14:textFill>
              </w:rPr>
            </w:pPr>
            <w:r>
              <w:rPr>
                <w:rFonts w:hint="eastAsia" w:cs="Times New Roman"/>
                <w:sz w:val="21"/>
                <w:szCs w:val="21"/>
                <w:u w:val="none" w:color="auto"/>
                <w:vertAlign w:val="baseline"/>
                <w:lang w:val="en-US" w:eastAsia="zh-CN"/>
              </w:rPr>
              <w:t>夜间</w:t>
            </w:r>
          </w:p>
        </w:tc>
        <w:tc>
          <w:tcPr>
            <w:tcW w:w="422"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u w:val="none" w:color="auto"/>
                <w:vertAlign w:val="baseline"/>
                <w:lang w:val="en-US" w:eastAsia="zh-CN" w:bidi="ar-SA"/>
                <w14:textFill>
                  <w14:solidFill>
                    <w14:schemeClr w14:val="tx1"/>
                  </w14:solidFill>
                </w14:textFill>
              </w:rPr>
            </w:pPr>
            <w:r>
              <w:rPr>
                <w:rFonts w:hint="eastAsia" w:cs="Times New Roman"/>
                <w:sz w:val="21"/>
                <w:szCs w:val="21"/>
                <w:u w:val="none" w:color="auto"/>
                <w:vertAlign w:val="baseline"/>
                <w:lang w:val="en-US" w:eastAsia="zh-CN"/>
              </w:rPr>
              <w:t>昼间</w:t>
            </w:r>
          </w:p>
        </w:tc>
        <w:tc>
          <w:tcPr>
            <w:tcW w:w="42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u w:val="none" w:color="auto"/>
                <w:vertAlign w:val="baseline"/>
                <w:lang w:val="en-US" w:eastAsia="zh-CN" w:bidi="ar-SA"/>
                <w14:textFill>
                  <w14:solidFill>
                    <w14:schemeClr w14:val="tx1"/>
                  </w14:solidFill>
                </w14:textFill>
              </w:rPr>
            </w:pPr>
            <w:r>
              <w:rPr>
                <w:rFonts w:hint="eastAsia" w:cs="Times New Roman"/>
                <w:sz w:val="21"/>
                <w:szCs w:val="21"/>
                <w:u w:val="none" w:color="auto"/>
                <w:vertAlign w:val="baseline"/>
                <w:lang w:val="en-US" w:eastAsia="zh-CN"/>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50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五爪龙居民</w:t>
            </w:r>
          </w:p>
        </w:tc>
        <w:tc>
          <w:tcPr>
            <w:tcW w:w="4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L14</w:t>
            </w:r>
          </w:p>
        </w:tc>
        <w:tc>
          <w:tcPr>
            <w:tcW w:w="5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525</w:t>
            </w:r>
          </w:p>
        </w:tc>
        <w:tc>
          <w:tcPr>
            <w:tcW w:w="53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u w:val="none" w:color="auto"/>
                <w:vertAlign w:val="baseline"/>
                <w:lang w:val="en-US" w:eastAsia="zh-CN"/>
              </w:rPr>
            </w:pPr>
            <w:r>
              <w:rPr>
                <w:rFonts w:hint="eastAsia" w:cs="Times New Roman"/>
                <w:sz w:val="21"/>
                <w:szCs w:val="21"/>
                <w:u w:val="none" w:color="auto"/>
                <w:vertAlign w:val="baseline"/>
                <w:lang w:val="en-US" w:eastAsia="zh-CN"/>
              </w:rPr>
              <w:t>256</w:t>
            </w:r>
          </w:p>
        </w:tc>
        <w:tc>
          <w:tcPr>
            <w:tcW w:w="51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u w:val="none" w:color="auto"/>
                <w:vertAlign w:val="baseline"/>
                <w:lang w:val="en-US" w:eastAsia="zh-CN"/>
              </w:rPr>
            </w:pPr>
            <w:r>
              <w:rPr>
                <w:rFonts w:hint="eastAsia" w:cs="Times New Roman"/>
                <w:sz w:val="21"/>
                <w:szCs w:val="21"/>
                <w:u w:val="none" w:color="auto"/>
                <w:vertAlign w:val="baseline"/>
                <w:lang w:val="en-US" w:eastAsia="zh-CN"/>
              </w:rPr>
              <w:t>45.8</w:t>
            </w:r>
          </w:p>
        </w:tc>
        <w:tc>
          <w:tcPr>
            <w:tcW w:w="43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40.8</w:t>
            </w:r>
          </w:p>
        </w:tc>
        <w:tc>
          <w:tcPr>
            <w:tcW w:w="453" w:type="pct"/>
            <w:vMerge w:val="restar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u w:val="none" w:color="auto"/>
                <w:vertAlign w:val="baseline"/>
                <w:lang w:val="en-US" w:eastAsia="zh-CN" w:bidi="ar-SA"/>
                <w14:textFill>
                  <w14:solidFill>
                    <w14:schemeClr w14:val="tx1"/>
                  </w14:solidFill>
                </w14:textFill>
              </w:rPr>
            </w:pPr>
            <w:r>
              <w:rPr>
                <w:rFonts w:hint="eastAsia" w:ascii="Times New Roman" w:hAnsi="Times New Roman" w:eastAsia="宋体" w:cs="Times New Roman"/>
                <w:sz w:val="21"/>
                <w:szCs w:val="21"/>
                <w:u w:val="none" w:color="auto"/>
                <w:vertAlign w:val="baseline"/>
                <w:lang w:val="en-US" w:eastAsia="zh-CN"/>
              </w:rPr>
              <w:t>39.7</w:t>
            </w:r>
          </w:p>
        </w:tc>
        <w:tc>
          <w:tcPr>
            <w:tcW w:w="39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u w:val="none" w:color="auto"/>
                <w:vertAlign w:val="baseline"/>
                <w:lang w:val="en-US" w:eastAsia="zh-CN"/>
              </w:rPr>
            </w:pPr>
            <w:r>
              <w:rPr>
                <w:rFonts w:hint="eastAsia" w:cs="Times New Roman"/>
                <w:sz w:val="21"/>
                <w:szCs w:val="21"/>
                <w:u w:val="none" w:color="auto"/>
                <w:vertAlign w:val="baseline"/>
                <w:lang w:val="en-US" w:eastAsia="zh-CN"/>
              </w:rPr>
              <w:t>47.0</w:t>
            </w:r>
          </w:p>
        </w:tc>
        <w:tc>
          <w:tcPr>
            <w:tcW w:w="39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sz w:val="21"/>
                <w:szCs w:val="21"/>
                <w:u w:val="none" w:color="auto"/>
                <w:vertAlign w:val="baseline"/>
                <w:lang w:val="en-US" w:eastAsia="zh-CN"/>
              </w:rPr>
            </w:pPr>
            <w:r>
              <w:rPr>
                <w:rFonts w:hint="eastAsia" w:cs="Times New Roman"/>
                <w:sz w:val="21"/>
                <w:szCs w:val="21"/>
                <w:u w:val="none" w:color="auto"/>
                <w:vertAlign w:val="baseline"/>
                <w:lang w:val="en-US" w:eastAsia="zh-CN"/>
              </w:rPr>
              <w:t>46.8</w:t>
            </w:r>
          </w:p>
        </w:tc>
        <w:tc>
          <w:tcPr>
            <w:tcW w:w="42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60</w:t>
            </w:r>
          </w:p>
        </w:tc>
        <w:tc>
          <w:tcPr>
            <w:tcW w:w="429" w:type="pct"/>
            <w:vMerge w:val="restar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u w:val="none" w:color="auto"/>
                <w:vertAlign w:val="baseline"/>
                <w:lang w:val="en-US" w:eastAsia="zh-CN" w:bidi="ar-SA"/>
                <w14:textFill>
                  <w14:solidFill>
                    <w14:schemeClr w14:val="tx1"/>
                  </w14:solidFill>
                </w14:textFill>
              </w:rPr>
            </w:pPr>
            <w:r>
              <w:rPr>
                <w:rFonts w:hint="eastAsia" w:ascii="Times New Roman" w:hAnsi="Times New Roman" w:eastAsia="宋体" w:cs="Times New Roman"/>
                <w:sz w:val="21"/>
                <w:szCs w:val="21"/>
                <w:u w:val="none" w:color="auto"/>
                <w:vertAlign w:val="baseline"/>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5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p>
        </w:tc>
        <w:tc>
          <w:tcPr>
            <w:tcW w:w="405"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u w:val="none" w:color="auto"/>
                <w:vertAlign w:val="baseline"/>
                <w:lang w:val="en-US" w:eastAsia="zh-CN" w:bidi="ar-SA"/>
                <w14:textFill>
                  <w14:solidFill>
                    <w14:schemeClr w14:val="tx1"/>
                  </w14:solidFill>
                </w14:textFill>
              </w:rPr>
            </w:pPr>
            <w:r>
              <w:rPr>
                <w:rFonts w:hint="eastAsia" w:ascii="Times New Roman" w:hAnsi="Times New Roman" w:eastAsia="宋体" w:cs="Times New Roman"/>
                <w:sz w:val="21"/>
                <w:szCs w:val="21"/>
                <w:u w:val="none" w:color="auto"/>
                <w:vertAlign w:val="baseline"/>
                <w:lang w:val="en-US" w:eastAsia="zh-CN"/>
              </w:rPr>
              <w:t>L1</w:t>
            </w:r>
            <w:r>
              <w:rPr>
                <w:rFonts w:hint="eastAsia" w:cs="Times New Roman"/>
                <w:sz w:val="21"/>
                <w:szCs w:val="21"/>
                <w:u w:val="none" w:color="auto"/>
                <w:vertAlign w:val="baseline"/>
                <w:lang w:val="en-US" w:eastAsia="zh-CN"/>
              </w:rPr>
              <w:t>5</w:t>
            </w:r>
          </w:p>
        </w:tc>
        <w:tc>
          <w:tcPr>
            <w:tcW w:w="5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u w:val="none" w:color="auto"/>
                <w:vertAlign w:val="baseline"/>
                <w:lang w:val="en-US" w:eastAsia="zh-CN"/>
              </w:rPr>
            </w:pPr>
            <w:r>
              <w:rPr>
                <w:rFonts w:hint="eastAsia" w:cs="Times New Roman"/>
                <w:sz w:val="21"/>
                <w:szCs w:val="21"/>
                <w:u w:val="none" w:color="auto"/>
                <w:vertAlign w:val="baseline"/>
                <w:lang w:val="en-US" w:eastAsia="zh-CN"/>
              </w:rPr>
              <w:t>1042</w:t>
            </w:r>
          </w:p>
        </w:tc>
        <w:tc>
          <w:tcPr>
            <w:tcW w:w="53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u w:val="none" w:color="auto"/>
                <w:vertAlign w:val="baseline"/>
                <w:lang w:val="en-US" w:eastAsia="zh-CN"/>
              </w:rPr>
            </w:pPr>
            <w:r>
              <w:rPr>
                <w:rFonts w:hint="eastAsia" w:cs="Times New Roman"/>
                <w:sz w:val="21"/>
                <w:szCs w:val="21"/>
                <w:u w:val="none" w:color="auto"/>
                <w:vertAlign w:val="baseline"/>
                <w:lang w:val="en-US" w:eastAsia="zh-CN"/>
              </w:rPr>
              <w:t>90</w:t>
            </w:r>
          </w:p>
        </w:tc>
        <w:tc>
          <w:tcPr>
            <w:tcW w:w="51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sz w:val="21"/>
                <w:szCs w:val="21"/>
                <w:u w:val="none" w:color="auto"/>
                <w:vertAlign w:val="baseline"/>
                <w:lang w:val="en-US" w:eastAsia="zh-CN"/>
              </w:rPr>
            </w:pPr>
          </w:p>
        </w:tc>
        <w:tc>
          <w:tcPr>
            <w:tcW w:w="432"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u w:val="none" w:color="auto"/>
                <w:vertAlign w:val="baseline"/>
                <w:lang w:val="en-US" w:eastAsia="zh-CN" w:bidi="ar-SA"/>
                <w14:textFill>
                  <w14:solidFill>
                    <w14:schemeClr w14:val="tx1"/>
                  </w14:solidFill>
                </w14:textFill>
              </w:rPr>
            </w:pPr>
          </w:p>
        </w:tc>
        <w:tc>
          <w:tcPr>
            <w:tcW w:w="4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p>
        </w:tc>
        <w:tc>
          <w:tcPr>
            <w:tcW w:w="3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p>
        </w:tc>
        <w:tc>
          <w:tcPr>
            <w:tcW w:w="39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p>
        </w:tc>
        <w:tc>
          <w:tcPr>
            <w:tcW w:w="42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p>
        </w:tc>
        <w:tc>
          <w:tcPr>
            <w:tcW w:w="42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5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p>
        </w:tc>
        <w:tc>
          <w:tcPr>
            <w:tcW w:w="405"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u w:val="none" w:color="auto"/>
                <w:vertAlign w:val="baseline"/>
                <w:lang w:val="en-US" w:eastAsia="zh-CN" w:bidi="ar-SA"/>
                <w14:textFill>
                  <w14:solidFill>
                    <w14:schemeClr w14:val="tx1"/>
                  </w14:solidFill>
                </w14:textFill>
              </w:rPr>
            </w:pPr>
            <w:r>
              <w:rPr>
                <w:rFonts w:hint="eastAsia" w:ascii="Times New Roman" w:hAnsi="Times New Roman" w:eastAsia="宋体" w:cs="Times New Roman"/>
                <w:sz w:val="21"/>
                <w:szCs w:val="21"/>
                <w:u w:val="none" w:color="auto"/>
                <w:vertAlign w:val="baseline"/>
                <w:lang w:val="en-US" w:eastAsia="zh-CN"/>
              </w:rPr>
              <w:t>L1</w:t>
            </w:r>
            <w:r>
              <w:rPr>
                <w:rFonts w:hint="eastAsia" w:cs="Times New Roman"/>
                <w:sz w:val="21"/>
                <w:szCs w:val="21"/>
                <w:u w:val="none" w:color="auto"/>
                <w:vertAlign w:val="baseline"/>
                <w:lang w:val="en-US" w:eastAsia="zh-CN"/>
              </w:rPr>
              <w:t>3</w:t>
            </w:r>
          </w:p>
        </w:tc>
        <w:tc>
          <w:tcPr>
            <w:tcW w:w="5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u w:val="none" w:color="auto"/>
                <w:vertAlign w:val="baseline"/>
                <w:lang w:val="en-US" w:eastAsia="zh-CN"/>
              </w:rPr>
            </w:pPr>
            <w:r>
              <w:rPr>
                <w:rFonts w:hint="eastAsia" w:cs="Times New Roman"/>
                <w:sz w:val="21"/>
                <w:szCs w:val="21"/>
                <w:u w:val="none" w:color="auto"/>
                <w:vertAlign w:val="baseline"/>
                <w:lang w:val="en-US" w:eastAsia="zh-CN"/>
              </w:rPr>
              <w:t>890</w:t>
            </w:r>
          </w:p>
        </w:tc>
        <w:tc>
          <w:tcPr>
            <w:tcW w:w="53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u w:val="none" w:color="auto"/>
                <w:vertAlign w:val="baseline"/>
                <w:lang w:val="en-US" w:eastAsia="zh-CN"/>
              </w:rPr>
            </w:pPr>
            <w:r>
              <w:rPr>
                <w:rFonts w:hint="eastAsia" w:cs="Times New Roman"/>
                <w:sz w:val="21"/>
                <w:szCs w:val="21"/>
                <w:u w:val="none" w:color="auto"/>
                <w:vertAlign w:val="baseline"/>
                <w:lang w:val="en-US" w:eastAsia="zh-CN"/>
              </w:rPr>
              <w:t>330</w:t>
            </w:r>
          </w:p>
        </w:tc>
        <w:tc>
          <w:tcPr>
            <w:tcW w:w="51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sz w:val="21"/>
                <w:szCs w:val="21"/>
                <w:u w:val="none" w:color="auto"/>
                <w:vertAlign w:val="baseline"/>
                <w:lang w:val="en-US" w:eastAsia="zh-CN"/>
              </w:rPr>
            </w:pPr>
          </w:p>
        </w:tc>
        <w:tc>
          <w:tcPr>
            <w:tcW w:w="432"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u w:val="none" w:color="auto"/>
                <w:vertAlign w:val="baseline"/>
                <w:lang w:val="en-US" w:eastAsia="zh-CN" w:bidi="ar-SA"/>
                <w14:textFill>
                  <w14:solidFill>
                    <w14:schemeClr w14:val="tx1"/>
                  </w14:solidFill>
                </w14:textFill>
              </w:rPr>
            </w:pPr>
          </w:p>
        </w:tc>
        <w:tc>
          <w:tcPr>
            <w:tcW w:w="4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p>
        </w:tc>
        <w:tc>
          <w:tcPr>
            <w:tcW w:w="3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p>
        </w:tc>
        <w:tc>
          <w:tcPr>
            <w:tcW w:w="39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p>
        </w:tc>
        <w:tc>
          <w:tcPr>
            <w:tcW w:w="42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p>
        </w:tc>
        <w:tc>
          <w:tcPr>
            <w:tcW w:w="42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p>
        </w:tc>
      </w:tr>
    </w:tbl>
    <w:p>
      <w:pPr>
        <w:bidi w:val="0"/>
        <w:rPr>
          <w:rFonts w:hint="default"/>
        </w:rPr>
      </w:pPr>
      <w:r>
        <w:rPr>
          <w:rFonts w:hint="default"/>
        </w:rPr>
        <w:t>根据预测结果，在最不利情况下，本项目风机</w:t>
      </w:r>
      <w:r>
        <w:rPr>
          <w:rFonts w:hint="eastAsia"/>
          <w:lang w:eastAsia="zh-CN"/>
        </w:rPr>
        <w:t>周边噪声敏感</w:t>
      </w:r>
      <w:r>
        <w:rPr>
          <w:rFonts w:hint="eastAsia" w:ascii="Times New Roman" w:hAnsi="Times New Roman" w:eastAsia="宋体" w:cs="Times New Roman"/>
          <w:lang w:eastAsia="zh-CN"/>
        </w:rPr>
        <w:t>点</w:t>
      </w:r>
      <w:r>
        <w:rPr>
          <w:rFonts w:hint="eastAsia" w:ascii="Times New Roman" w:hAnsi="Times New Roman" w:eastAsia="宋体" w:cs="Times New Roman"/>
          <w:lang w:val="en-US" w:eastAsia="zh-CN"/>
        </w:rPr>
        <w:t>五爪龙居民</w:t>
      </w:r>
      <w:r>
        <w:rPr>
          <w:rFonts w:hint="default" w:ascii="Times New Roman" w:hAnsi="Times New Roman" w:eastAsia="宋体" w:cs="Times New Roman"/>
        </w:rPr>
        <w:t>声</w:t>
      </w:r>
      <w:r>
        <w:rPr>
          <w:rFonts w:hint="default"/>
        </w:rPr>
        <w:t>环境质量可以达到《声环境质量标准》（GB3096-2008）中2类标准，即昼间60dB(A)、夜间50dB(A)，因此本项目风机运行噪声对周围居民点影响不大。</w:t>
      </w:r>
    </w:p>
    <w:p>
      <w:pPr>
        <w:bidi w:val="0"/>
        <w:ind w:left="0" w:leftChars="0" w:firstLine="0" w:firstLineChars="0"/>
      </w:pPr>
      <w:r>
        <w:drawing>
          <wp:inline distT="0" distB="0" distL="114300" distR="114300">
            <wp:extent cx="5748655" cy="5060315"/>
            <wp:effectExtent l="0" t="0" r="4445" b="6985"/>
            <wp:docPr id="14"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true"/>
                    </pic:cNvPicPr>
                  </pic:nvPicPr>
                  <pic:blipFill>
                    <a:blip r:embed="rId83"/>
                    <a:stretch>
                      <a:fillRect/>
                    </a:stretch>
                  </pic:blipFill>
                  <pic:spPr>
                    <a:xfrm>
                      <a:off x="0" y="0"/>
                      <a:ext cx="5748655" cy="5060315"/>
                    </a:xfrm>
                    <a:prstGeom prst="rect">
                      <a:avLst/>
                    </a:prstGeom>
                    <a:noFill/>
                    <a:ln>
                      <a:noFill/>
                    </a:ln>
                  </pic:spPr>
                </pic:pic>
              </a:graphicData>
            </a:graphic>
          </wp:inline>
        </w:drawing>
      </w:r>
    </w:p>
    <w:p>
      <w:pPr>
        <w:bidi w:val="0"/>
        <w:ind w:left="0" w:leftChars="0" w:firstLine="0" w:firstLineChars="0"/>
        <w:jc w:val="center"/>
        <w:rPr>
          <w:rFonts w:hint="default" w:eastAsia="宋体"/>
          <w:b/>
          <w:bCs/>
          <w:sz w:val="21"/>
          <w:szCs w:val="16"/>
          <w:lang w:val="en-US" w:eastAsia="zh-CN"/>
        </w:rPr>
      </w:pPr>
      <w:r>
        <w:rPr>
          <w:rFonts w:hint="eastAsia"/>
          <w:b/>
          <w:bCs/>
          <w:sz w:val="21"/>
          <w:szCs w:val="16"/>
          <w:lang w:val="en-US" w:eastAsia="zh-CN"/>
        </w:rPr>
        <w:t>图5.2-1 风机噪声预测结果图</w:t>
      </w:r>
    </w:p>
    <w:p>
      <w:pPr>
        <w:bidi w:val="0"/>
        <w:rPr>
          <w:rFonts w:hint="default"/>
        </w:rPr>
      </w:pPr>
      <w:r>
        <w:rPr>
          <w:rFonts w:hint="default"/>
        </w:rPr>
        <w:t>（</w:t>
      </w:r>
      <w:r>
        <w:rPr>
          <w:rFonts w:hint="eastAsia"/>
          <w:lang w:val="en-US" w:eastAsia="zh-CN"/>
        </w:rPr>
        <w:t>5</w:t>
      </w:r>
      <w:r>
        <w:rPr>
          <w:rFonts w:hint="default"/>
        </w:rPr>
        <w:t>）偏航系统运行单个风电机组突发噪声预测</w:t>
      </w:r>
    </w:p>
    <w:p>
      <w:pPr>
        <w:bidi w:val="0"/>
        <w:rPr>
          <w:rFonts w:hint="eastAsia"/>
          <w:lang w:eastAsia="zh-CN"/>
        </w:rPr>
      </w:pPr>
      <w:r>
        <w:rPr>
          <w:rFonts w:hint="eastAsia"/>
          <w:lang w:val="en-US" w:eastAsia="zh-CN"/>
        </w:rPr>
        <w:t>变更后</w:t>
      </w:r>
      <w:r>
        <w:rPr>
          <w:lang w:eastAsia="zh-CN"/>
        </w:rPr>
        <w:t>偏航系统刹车噪声、液压及润滑油冷却系统噪声</w:t>
      </w:r>
      <w:r>
        <w:rPr>
          <w:rFonts w:hint="eastAsia"/>
          <w:lang w:val="en-US" w:eastAsia="zh-CN"/>
        </w:rPr>
        <w:t>源强不变，引用原环评报告</w:t>
      </w:r>
      <w:r>
        <w:rPr>
          <w:rFonts w:hint="default"/>
        </w:rPr>
        <w:t>预测结果</w:t>
      </w:r>
      <w:r>
        <w:rPr>
          <w:lang w:eastAsia="zh-CN"/>
        </w:rPr>
        <w:t>。</w:t>
      </w:r>
    </w:p>
    <w:p>
      <w:pPr>
        <w:pStyle w:val="3590"/>
        <w:bidi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单个风电机组突发噪声衰减计算结果</w:t>
      </w:r>
      <w:r>
        <w:rPr>
          <w:rFonts w:hint="eastAsia" w:ascii="Times New Roman" w:hAnsi="Times New Roman" w:eastAsia="宋体" w:cs="Times New Roman"/>
          <w:u w:val="none" w:color="auto"/>
          <w:lang w:val="en-US" w:eastAsia="zh-CN"/>
        </w:rPr>
        <w:t xml:space="preserve">  </w:t>
      </w:r>
      <w:r>
        <w:rPr>
          <w:rFonts w:hint="default" w:ascii="Times New Roman" w:hAnsi="Times New Roman" w:eastAsia="宋体" w:cs="Times New Roman"/>
          <w:u w:val="none" w:color="auto"/>
          <w:lang w:val="en-US" w:eastAsia="zh-CN"/>
        </w:rPr>
        <w:t>单位：dB(A)</w:t>
      </w:r>
    </w:p>
    <w:tbl>
      <w:tblPr>
        <w:tblStyle w:val="88"/>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970"/>
        <w:gridCol w:w="967"/>
        <w:gridCol w:w="798"/>
        <w:gridCol w:w="798"/>
        <w:gridCol w:w="795"/>
        <w:gridCol w:w="795"/>
        <w:gridCol w:w="795"/>
        <w:gridCol w:w="783"/>
        <w:gridCol w:w="795"/>
        <w:gridCol w:w="78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10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距声源水平距离r1（m）</w:t>
            </w:r>
          </w:p>
        </w:tc>
        <w:tc>
          <w:tcPr>
            <w:tcW w:w="5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50</w:t>
            </w:r>
          </w:p>
        </w:tc>
        <w:tc>
          <w:tcPr>
            <w:tcW w:w="4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100</w:t>
            </w:r>
          </w:p>
        </w:tc>
        <w:tc>
          <w:tcPr>
            <w:tcW w:w="4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200</w:t>
            </w:r>
          </w:p>
        </w:tc>
        <w:tc>
          <w:tcPr>
            <w:tcW w:w="4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260</w:t>
            </w:r>
          </w:p>
        </w:tc>
        <w:tc>
          <w:tcPr>
            <w:tcW w:w="4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300</w:t>
            </w:r>
          </w:p>
        </w:tc>
        <w:tc>
          <w:tcPr>
            <w:tcW w:w="4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350</w:t>
            </w:r>
          </w:p>
        </w:tc>
        <w:tc>
          <w:tcPr>
            <w:tcW w:w="42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400</w:t>
            </w:r>
          </w:p>
        </w:tc>
        <w:tc>
          <w:tcPr>
            <w:tcW w:w="4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500</w:t>
            </w:r>
          </w:p>
        </w:tc>
        <w:tc>
          <w:tcPr>
            <w:tcW w:w="4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625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55" w:hRule="atLeast"/>
        </w:trPr>
        <w:tc>
          <w:tcPr>
            <w:tcW w:w="10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距声源几何距离r2（m）</w:t>
            </w:r>
          </w:p>
        </w:tc>
        <w:tc>
          <w:tcPr>
            <w:tcW w:w="5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 xml:space="preserve">120.83 </w:t>
            </w:r>
          </w:p>
        </w:tc>
        <w:tc>
          <w:tcPr>
            <w:tcW w:w="4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 xml:space="preserve">148.66 </w:t>
            </w:r>
          </w:p>
        </w:tc>
        <w:tc>
          <w:tcPr>
            <w:tcW w:w="4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 xml:space="preserve">228.25 </w:t>
            </w:r>
          </w:p>
        </w:tc>
        <w:tc>
          <w:tcPr>
            <w:tcW w:w="4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 xml:space="preserve">282.31 </w:t>
            </w:r>
          </w:p>
        </w:tc>
        <w:tc>
          <w:tcPr>
            <w:tcW w:w="4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 xml:space="preserve">319.53 </w:t>
            </w:r>
          </w:p>
        </w:tc>
        <w:tc>
          <w:tcPr>
            <w:tcW w:w="4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 xml:space="preserve">366.88 </w:t>
            </w:r>
          </w:p>
        </w:tc>
        <w:tc>
          <w:tcPr>
            <w:tcW w:w="42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 xml:space="preserve">414.85 </w:t>
            </w:r>
          </w:p>
        </w:tc>
        <w:tc>
          <w:tcPr>
            <w:tcW w:w="4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 xml:space="preserve">511.96 </w:t>
            </w:r>
          </w:p>
        </w:tc>
        <w:tc>
          <w:tcPr>
            <w:tcW w:w="4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 xml:space="preserve">634.61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10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L(r)dB(A)</w:t>
            </w:r>
          </w:p>
        </w:tc>
        <w:tc>
          <w:tcPr>
            <w:tcW w:w="5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 xml:space="preserve">70.36 </w:t>
            </w:r>
          </w:p>
        </w:tc>
        <w:tc>
          <w:tcPr>
            <w:tcW w:w="4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 xml:space="preserve">68.56 </w:t>
            </w:r>
          </w:p>
        </w:tc>
        <w:tc>
          <w:tcPr>
            <w:tcW w:w="4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 xml:space="preserve">64.83 </w:t>
            </w:r>
          </w:p>
        </w:tc>
        <w:tc>
          <w:tcPr>
            <w:tcW w:w="4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 xml:space="preserve">62.99 </w:t>
            </w:r>
          </w:p>
        </w:tc>
        <w:tc>
          <w:tcPr>
            <w:tcW w:w="4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 xml:space="preserve">61.91 </w:t>
            </w:r>
          </w:p>
        </w:tc>
        <w:tc>
          <w:tcPr>
            <w:tcW w:w="4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 xml:space="preserve">60.71 </w:t>
            </w:r>
          </w:p>
        </w:tc>
        <w:tc>
          <w:tcPr>
            <w:tcW w:w="42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 xml:space="preserve">59.64 </w:t>
            </w:r>
          </w:p>
        </w:tc>
        <w:tc>
          <w:tcPr>
            <w:tcW w:w="4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 xml:space="preserve">57.82 </w:t>
            </w:r>
          </w:p>
        </w:tc>
        <w:tc>
          <w:tcPr>
            <w:tcW w:w="4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 xml:space="preserve">55.95 </w:t>
            </w:r>
          </w:p>
        </w:tc>
      </w:tr>
    </w:tbl>
    <w:p>
      <w:pPr>
        <w:pStyle w:val="3631"/>
        <w:ind w:firstLine="466"/>
        <w:rPr>
          <w:rFonts w:hint="eastAsia" w:cs="Times New Roman"/>
          <w:b w:val="0"/>
          <w:bCs/>
          <w:color w:val="auto"/>
          <w:sz w:val="21"/>
          <w:szCs w:val="21"/>
          <w:u w:val="none" w:color="auto"/>
        </w:rPr>
      </w:pPr>
      <w:r>
        <w:rPr>
          <w:rFonts w:hint="eastAsia" w:cs="Times New Roman"/>
          <w:b w:val="0"/>
          <w:bCs/>
          <w:color w:val="auto"/>
          <w:sz w:val="21"/>
          <w:szCs w:val="21"/>
          <w:u w:val="none" w:color="auto"/>
        </w:rPr>
        <w:t>注：r2=（（r1）</w:t>
      </w:r>
      <w:r>
        <w:rPr>
          <w:rFonts w:hint="eastAsia" w:cs="Times New Roman"/>
          <w:b w:val="0"/>
          <w:bCs/>
          <w:color w:val="auto"/>
          <w:sz w:val="21"/>
          <w:szCs w:val="21"/>
          <w:u w:val="none" w:color="auto"/>
          <w:vertAlign w:val="superscript"/>
        </w:rPr>
        <w:t>2</w:t>
      </w:r>
      <w:r>
        <w:rPr>
          <w:rFonts w:hint="eastAsia" w:cs="Times New Roman"/>
          <w:b w:val="0"/>
          <w:bCs/>
          <w:color w:val="auto"/>
          <w:sz w:val="21"/>
          <w:szCs w:val="21"/>
          <w:u w:val="none" w:color="auto"/>
        </w:rPr>
        <w:t>+</w:t>
      </w:r>
      <w:r>
        <w:rPr>
          <w:rFonts w:hint="eastAsia" w:cs="Times New Roman"/>
          <w:b w:val="0"/>
          <w:bCs/>
          <w:color w:val="auto"/>
          <w:sz w:val="21"/>
          <w:szCs w:val="21"/>
          <w:u w:val="none" w:color="auto"/>
          <w:lang w:val="en-US" w:eastAsia="zh-CN"/>
        </w:rPr>
        <w:t>11</w:t>
      </w:r>
      <w:r>
        <w:rPr>
          <w:rFonts w:hint="eastAsia" w:cs="Times New Roman"/>
          <w:b w:val="0"/>
          <w:bCs/>
          <w:color w:val="auto"/>
          <w:sz w:val="21"/>
          <w:szCs w:val="21"/>
          <w:u w:val="none" w:color="auto"/>
        </w:rPr>
        <w:t>0</w:t>
      </w:r>
      <w:r>
        <w:rPr>
          <w:rFonts w:hint="eastAsia" w:cs="Times New Roman"/>
          <w:b w:val="0"/>
          <w:bCs/>
          <w:color w:val="auto"/>
          <w:sz w:val="21"/>
          <w:szCs w:val="21"/>
          <w:u w:val="none" w:color="auto"/>
          <w:vertAlign w:val="superscript"/>
        </w:rPr>
        <w:t>2</w:t>
      </w:r>
      <w:r>
        <w:rPr>
          <w:rFonts w:hint="eastAsia" w:cs="Times New Roman"/>
          <w:b w:val="0"/>
          <w:bCs/>
          <w:color w:val="auto"/>
          <w:sz w:val="21"/>
          <w:szCs w:val="21"/>
          <w:u w:val="none" w:color="auto"/>
        </w:rPr>
        <w:t>）</w:t>
      </w:r>
      <w:r>
        <w:rPr>
          <w:rFonts w:hint="eastAsia" w:cs="Times New Roman"/>
          <w:b w:val="0"/>
          <w:bCs/>
          <w:color w:val="auto"/>
          <w:sz w:val="21"/>
          <w:szCs w:val="21"/>
          <w:u w:val="none" w:color="auto"/>
          <w:vertAlign w:val="superscript"/>
        </w:rPr>
        <w:t>1/2</w:t>
      </w:r>
    </w:p>
    <w:p>
      <w:pPr>
        <w:pStyle w:val="3662"/>
        <w:ind w:left="42" w:right="42" w:firstLine="420"/>
        <w:rPr>
          <w:rFonts w:hint="eastAsia"/>
          <w:lang w:eastAsia="zh-CN"/>
        </w:rPr>
      </w:pPr>
      <w:r>
        <w:rPr>
          <w:lang w:eastAsia="zh-CN"/>
        </w:rPr>
        <w:t>从</w:t>
      </w:r>
      <w:r>
        <w:rPr>
          <w:rFonts w:hint="eastAsia"/>
          <w:lang w:eastAsia="zh-CN"/>
        </w:rPr>
        <w:t>上</w:t>
      </w:r>
      <w:r>
        <w:rPr>
          <w:lang w:eastAsia="zh-CN"/>
        </w:rPr>
        <w:t>表结果可以看出，不考虑敏感点与风电机组基础处高程差的情况下，夜间水平距离</w:t>
      </w:r>
      <w:r>
        <w:rPr>
          <w:rFonts w:hint="eastAsia"/>
          <w:lang w:eastAsia="zh-CN"/>
        </w:rPr>
        <w:t>2</w:t>
      </w:r>
      <w:r>
        <w:rPr>
          <w:rFonts w:hint="eastAsia"/>
          <w:lang w:val="en-US" w:eastAsia="zh-CN"/>
        </w:rPr>
        <w:t>0</w:t>
      </w:r>
      <w:r>
        <w:rPr>
          <w:rFonts w:hint="eastAsia"/>
          <w:lang w:eastAsia="zh-CN"/>
        </w:rPr>
        <w:t>0</w:t>
      </w:r>
      <w:r>
        <w:rPr>
          <w:lang w:eastAsia="zh-CN"/>
        </w:rPr>
        <w:t>m处的噪声能满足《声环境质量标准》(GB3096-2008)</w:t>
      </w:r>
      <w:r>
        <w:rPr>
          <w:rFonts w:hint="eastAsia"/>
          <w:lang w:eastAsia="zh-CN"/>
        </w:rPr>
        <w:t>2</w:t>
      </w:r>
      <w:r>
        <w:rPr>
          <w:lang w:eastAsia="zh-CN"/>
        </w:rPr>
        <w:t>类声环境功能区</w:t>
      </w:r>
      <w:r>
        <w:rPr>
          <w:rFonts w:hint="eastAsia"/>
          <w:lang w:eastAsia="zh-CN"/>
        </w:rPr>
        <w:t>夜间突发</w:t>
      </w:r>
      <w:r>
        <w:rPr>
          <w:lang w:eastAsia="zh-CN"/>
        </w:rPr>
        <w:t>噪声限值（</w:t>
      </w:r>
      <w:r>
        <w:rPr>
          <w:rFonts w:hint="eastAsia"/>
          <w:lang w:eastAsia="zh-CN"/>
        </w:rPr>
        <w:t>65</w:t>
      </w:r>
      <w:r>
        <w:rPr>
          <w:lang w:eastAsia="zh-CN"/>
        </w:rPr>
        <w:t>dB(A)）的要求。</w:t>
      </w:r>
      <w:r>
        <w:rPr>
          <w:rFonts w:hint="eastAsia"/>
          <w:lang w:eastAsia="zh-CN"/>
        </w:rPr>
        <w:t>本项目风机点位周围居民点均在</w:t>
      </w:r>
      <w:r>
        <w:rPr>
          <w:rFonts w:hint="eastAsia"/>
          <w:lang w:val="en-US" w:eastAsia="zh-CN"/>
        </w:rPr>
        <w:t>200</w:t>
      </w:r>
      <w:r>
        <w:rPr>
          <w:rFonts w:hint="eastAsia"/>
          <w:lang w:eastAsia="zh-CN"/>
        </w:rPr>
        <w:t>m外，最近居民位于</w:t>
      </w:r>
      <w:r>
        <w:rPr>
          <w:rFonts w:hint="eastAsia"/>
          <w:lang w:val="en-US" w:eastAsia="zh-CN"/>
        </w:rPr>
        <w:t>14号风机西北侧525m</w:t>
      </w:r>
      <w:r>
        <w:rPr>
          <w:rFonts w:hint="eastAsia"/>
          <w:lang w:eastAsia="zh-CN"/>
        </w:rPr>
        <w:t>，因此偏航噪声对周围居民点声环境质量影响较小。</w:t>
      </w:r>
    </w:p>
    <w:p>
      <w:pPr>
        <w:pStyle w:val="3662"/>
        <w:ind w:left="42" w:right="42" w:firstLine="420"/>
        <w:rPr>
          <w:rFonts w:hint="default"/>
          <w:lang w:eastAsia="zh-CN"/>
        </w:rPr>
      </w:pPr>
      <w:r>
        <w:rPr>
          <w:lang w:eastAsia="zh-CN"/>
        </w:rPr>
        <w:t>为了减小偏航系统产生的刹车噪声对噪声敏感建筑物的影响，本环评建议，风电机组在运行过程中应加强偏航系统的维护保养并应尽量避免运行偏航系统，将风电机组对噪声敏感建筑物的影响降低至最小。</w:t>
      </w:r>
    </w:p>
    <w:p>
      <w:pPr>
        <w:bidi w:val="0"/>
        <w:rPr>
          <w:rFonts w:hint="default"/>
          <w:lang w:val="sq-AL"/>
        </w:rPr>
      </w:pPr>
      <w:r>
        <w:rPr>
          <w:rFonts w:hint="default"/>
        </w:rPr>
        <w:t>（</w:t>
      </w:r>
      <w:r>
        <w:rPr>
          <w:rFonts w:hint="eastAsia"/>
          <w:lang w:val="en-US" w:eastAsia="zh-CN"/>
        </w:rPr>
        <w:t>6</w:t>
      </w:r>
      <w:r>
        <w:rPr>
          <w:rFonts w:hint="default"/>
        </w:rPr>
        <w:t>）噪声</w:t>
      </w:r>
      <w:r>
        <w:rPr>
          <w:rFonts w:hint="eastAsia"/>
          <w:lang w:val="en-US" w:eastAsia="zh-CN"/>
        </w:rPr>
        <w:t>控规</w:t>
      </w:r>
      <w:r>
        <w:rPr>
          <w:rFonts w:hint="default"/>
        </w:rPr>
        <w:t>距离</w:t>
      </w:r>
    </w:p>
    <w:p>
      <w:pPr>
        <w:bidi w:val="0"/>
        <w:rPr>
          <w:rFonts w:hint="eastAsia"/>
          <w:lang w:eastAsia="zh-CN"/>
        </w:rPr>
      </w:pPr>
      <w:r>
        <w:rPr>
          <w:rFonts w:hint="default"/>
          <w:lang w:eastAsia="zh-CN"/>
        </w:rPr>
        <w:t>根据上述预测结果及《湖南省风电场项目建设管理办法》(湘发改能源［2012］445 号)要求，环评建议以变更后的</w:t>
      </w:r>
      <w:r>
        <w:rPr>
          <w:rFonts w:hint="eastAsia"/>
          <w:lang w:eastAsia="zh-CN"/>
        </w:rPr>
        <w:t>风机</w:t>
      </w:r>
      <w:r>
        <w:rPr>
          <w:rFonts w:hint="default"/>
          <w:lang w:eastAsia="zh-CN"/>
        </w:rPr>
        <w:t>平台边界外</w:t>
      </w:r>
      <w:r>
        <w:rPr>
          <w:rFonts w:hint="eastAsia"/>
          <w:lang w:val="en-US" w:eastAsia="zh-CN"/>
        </w:rPr>
        <w:t>30</w:t>
      </w:r>
      <w:r>
        <w:rPr>
          <w:rFonts w:hint="default"/>
          <w:lang w:eastAsia="zh-CN"/>
        </w:rPr>
        <w:t>0m范围的区域划定为风电机组的噪声影响控制区，在该区域范围内，不规划建设居民住宅、学校、医院等噪声敏感建筑物</w:t>
      </w:r>
      <w:r>
        <w:rPr>
          <w:rFonts w:hint="eastAsia"/>
          <w:lang w:eastAsia="zh-CN"/>
        </w:rPr>
        <w:t>。</w:t>
      </w:r>
    </w:p>
    <w:p>
      <w:pPr>
        <w:bidi w:val="0"/>
        <w:rPr>
          <w:rFonts w:hint="eastAsia" w:cs="Times New Roman"/>
          <w:b/>
          <w:bCs/>
          <w:color w:val="auto"/>
          <w:u w:val="none" w:color="auto"/>
          <w:lang w:val="en-US" w:eastAsia="zh-CN"/>
        </w:rPr>
      </w:pPr>
      <w:r>
        <w:rPr>
          <w:rFonts w:hint="eastAsia" w:cs="Times New Roman"/>
          <w:b/>
          <w:bCs/>
          <w:color w:val="auto"/>
          <w:u w:val="none" w:color="auto"/>
          <w:lang w:val="en-US" w:eastAsia="zh-CN"/>
        </w:rPr>
        <w:t>5.2.1.2汇集站噪声影响预测</w:t>
      </w:r>
    </w:p>
    <w:p>
      <w:pPr>
        <w:bidi w:val="0"/>
        <w:rPr>
          <w:lang w:eastAsia="zh-CN"/>
        </w:rPr>
      </w:pPr>
      <w:r>
        <w:rPr>
          <w:rFonts w:hint="eastAsia"/>
          <w:lang w:val="en-US" w:eastAsia="zh-CN"/>
        </w:rPr>
        <w:t>变更后汇</w:t>
      </w:r>
      <w:r>
        <w:rPr>
          <w:rFonts w:hint="eastAsia" w:ascii="Times New Roman" w:hAnsi="Times New Roman" w:eastAsia="宋体" w:cs="Times New Roman"/>
          <w:lang w:val="en-US" w:eastAsia="zh-CN"/>
        </w:rPr>
        <w:t>集</w:t>
      </w:r>
      <w:r>
        <w:rPr>
          <w:rFonts w:hint="eastAsia" w:ascii="Times New Roman" w:hAnsi="Times New Roman" w:eastAsia="宋体" w:cs="Times New Roman"/>
          <w:lang w:eastAsia="zh-CN"/>
        </w:rPr>
        <w:t>站的</w:t>
      </w:r>
      <w:r>
        <w:rPr>
          <w:rFonts w:hint="eastAsia" w:ascii="Times New Roman" w:hAnsi="Times New Roman" w:eastAsia="宋体" w:cs="Times New Roman"/>
          <w:lang w:val="en-US" w:eastAsia="zh-CN"/>
        </w:rPr>
        <w:t>设备和平面布置不变，和原环评一致，噪声源强不变，声环境保护目标位置不变，为</w:t>
      </w:r>
      <w:r>
        <w:rPr>
          <w:rFonts w:hint="eastAsia" w:ascii="Times New Roman" w:hAnsi="Times New Roman" w:eastAsia="宋体" w:cs="Times New Roman"/>
          <w:lang w:eastAsia="zh-CN"/>
        </w:rPr>
        <w:t>汇集站南侧117m的麻池塘居民点</w:t>
      </w:r>
      <w:r>
        <w:rPr>
          <w:rFonts w:hint="eastAsia" w:ascii="Times New Roman" w:hAnsi="Times New Roman" w:eastAsia="宋体" w:cs="Times New Roman"/>
          <w:lang w:val="en-US" w:eastAsia="zh-CN"/>
        </w:rPr>
        <w:t>和</w:t>
      </w:r>
      <w:r>
        <w:rPr>
          <w:rFonts w:hint="eastAsia" w:ascii="Times New Roman" w:hAnsi="Times New Roman" w:eastAsia="宋体" w:cs="Times New Roman"/>
          <w:lang w:eastAsia="zh-CN"/>
        </w:rPr>
        <w:t>汇集站南侧1</w:t>
      </w:r>
      <w:r>
        <w:rPr>
          <w:rFonts w:hint="eastAsia" w:ascii="Times New Roman" w:hAnsi="Times New Roman" w:eastAsia="宋体" w:cs="Times New Roman"/>
          <w:lang w:val="en-US" w:eastAsia="zh-CN"/>
        </w:rPr>
        <w:t>29</w:t>
      </w:r>
      <w:r>
        <w:rPr>
          <w:rFonts w:hint="eastAsia" w:ascii="Times New Roman" w:hAnsi="Times New Roman" w:eastAsia="宋体" w:cs="Times New Roman"/>
          <w:lang w:eastAsia="zh-CN"/>
        </w:rPr>
        <w:t>m</w:t>
      </w:r>
      <w:r>
        <w:rPr>
          <w:rFonts w:hint="eastAsia" w:eastAsia="宋体"/>
          <w:spacing w:val="-1"/>
          <w:sz w:val="24"/>
          <w:szCs w:val="24"/>
          <w:lang w:val="en-US" w:eastAsia="zh-CN"/>
        </w:rPr>
        <w:t>的雷家居民点</w:t>
      </w:r>
      <w:r>
        <w:rPr>
          <w:rFonts w:hint="eastAsia" w:ascii="Times New Roman" w:hAnsi="Times New Roman" w:eastAsia="宋体" w:cs="Times New Roman"/>
          <w:sz w:val="24"/>
          <w:szCs w:val="24"/>
          <w:lang w:val="en-US" w:eastAsia="zh-CN"/>
        </w:rPr>
        <w:t>。噪声影响预测</w:t>
      </w:r>
      <w:r>
        <w:rPr>
          <w:rFonts w:hint="eastAsia" w:ascii="Times New Roman" w:hAnsi="Times New Roman" w:eastAsia="宋体" w:cs="Times New Roman"/>
          <w:lang w:val="en-US" w:eastAsia="zh-CN"/>
        </w:rPr>
        <w:t>引用原环评报告</w:t>
      </w:r>
      <w:r>
        <w:rPr>
          <w:rFonts w:hint="default" w:ascii="Times New Roman" w:hAnsi="Times New Roman" w:eastAsia="宋体" w:cs="Times New Roman"/>
          <w:lang w:eastAsia="zh-CN"/>
        </w:rPr>
        <w:t>预测结</w:t>
      </w:r>
      <w:r>
        <w:rPr>
          <w:rFonts w:hint="default"/>
        </w:rPr>
        <w:t>果</w:t>
      </w:r>
      <w:r>
        <w:rPr>
          <w:lang w:eastAsia="zh-CN"/>
        </w:rPr>
        <w:t>。</w:t>
      </w:r>
    </w:p>
    <w:p>
      <w:pPr>
        <w:pStyle w:val="3590"/>
        <w:bidi w:val="0"/>
        <w:rPr>
          <w:rFonts w:hint="default"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汇集</w:t>
      </w:r>
      <w:r>
        <w:rPr>
          <w:rFonts w:hint="default" w:ascii="Times New Roman" w:hAnsi="Times New Roman" w:eastAsia="宋体" w:cs="Times New Roman"/>
          <w:u w:val="none" w:color="auto"/>
          <w:lang w:val="en-US" w:eastAsia="zh-CN"/>
        </w:rPr>
        <w:t>站</w:t>
      </w:r>
      <w:r>
        <w:rPr>
          <w:rFonts w:hint="eastAsia" w:cs="Times New Roman"/>
          <w:u w:val="none" w:color="auto"/>
          <w:lang w:val="en-US" w:eastAsia="zh-CN"/>
        </w:rPr>
        <w:t>厂界</w:t>
      </w:r>
      <w:r>
        <w:rPr>
          <w:rFonts w:hint="default" w:ascii="Times New Roman" w:hAnsi="Times New Roman" w:eastAsia="宋体" w:cs="Times New Roman"/>
          <w:u w:val="none" w:color="auto"/>
          <w:lang w:val="en-US" w:eastAsia="zh-CN"/>
        </w:rPr>
        <w:t>噪声预测结果</w:t>
      </w:r>
    </w:p>
    <w:tbl>
      <w:tblPr>
        <w:tblStyle w:val="88"/>
        <w:tblW w:w="452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03"/>
        <w:gridCol w:w="1613"/>
        <w:gridCol w:w="1627"/>
        <w:gridCol w:w="1125"/>
        <w:gridCol w:w="1050"/>
        <w:gridCol w:w="1050"/>
        <w:gridCol w:w="8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4" w:type="pct"/>
            <w:gridSpan w:val="2"/>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位置</w:t>
            </w:r>
          </w:p>
        </w:tc>
        <w:tc>
          <w:tcPr>
            <w:tcW w:w="96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最大贡献值</w:t>
            </w:r>
          </w:p>
        </w:tc>
        <w:tc>
          <w:tcPr>
            <w:tcW w:w="1292" w:type="pct"/>
            <w:gridSpan w:val="2"/>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标准值</w:t>
            </w:r>
          </w:p>
        </w:tc>
        <w:tc>
          <w:tcPr>
            <w:tcW w:w="1125" w:type="pct"/>
            <w:gridSpan w:val="2"/>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4"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p>
        </w:tc>
        <w:tc>
          <w:tcPr>
            <w:tcW w:w="96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p>
        </w:tc>
        <w:tc>
          <w:tcPr>
            <w:tcW w:w="668"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昼间</w:t>
            </w:r>
          </w:p>
        </w:tc>
        <w:tc>
          <w:tcPr>
            <w:tcW w:w="624"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夜间</w:t>
            </w:r>
          </w:p>
        </w:tc>
        <w:tc>
          <w:tcPr>
            <w:tcW w:w="624"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昼间</w:t>
            </w:r>
          </w:p>
        </w:tc>
        <w:tc>
          <w:tcPr>
            <w:tcW w:w="501"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u w:val="none" w:color="auto"/>
                <w:vertAlign w:val="baseline"/>
                <w:lang w:val="en-US" w:eastAsia="zh-CN"/>
              </w:rPr>
            </w:pPr>
            <w:r>
              <w:rPr>
                <w:rFonts w:hint="eastAsia" w:cs="Times New Roman"/>
                <w:sz w:val="21"/>
                <w:szCs w:val="21"/>
                <w:u w:val="none" w:color="auto"/>
                <w:vertAlign w:val="baseline"/>
                <w:lang w:val="en-US" w:eastAsia="zh-CN"/>
              </w:rPr>
              <w:t>汇集站</w:t>
            </w:r>
          </w:p>
        </w:tc>
        <w:tc>
          <w:tcPr>
            <w:tcW w:w="95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站址东侧</w:t>
            </w:r>
          </w:p>
        </w:tc>
        <w:tc>
          <w:tcPr>
            <w:tcW w:w="9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cs="Times New Roman"/>
                <w:sz w:val="21"/>
                <w:szCs w:val="21"/>
                <w:u w:val="none" w:color="auto"/>
                <w:vertAlign w:val="baseline"/>
                <w:lang w:val="en-US" w:eastAsia="zh-CN"/>
              </w:rPr>
              <w:t>3</w:t>
            </w:r>
            <w:r>
              <w:rPr>
                <w:rFonts w:hint="eastAsia" w:ascii="Times New Roman" w:hAnsi="Times New Roman" w:eastAsia="宋体" w:cs="Times New Roman"/>
                <w:sz w:val="21"/>
                <w:szCs w:val="21"/>
                <w:u w:val="none" w:color="auto"/>
                <w:vertAlign w:val="baseline"/>
                <w:lang w:val="en-US" w:eastAsia="zh-CN"/>
              </w:rPr>
              <w:t xml:space="preserve">9.16 </w:t>
            </w:r>
          </w:p>
        </w:tc>
        <w:tc>
          <w:tcPr>
            <w:tcW w:w="668"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60</w:t>
            </w:r>
          </w:p>
        </w:tc>
        <w:tc>
          <w:tcPr>
            <w:tcW w:w="624"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50</w:t>
            </w:r>
          </w:p>
        </w:tc>
        <w:tc>
          <w:tcPr>
            <w:tcW w:w="624"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达标</w:t>
            </w:r>
          </w:p>
        </w:tc>
        <w:tc>
          <w:tcPr>
            <w:tcW w:w="501"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p>
        </w:tc>
        <w:tc>
          <w:tcPr>
            <w:tcW w:w="95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站址南侧</w:t>
            </w:r>
          </w:p>
        </w:tc>
        <w:tc>
          <w:tcPr>
            <w:tcW w:w="9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cs="Times New Roman"/>
                <w:sz w:val="21"/>
                <w:szCs w:val="21"/>
                <w:u w:val="none" w:color="auto"/>
                <w:vertAlign w:val="baseline"/>
                <w:lang w:val="en-US" w:eastAsia="zh-CN"/>
              </w:rPr>
              <w:t>3</w:t>
            </w:r>
            <w:r>
              <w:rPr>
                <w:rFonts w:hint="eastAsia" w:ascii="Times New Roman" w:hAnsi="Times New Roman" w:eastAsia="宋体" w:cs="Times New Roman"/>
                <w:sz w:val="21"/>
                <w:szCs w:val="21"/>
                <w:u w:val="none" w:color="auto"/>
                <w:vertAlign w:val="baseline"/>
                <w:lang w:val="en-US" w:eastAsia="zh-CN"/>
              </w:rPr>
              <w:t xml:space="preserve">5.64 </w:t>
            </w:r>
          </w:p>
        </w:tc>
        <w:tc>
          <w:tcPr>
            <w:tcW w:w="668"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60</w:t>
            </w:r>
          </w:p>
        </w:tc>
        <w:tc>
          <w:tcPr>
            <w:tcW w:w="624"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50</w:t>
            </w:r>
          </w:p>
        </w:tc>
        <w:tc>
          <w:tcPr>
            <w:tcW w:w="624"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达标</w:t>
            </w:r>
          </w:p>
        </w:tc>
        <w:tc>
          <w:tcPr>
            <w:tcW w:w="501"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p>
        </w:tc>
        <w:tc>
          <w:tcPr>
            <w:tcW w:w="95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站址西侧</w:t>
            </w:r>
          </w:p>
        </w:tc>
        <w:tc>
          <w:tcPr>
            <w:tcW w:w="9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cs="Times New Roman"/>
                <w:sz w:val="21"/>
                <w:szCs w:val="21"/>
                <w:u w:val="none" w:color="auto"/>
                <w:vertAlign w:val="baseline"/>
                <w:lang w:val="en-US" w:eastAsia="zh-CN"/>
              </w:rPr>
              <w:t>3</w:t>
            </w:r>
            <w:r>
              <w:rPr>
                <w:rFonts w:hint="eastAsia" w:ascii="Times New Roman" w:hAnsi="Times New Roman" w:eastAsia="宋体" w:cs="Times New Roman"/>
                <w:sz w:val="21"/>
                <w:szCs w:val="21"/>
                <w:u w:val="none" w:color="auto"/>
                <w:vertAlign w:val="baseline"/>
                <w:lang w:val="en-US" w:eastAsia="zh-CN"/>
              </w:rPr>
              <w:t xml:space="preserve">9.38 </w:t>
            </w:r>
          </w:p>
        </w:tc>
        <w:tc>
          <w:tcPr>
            <w:tcW w:w="668"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60</w:t>
            </w:r>
          </w:p>
        </w:tc>
        <w:tc>
          <w:tcPr>
            <w:tcW w:w="624"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50</w:t>
            </w:r>
          </w:p>
        </w:tc>
        <w:tc>
          <w:tcPr>
            <w:tcW w:w="624"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达标</w:t>
            </w:r>
          </w:p>
        </w:tc>
        <w:tc>
          <w:tcPr>
            <w:tcW w:w="501"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p>
        </w:tc>
        <w:tc>
          <w:tcPr>
            <w:tcW w:w="95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站址北侧</w:t>
            </w:r>
          </w:p>
        </w:tc>
        <w:tc>
          <w:tcPr>
            <w:tcW w:w="9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cs="Times New Roman"/>
                <w:sz w:val="21"/>
                <w:szCs w:val="21"/>
                <w:u w:val="none" w:color="auto"/>
                <w:vertAlign w:val="baseline"/>
                <w:lang w:val="en-US" w:eastAsia="zh-CN"/>
              </w:rPr>
              <w:t>3</w:t>
            </w:r>
            <w:r>
              <w:rPr>
                <w:rFonts w:hint="eastAsia" w:ascii="Times New Roman" w:hAnsi="Times New Roman" w:eastAsia="宋体" w:cs="Times New Roman"/>
                <w:sz w:val="21"/>
                <w:szCs w:val="21"/>
                <w:u w:val="none" w:color="auto"/>
                <w:vertAlign w:val="baseline"/>
                <w:lang w:val="en-US" w:eastAsia="zh-CN"/>
              </w:rPr>
              <w:t xml:space="preserve">6.71 </w:t>
            </w:r>
          </w:p>
        </w:tc>
        <w:tc>
          <w:tcPr>
            <w:tcW w:w="668"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60</w:t>
            </w:r>
          </w:p>
        </w:tc>
        <w:tc>
          <w:tcPr>
            <w:tcW w:w="624"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50</w:t>
            </w:r>
          </w:p>
        </w:tc>
        <w:tc>
          <w:tcPr>
            <w:tcW w:w="624"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达标</w:t>
            </w:r>
          </w:p>
        </w:tc>
        <w:tc>
          <w:tcPr>
            <w:tcW w:w="501"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u w:val="none" w:color="auto"/>
                <w:vertAlign w:val="baseline"/>
                <w:lang w:val="en-US" w:eastAsia="zh-CN"/>
              </w:rPr>
            </w:pPr>
            <w:r>
              <w:rPr>
                <w:rFonts w:hint="eastAsia" w:ascii="Times New Roman" w:hAnsi="Times New Roman" w:eastAsia="宋体" w:cs="Times New Roman"/>
                <w:sz w:val="21"/>
                <w:szCs w:val="21"/>
                <w:u w:val="none" w:color="auto"/>
                <w:vertAlign w:val="baseline"/>
                <w:lang w:val="en-US" w:eastAsia="zh-CN"/>
              </w:rPr>
              <w:t>达标</w:t>
            </w:r>
          </w:p>
        </w:tc>
      </w:tr>
    </w:tbl>
    <w:p>
      <w:pPr>
        <w:pStyle w:val="3590"/>
        <w:numPr>
          <w:ilvl w:val="0"/>
          <w:numId w:val="0"/>
        </w:numPr>
        <w:bidi w:val="0"/>
        <w:ind w:leftChars="0"/>
        <w:jc w:val="both"/>
        <w:rPr>
          <w:rFonts w:hint="default" w:ascii="Times New Roman" w:hAnsi="Times New Roman" w:eastAsia="宋体" w:cs="Times New Roman"/>
          <w:u w:val="none" w:color="auto"/>
          <w:lang w:val="en-US" w:eastAsia="zh-CN"/>
        </w:rPr>
      </w:pPr>
    </w:p>
    <w:p>
      <w:pPr>
        <w:pStyle w:val="3590"/>
        <w:bidi w:val="0"/>
        <w:rPr>
          <w:rFonts w:hint="eastAsia"/>
          <w:lang w:val="en-US" w:eastAsia="zh-CN"/>
        </w:rPr>
      </w:pPr>
      <w:r>
        <w:rPr>
          <w:rFonts w:hint="eastAsia" w:ascii="Times New Roman" w:hAnsi="Times New Roman" w:eastAsia="宋体" w:cs="Times New Roman"/>
          <w:u w:val="none" w:color="auto"/>
          <w:lang w:val="en-US" w:eastAsia="zh-CN"/>
        </w:rPr>
        <w:t>敏感点</w:t>
      </w:r>
      <w:r>
        <w:rPr>
          <w:rFonts w:hint="default" w:ascii="Times New Roman" w:hAnsi="Times New Roman" w:eastAsia="宋体" w:cs="Times New Roman"/>
          <w:u w:val="none" w:color="auto"/>
          <w:lang w:val="en-US" w:eastAsia="zh-CN"/>
        </w:rPr>
        <w:t>噪声</w:t>
      </w:r>
      <w:r>
        <w:rPr>
          <w:rFonts w:hint="eastAsia" w:ascii="Times New Roman" w:hAnsi="Times New Roman" w:eastAsia="宋体" w:cs="Times New Roman"/>
          <w:u w:val="none" w:color="auto"/>
          <w:lang w:val="en-US" w:eastAsia="zh-CN"/>
        </w:rPr>
        <w:t>影响</w:t>
      </w:r>
      <w:r>
        <w:rPr>
          <w:rFonts w:hint="default" w:ascii="Times New Roman" w:hAnsi="Times New Roman" w:eastAsia="宋体" w:cs="Times New Roman"/>
          <w:u w:val="none" w:color="auto"/>
          <w:lang w:val="en-US" w:eastAsia="zh-CN"/>
        </w:rPr>
        <w:t>预测结果</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25"/>
        <w:gridCol w:w="843"/>
        <w:gridCol w:w="771"/>
        <w:gridCol w:w="1278"/>
        <w:gridCol w:w="1264"/>
        <w:gridCol w:w="1745"/>
        <w:gridCol w:w="16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25" w:type="dxa"/>
            <w:vMerge w:val="restart"/>
            <w:tcBorders>
              <w:tl2br w:val="nil"/>
              <w:tr2bl w:val="nil"/>
            </w:tcBorders>
            <w:vAlign w:val="center"/>
          </w:tcPr>
          <w:p>
            <w:pPr>
              <w:widowControl/>
              <w:spacing w:line="240" w:lineRule="auto"/>
              <w:ind w:firstLine="0" w:firstLineChars="0"/>
              <w:jc w:val="center"/>
              <w:textAlignment w:val="center"/>
              <w:rPr>
                <w:rFonts w:hint="eastAsia" w:eastAsia="宋体"/>
                <w:spacing w:val="-1"/>
                <w:sz w:val="21"/>
                <w:szCs w:val="21"/>
                <w:lang w:eastAsia="zh-CN"/>
              </w:rPr>
            </w:pPr>
            <w:r>
              <w:rPr>
                <w:rFonts w:hint="eastAsia" w:eastAsia="宋体"/>
                <w:spacing w:val="-1"/>
                <w:sz w:val="21"/>
                <w:szCs w:val="21"/>
                <w:lang w:val="en-US" w:eastAsia="zh-CN"/>
              </w:rPr>
              <w:t>敏感点</w:t>
            </w:r>
          </w:p>
        </w:tc>
        <w:tc>
          <w:tcPr>
            <w:tcW w:w="1614" w:type="dxa"/>
            <w:gridSpan w:val="2"/>
            <w:vMerge w:val="restart"/>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r>
              <w:rPr>
                <w:rFonts w:eastAsia="Times New Roman"/>
                <w:spacing w:val="-1"/>
                <w:sz w:val="21"/>
                <w:szCs w:val="21"/>
              </w:rPr>
              <w:t>现状监测结果</w:t>
            </w:r>
          </w:p>
          <w:p>
            <w:pPr>
              <w:widowControl/>
              <w:spacing w:line="240" w:lineRule="auto"/>
              <w:ind w:firstLine="0" w:firstLineChars="0"/>
              <w:jc w:val="center"/>
              <w:textAlignment w:val="center"/>
              <w:rPr>
                <w:rFonts w:eastAsia="Times New Roman"/>
                <w:spacing w:val="-1"/>
                <w:sz w:val="21"/>
                <w:szCs w:val="21"/>
              </w:rPr>
            </w:pPr>
            <w:r>
              <w:rPr>
                <w:rFonts w:eastAsia="Times New Roman"/>
                <w:spacing w:val="-1"/>
                <w:sz w:val="21"/>
                <w:szCs w:val="21"/>
                <w:lang w:val="en-GB"/>
              </w:rPr>
              <w:t>（</w:t>
            </w:r>
            <w:r>
              <w:rPr>
                <w:rFonts w:eastAsia="Times New Roman"/>
                <w:spacing w:val="-1"/>
                <w:sz w:val="21"/>
                <w:szCs w:val="21"/>
              </w:rPr>
              <w:t>dB(A)</w:t>
            </w:r>
            <w:r>
              <w:rPr>
                <w:rFonts w:eastAsia="Times New Roman"/>
                <w:spacing w:val="-1"/>
                <w:sz w:val="21"/>
                <w:szCs w:val="21"/>
                <w:lang w:val="en-GB"/>
              </w:rPr>
              <w:t>）</w:t>
            </w:r>
          </w:p>
        </w:tc>
        <w:tc>
          <w:tcPr>
            <w:tcW w:w="2542" w:type="dxa"/>
            <w:gridSpan w:val="2"/>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r>
              <w:rPr>
                <w:rFonts w:eastAsia="Times New Roman"/>
                <w:spacing w:val="-1"/>
                <w:sz w:val="21"/>
                <w:szCs w:val="21"/>
              </w:rPr>
              <w:t>正常工况</w:t>
            </w:r>
          </w:p>
        </w:tc>
        <w:tc>
          <w:tcPr>
            <w:tcW w:w="1745" w:type="dxa"/>
            <w:vMerge w:val="restart"/>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r>
              <w:rPr>
                <w:rFonts w:eastAsia="Times New Roman"/>
                <w:spacing w:val="-1"/>
                <w:sz w:val="21"/>
                <w:szCs w:val="21"/>
              </w:rPr>
              <w:t>标准值</w:t>
            </w:r>
          </w:p>
        </w:tc>
        <w:tc>
          <w:tcPr>
            <w:tcW w:w="1670" w:type="dxa"/>
            <w:vMerge w:val="restart"/>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r>
              <w:rPr>
                <w:rFonts w:eastAsia="Times New Roman"/>
                <w:spacing w:val="-1"/>
                <w:sz w:val="21"/>
                <w:szCs w:val="21"/>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925" w:type="dxa"/>
            <w:vMerge w:val="continue"/>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p>
        </w:tc>
        <w:tc>
          <w:tcPr>
            <w:tcW w:w="1614" w:type="dxa"/>
            <w:gridSpan w:val="2"/>
            <w:vMerge w:val="continue"/>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p>
        </w:tc>
        <w:tc>
          <w:tcPr>
            <w:tcW w:w="1278" w:type="dxa"/>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r>
              <w:rPr>
                <w:rFonts w:hint="eastAsia" w:eastAsia="Times New Roman"/>
                <w:spacing w:val="-1"/>
                <w:sz w:val="21"/>
                <w:szCs w:val="21"/>
              </w:rPr>
              <w:t>贡献值</w:t>
            </w:r>
          </w:p>
        </w:tc>
        <w:tc>
          <w:tcPr>
            <w:tcW w:w="1264" w:type="dxa"/>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r>
              <w:rPr>
                <w:rFonts w:eastAsia="Times New Roman"/>
                <w:spacing w:val="-1"/>
                <w:sz w:val="21"/>
                <w:szCs w:val="21"/>
              </w:rPr>
              <w:t>叠加值</w:t>
            </w:r>
          </w:p>
        </w:tc>
        <w:tc>
          <w:tcPr>
            <w:tcW w:w="1745" w:type="dxa"/>
            <w:vMerge w:val="continue"/>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p>
        </w:tc>
        <w:tc>
          <w:tcPr>
            <w:tcW w:w="1670" w:type="dxa"/>
            <w:vMerge w:val="continue"/>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25" w:type="dxa"/>
            <w:vMerge w:val="restart"/>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r>
              <w:rPr>
                <w:rFonts w:hint="eastAsia"/>
                <w:sz w:val="21"/>
                <w:szCs w:val="21"/>
                <w:lang w:val="en-US" w:eastAsia="zh-CN"/>
              </w:rPr>
              <w:t>麻池塘</w:t>
            </w:r>
            <w:r>
              <w:rPr>
                <w:sz w:val="21"/>
                <w:szCs w:val="21"/>
              </w:rPr>
              <w:t>居民</w:t>
            </w:r>
            <w:r>
              <w:rPr>
                <w:rFonts w:hint="eastAsia"/>
                <w:sz w:val="21"/>
                <w:szCs w:val="21"/>
              </w:rPr>
              <w:t>点</w:t>
            </w:r>
          </w:p>
        </w:tc>
        <w:tc>
          <w:tcPr>
            <w:tcW w:w="843" w:type="dxa"/>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r>
              <w:rPr>
                <w:rFonts w:eastAsia="Times New Roman"/>
                <w:spacing w:val="-1"/>
                <w:sz w:val="21"/>
                <w:szCs w:val="21"/>
              </w:rPr>
              <w:t>昼间</w:t>
            </w:r>
          </w:p>
        </w:tc>
        <w:tc>
          <w:tcPr>
            <w:tcW w:w="771" w:type="dxa"/>
            <w:tcBorders>
              <w:tl2br w:val="nil"/>
              <w:tr2bl w:val="nil"/>
            </w:tcBorders>
            <w:vAlign w:val="center"/>
          </w:tcPr>
          <w:p>
            <w:pPr>
              <w:widowControl/>
              <w:spacing w:line="240" w:lineRule="auto"/>
              <w:ind w:firstLine="0" w:firstLineChars="0"/>
              <w:jc w:val="center"/>
              <w:textAlignment w:val="center"/>
              <w:rPr>
                <w:rFonts w:hint="default" w:eastAsia="宋体"/>
                <w:spacing w:val="-1"/>
                <w:sz w:val="21"/>
                <w:szCs w:val="21"/>
                <w:lang w:val="en-US" w:eastAsia="zh-CN"/>
              </w:rPr>
            </w:pPr>
            <w:r>
              <w:rPr>
                <w:rFonts w:hint="eastAsia" w:eastAsia="宋体"/>
                <w:spacing w:val="-1"/>
                <w:sz w:val="21"/>
                <w:szCs w:val="21"/>
                <w:lang w:val="en-US" w:eastAsia="zh-CN"/>
              </w:rPr>
              <w:t>43.7</w:t>
            </w:r>
          </w:p>
        </w:tc>
        <w:tc>
          <w:tcPr>
            <w:tcW w:w="1278" w:type="dxa"/>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r>
              <w:rPr>
                <w:rFonts w:hint="eastAsia" w:eastAsia="Times New Roman"/>
                <w:spacing w:val="-1"/>
                <w:sz w:val="21"/>
                <w:szCs w:val="21"/>
              </w:rPr>
              <w:t>2</w:t>
            </w:r>
            <w:r>
              <w:rPr>
                <w:rFonts w:hint="eastAsia" w:eastAsia="宋体"/>
                <w:spacing w:val="-1"/>
                <w:sz w:val="21"/>
                <w:szCs w:val="21"/>
                <w:lang w:val="en-US" w:eastAsia="zh-CN"/>
              </w:rPr>
              <w:t>8</w:t>
            </w:r>
            <w:r>
              <w:rPr>
                <w:rFonts w:hint="eastAsia" w:eastAsia="Times New Roman"/>
                <w:spacing w:val="-1"/>
                <w:sz w:val="21"/>
                <w:szCs w:val="21"/>
              </w:rPr>
              <w:t>.58</w:t>
            </w:r>
          </w:p>
        </w:tc>
        <w:tc>
          <w:tcPr>
            <w:tcW w:w="1264" w:type="dxa"/>
            <w:tcBorders>
              <w:tl2br w:val="nil"/>
              <w:tr2bl w:val="nil"/>
            </w:tcBorders>
            <w:vAlign w:val="center"/>
          </w:tcPr>
          <w:p>
            <w:pPr>
              <w:widowControl/>
              <w:spacing w:line="240" w:lineRule="auto"/>
              <w:ind w:firstLine="0" w:firstLineChars="0"/>
              <w:jc w:val="center"/>
              <w:textAlignment w:val="center"/>
              <w:rPr>
                <w:rFonts w:hint="default" w:eastAsia="宋体"/>
                <w:spacing w:val="-1"/>
                <w:sz w:val="21"/>
                <w:szCs w:val="21"/>
                <w:lang w:val="en-US" w:eastAsia="zh-CN"/>
              </w:rPr>
            </w:pPr>
            <w:r>
              <w:rPr>
                <w:rFonts w:hint="eastAsia" w:eastAsia="宋体"/>
                <w:spacing w:val="-1"/>
                <w:sz w:val="21"/>
                <w:szCs w:val="21"/>
                <w:lang w:val="en-US" w:eastAsia="zh-CN"/>
              </w:rPr>
              <w:t>43.83</w:t>
            </w:r>
          </w:p>
        </w:tc>
        <w:tc>
          <w:tcPr>
            <w:tcW w:w="1745" w:type="dxa"/>
            <w:vMerge w:val="restart"/>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r>
              <w:rPr>
                <w:rFonts w:eastAsia="Times New Roman"/>
                <w:spacing w:val="-1"/>
                <w:sz w:val="21"/>
                <w:szCs w:val="21"/>
              </w:rPr>
              <w:t>昼间：60dB(A)</w:t>
            </w:r>
          </w:p>
          <w:p>
            <w:pPr>
              <w:widowControl/>
              <w:spacing w:line="240" w:lineRule="auto"/>
              <w:ind w:firstLine="0" w:firstLineChars="0"/>
              <w:jc w:val="center"/>
              <w:textAlignment w:val="center"/>
              <w:rPr>
                <w:rFonts w:eastAsia="Times New Roman"/>
                <w:spacing w:val="-1"/>
                <w:sz w:val="21"/>
                <w:szCs w:val="21"/>
              </w:rPr>
            </w:pPr>
            <w:r>
              <w:rPr>
                <w:rFonts w:eastAsia="Times New Roman"/>
                <w:spacing w:val="-1"/>
                <w:sz w:val="21"/>
                <w:szCs w:val="21"/>
              </w:rPr>
              <w:t>夜间：50dB(A)</w:t>
            </w:r>
          </w:p>
        </w:tc>
        <w:tc>
          <w:tcPr>
            <w:tcW w:w="1670" w:type="dxa"/>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r>
              <w:rPr>
                <w:rFonts w:eastAsia="Times New Roman"/>
                <w:spacing w:val="-1"/>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25" w:type="dxa"/>
            <w:vMerge w:val="continue"/>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p>
        </w:tc>
        <w:tc>
          <w:tcPr>
            <w:tcW w:w="843" w:type="dxa"/>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r>
              <w:rPr>
                <w:rFonts w:eastAsia="Times New Roman"/>
                <w:spacing w:val="-1"/>
                <w:sz w:val="21"/>
                <w:szCs w:val="21"/>
              </w:rPr>
              <w:t>夜间</w:t>
            </w:r>
          </w:p>
        </w:tc>
        <w:tc>
          <w:tcPr>
            <w:tcW w:w="771" w:type="dxa"/>
            <w:tcBorders>
              <w:tl2br w:val="nil"/>
              <w:tr2bl w:val="nil"/>
            </w:tcBorders>
            <w:vAlign w:val="center"/>
          </w:tcPr>
          <w:p>
            <w:pPr>
              <w:widowControl/>
              <w:spacing w:line="240" w:lineRule="auto"/>
              <w:ind w:firstLine="0" w:firstLineChars="0"/>
              <w:jc w:val="center"/>
              <w:textAlignment w:val="center"/>
              <w:rPr>
                <w:rFonts w:hint="default" w:eastAsia="宋体"/>
                <w:spacing w:val="-1"/>
                <w:sz w:val="21"/>
                <w:szCs w:val="21"/>
                <w:lang w:val="en-US" w:eastAsia="zh-CN"/>
              </w:rPr>
            </w:pPr>
            <w:r>
              <w:rPr>
                <w:rFonts w:hint="eastAsia" w:eastAsia="宋体"/>
                <w:spacing w:val="-1"/>
                <w:sz w:val="21"/>
                <w:szCs w:val="21"/>
                <w:lang w:val="en-US" w:eastAsia="zh-CN"/>
              </w:rPr>
              <w:t>38.1</w:t>
            </w:r>
          </w:p>
        </w:tc>
        <w:tc>
          <w:tcPr>
            <w:tcW w:w="1278" w:type="dxa"/>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r>
              <w:rPr>
                <w:rFonts w:hint="eastAsia" w:eastAsia="Times New Roman"/>
                <w:spacing w:val="-1"/>
                <w:sz w:val="21"/>
                <w:szCs w:val="21"/>
              </w:rPr>
              <w:t>2</w:t>
            </w:r>
            <w:r>
              <w:rPr>
                <w:rFonts w:hint="eastAsia" w:eastAsia="宋体"/>
                <w:spacing w:val="-1"/>
                <w:sz w:val="21"/>
                <w:szCs w:val="21"/>
                <w:lang w:val="en-US" w:eastAsia="zh-CN"/>
              </w:rPr>
              <w:t>8</w:t>
            </w:r>
            <w:r>
              <w:rPr>
                <w:rFonts w:hint="eastAsia" w:eastAsia="Times New Roman"/>
                <w:spacing w:val="-1"/>
                <w:sz w:val="21"/>
                <w:szCs w:val="21"/>
              </w:rPr>
              <w:t>.58</w:t>
            </w:r>
          </w:p>
        </w:tc>
        <w:tc>
          <w:tcPr>
            <w:tcW w:w="1264" w:type="dxa"/>
            <w:tcBorders>
              <w:tl2br w:val="nil"/>
              <w:tr2bl w:val="nil"/>
            </w:tcBorders>
            <w:vAlign w:val="center"/>
          </w:tcPr>
          <w:p>
            <w:pPr>
              <w:widowControl/>
              <w:spacing w:line="240" w:lineRule="auto"/>
              <w:ind w:firstLine="0" w:firstLineChars="0"/>
              <w:jc w:val="center"/>
              <w:textAlignment w:val="center"/>
              <w:rPr>
                <w:rFonts w:hint="default" w:eastAsia="宋体"/>
                <w:spacing w:val="-1"/>
                <w:sz w:val="21"/>
                <w:szCs w:val="21"/>
                <w:lang w:val="en-US" w:eastAsia="zh-CN"/>
              </w:rPr>
            </w:pPr>
            <w:r>
              <w:rPr>
                <w:rFonts w:hint="eastAsia" w:eastAsia="宋体"/>
                <w:spacing w:val="-1"/>
                <w:sz w:val="21"/>
                <w:szCs w:val="21"/>
                <w:lang w:val="en-US" w:eastAsia="zh-CN"/>
              </w:rPr>
              <w:t>38.56</w:t>
            </w:r>
          </w:p>
        </w:tc>
        <w:tc>
          <w:tcPr>
            <w:tcW w:w="1745" w:type="dxa"/>
            <w:vMerge w:val="continue"/>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p>
        </w:tc>
        <w:tc>
          <w:tcPr>
            <w:tcW w:w="1670" w:type="dxa"/>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r>
              <w:rPr>
                <w:rFonts w:eastAsia="Times New Roman"/>
                <w:spacing w:val="-1"/>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25" w:type="dxa"/>
            <w:vMerge w:val="restart"/>
            <w:tcBorders>
              <w:tl2br w:val="nil"/>
              <w:tr2bl w:val="nil"/>
            </w:tcBorders>
            <w:vAlign w:val="center"/>
          </w:tcPr>
          <w:p>
            <w:pPr>
              <w:widowControl/>
              <w:spacing w:line="240" w:lineRule="auto"/>
              <w:ind w:firstLine="0" w:firstLineChars="0"/>
              <w:jc w:val="center"/>
              <w:textAlignment w:val="center"/>
              <w:rPr>
                <w:rFonts w:hint="default" w:eastAsia="宋体"/>
                <w:spacing w:val="-1"/>
                <w:sz w:val="21"/>
                <w:szCs w:val="21"/>
                <w:lang w:val="en-US" w:eastAsia="zh-CN"/>
              </w:rPr>
            </w:pPr>
            <w:r>
              <w:rPr>
                <w:rFonts w:hint="eastAsia" w:eastAsia="宋体"/>
                <w:spacing w:val="-1"/>
                <w:sz w:val="21"/>
                <w:szCs w:val="21"/>
                <w:lang w:val="en-US" w:eastAsia="zh-CN"/>
              </w:rPr>
              <w:t>雷家居民点</w:t>
            </w:r>
          </w:p>
        </w:tc>
        <w:tc>
          <w:tcPr>
            <w:tcW w:w="843"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Times New Roman" w:cs="Times New Roman"/>
                <w:color w:val="000000" w:themeColor="text1"/>
                <w:spacing w:val="-1"/>
                <w:kern w:val="2"/>
                <w:sz w:val="21"/>
                <w:szCs w:val="21"/>
                <w:u w:val="none" w:color="auto"/>
                <w:lang w:val="en-US" w:eastAsia="zh-CN" w:bidi="ar-SA"/>
                <w14:textFill>
                  <w14:solidFill>
                    <w14:schemeClr w14:val="tx1"/>
                  </w14:solidFill>
                </w14:textFill>
              </w:rPr>
            </w:pPr>
            <w:r>
              <w:rPr>
                <w:rFonts w:eastAsia="Times New Roman"/>
                <w:spacing w:val="-1"/>
                <w:sz w:val="21"/>
                <w:szCs w:val="21"/>
              </w:rPr>
              <w:t>昼间</w:t>
            </w:r>
          </w:p>
        </w:tc>
        <w:tc>
          <w:tcPr>
            <w:tcW w:w="771" w:type="dxa"/>
            <w:tcBorders>
              <w:tl2br w:val="nil"/>
              <w:tr2bl w:val="nil"/>
            </w:tcBorders>
            <w:vAlign w:val="center"/>
          </w:tcPr>
          <w:p>
            <w:pPr>
              <w:widowControl/>
              <w:spacing w:line="240" w:lineRule="auto"/>
              <w:ind w:firstLine="0" w:firstLineChars="0"/>
              <w:jc w:val="center"/>
              <w:textAlignment w:val="center"/>
              <w:rPr>
                <w:rFonts w:hint="default" w:eastAsia="宋体"/>
                <w:spacing w:val="-1"/>
                <w:sz w:val="21"/>
                <w:szCs w:val="21"/>
                <w:lang w:val="en-US" w:eastAsia="zh-CN"/>
              </w:rPr>
            </w:pPr>
            <w:r>
              <w:rPr>
                <w:rFonts w:hint="eastAsia" w:eastAsia="宋体"/>
                <w:spacing w:val="-1"/>
                <w:sz w:val="21"/>
                <w:szCs w:val="21"/>
                <w:lang w:val="en-US" w:eastAsia="zh-CN"/>
              </w:rPr>
              <w:t>42.6</w:t>
            </w:r>
          </w:p>
        </w:tc>
        <w:tc>
          <w:tcPr>
            <w:tcW w:w="1278" w:type="dxa"/>
            <w:tcBorders>
              <w:tl2br w:val="nil"/>
              <w:tr2bl w:val="nil"/>
            </w:tcBorders>
            <w:shd w:val="clear" w:color="auto" w:fill="auto"/>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pacing w:val="-1"/>
                <w:kern w:val="2"/>
                <w:sz w:val="21"/>
                <w:szCs w:val="21"/>
                <w:u w:val="none" w:color="auto"/>
                <w:lang w:val="en-US" w:eastAsia="zh-CN" w:bidi="ar-SA"/>
                <w14:textFill>
                  <w14:solidFill>
                    <w14:schemeClr w14:val="tx1"/>
                  </w14:solidFill>
                </w14:textFill>
              </w:rPr>
            </w:pPr>
            <w:r>
              <w:rPr>
                <w:rFonts w:hint="eastAsia" w:eastAsia="Times New Roman"/>
                <w:spacing w:val="-1"/>
                <w:sz w:val="21"/>
                <w:szCs w:val="21"/>
              </w:rPr>
              <w:t>2</w:t>
            </w:r>
            <w:r>
              <w:rPr>
                <w:rFonts w:hint="eastAsia" w:eastAsia="宋体"/>
                <w:spacing w:val="-1"/>
                <w:sz w:val="21"/>
                <w:szCs w:val="21"/>
                <w:lang w:val="en-US" w:eastAsia="zh-CN"/>
              </w:rPr>
              <w:t>7</w:t>
            </w:r>
            <w:r>
              <w:rPr>
                <w:rFonts w:hint="eastAsia" w:eastAsia="Times New Roman"/>
                <w:spacing w:val="-1"/>
                <w:sz w:val="21"/>
                <w:szCs w:val="21"/>
              </w:rPr>
              <w:t>.</w:t>
            </w:r>
            <w:r>
              <w:rPr>
                <w:rFonts w:hint="eastAsia" w:eastAsia="宋体"/>
                <w:spacing w:val="-1"/>
                <w:sz w:val="21"/>
                <w:szCs w:val="21"/>
                <w:lang w:val="en-US" w:eastAsia="zh-CN"/>
              </w:rPr>
              <w:t>34</w:t>
            </w:r>
          </w:p>
        </w:tc>
        <w:tc>
          <w:tcPr>
            <w:tcW w:w="1264" w:type="dxa"/>
            <w:tcBorders>
              <w:tl2br w:val="nil"/>
              <w:tr2bl w:val="nil"/>
            </w:tcBorders>
            <w:vAlign w:val="center"/>
          </w:tcPr>
          <w:p>
            <w:pPr>
              <w:widowControl/>
              <w:spacing w:line="240" w:lineRule="auto"/>
              <w:ind w:firstLine="0" w:firstLineChars="0"/>
              <w:jc w:val="center"/>
              <w:textAlignment w:val="center"/>
              <w:rPr>
                <w:rFonts w:hint="default" w:eastAsia="宋体"/>
                <w:spacing w:val="-1"/>
                <w:sz w:val="21"/>
                <w:szCs w:val="21"/>
                <w:lang w:val="en-US" w:eastAsia="zh-CN"/>
              </w:rPr>
            </w:pPr>
            <w:r>
              <w:rPr>
                <w:rFonts w:hint="eastAsia" w:eastAsia="宋体"/>
                <w:spacing w:val="-1"/>
                <w:sz w:val="21"/>
                <w:szCs w:val="21"/>
                <w:lang w:val="en-US" w:eastAsia="zh-CN"/>
              </w:rPr>
              <w:t>42.73</w:t>
            </w:r>
          </w:p>
        </w:tc>
        <w:tc>
          <w:tcPr>
            <w:tcW w:w="1745" w:type="dxa"/>
            <w:vMerge w:val="restart"/>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r>
              <w:rPr>
                <w:rFonts w:eastAsia="Times New Roman"/>
                <w:spacing w:val="-1"/>
                <w:sz w:val="21"/>
                <w:szCs w:val="21"/>
              </w:rPr>
              <w:t>昼间：60dB(A)</w:t>
            </w:r>
          </w:p>
          <w:p>
            <w:pPr>
              <w:widowControl/>
              <w:spacing w:line="240" w:lineRule="auto"/>
              <w:ind w:firstLine="0" w:firstLineChars="0"/>
              <w:jc w:val="center"/>
              <w:textAlignment w:val="center"/>
              <w:rPr>
                <w:rFonts w:eastAsia="Times New Roman"/>
                <w:spacing w:val="-1"/>
                <w:sz w:val="21"/>
                <w:szCs w:val="21"/>
              </w:rPr>
            </w:pPr>
            <w:r>
              <w:rPr>
                <w:rFonts w:eastAsia="Times New Roman"/>
                <w:spacing w:val="-1"/>
                <w:sz w:val="21"/>
                <w:szCs w:val="21"/>
              </w:rPr>
              <w:t>夜间：50dB(A)</w:t>
            </w:r>
          </w:p>
        </w:tc>
        <w:tc>
          <w:tcPr>
            <w:tcW w:w="1670"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Times New Roman" w:cs="Times New Roman"/>
                <w:color w:val="000000" w:themeColor="text1"/>
                <w:spacing w:val="-1"/>
                <w:kern w:val="2"/>
                <w:sz w:val="21"/>
                <w:szCs w:val="21"/>
                <w:u w:val="none" w:color="auto"/>
                <w:lang w:val="en-US" w:eastAsia="zh-CN" w:bidi="ar-SA"/>
                <w14:textFill>
                  <w14:solidFill>
                    <w14:schemeClr w14:val="tx1"/>
                  </w14:solidFill>
                </w14:textFill>
              </w:rPr>
            </w:pPr>
            <w:r>
              <w:rPr>
                <w:rFonts w:eastAsia="Times New Roman"/>
                <w:spacing w:val="-1"/>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25" w:type="dxa"/>
            <w:vMerge w:val="continue"/>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p>
        </w:tc>
        <w:tc>
          <w:tcPr>
            <w:tcW w:w="843"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Times New Roman" w:cs="Times New Roman"/>
                <w:color w:val="000000" w:themeColor="text1"/>
                <w:spacing w:val="-1"/>
                <w:kern w:val="2"/>
                <w:sz w:val="21"/>
                <w:szCs w:val="21"/>
                <w:u w:val="none" w:color="auto"/>
                <w:lang w:val="en-US" w:eastAsia="zh-CN" w:bidi="ar-SA"/>
                <w14:textFill>
                  <w14:solidFill>
                    <w14:schemeClr w14:val="tx1"/>
                  </w14:solidFill>
                </w14:textFill>
              </w:rPr>
            </w:pPr>
            <w:r>
              <w:rPr>
                <w:rFonts w:eastAsia="Times New Roman"/>
                <w:spacing w:val="-1"/>
                <w:sz w:val="21"/>
                <w:szCs w:val="21"/>
              </w:rPr>
              <w:t>夜间</w:t>
            </w:r>
          </w:p>
        </w:tc>
        <w:tc>
          <w:tcPr>
            <w:tcW w:w="771" w:type="dxa"/>
            <w:tcBorders>
              <w:tl2br w:val="nil"/>
              <w:tr2bl w:val="nil"/>
            </w:tcBorders>
            <w:vAlign w:val="center"/>
          </w:tcPr>
          <w:p>
            <w:pPr>
              <w:widowControl/>
              <w:spacing w:line="240" w:lineRule="auto"/>
              <w:ind w:firstLine="0" w:firstLineChars="0"/>
              <w:jc w:val="center"/>
              <w:textAlignment w:val="center"/>
              <w:rPr>
                <w:rFonts w:hint="default" w:eastAsia="宋体"/>
                <w:spacing w:val="-1"/>
                <w:sz w:val="21"/>
                <w:szCs w:val="21"/>
                <w:lang w:val="en-US" w:eastAsia="zh-CN"/>
              </w:rPr>
            </w:pPr>
            <w:r>
              <w:rPr>
                <w:rFonts w:hint="eastAsia" w:eastAsia="宋体"/>
                <w:spacing w:val="-1"/>
                <w:sz w:val="21"/>
                <w:szCs w:val="21"/>
                <w:lang w:val="en-US" w:eastAsia="zh-CN"/>
              </w:rPr>
              <w:t>38.6</w:t>
            </w:r>
          </w:p>
        </w:tc>
        <w:tc>
          <w:tcPr>
            <w:tcW w:w="1278" w:type="dxa"/>
            <w:tcBorders>
              <w:tl2br w:val="nil"/>
              <w:tr2bl w:val="nil"/>
            </w:tcBorders>
            <w:shd w:val="clear" w:color="auto" w:fill="auto"/>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pacing w:val="-1"/>
                <w:kern w:val="2"/>
                <w:sz w:val="21"/>
                <w:szCs w:val="21"/>
                <w:u w:val="none" w:color="auto"/>
                <w:lang w:val="en-US" w:eastAsia="zh-CN" w:bidi="ar-SA"/>
                <w14:textFill>
                  <w14:solidFill>
                    <w14:schemeClr w14:val="tx1"/>
                  </w14:solidFill>
                </w14:textFill>
              </w:rPr>
            </w:pPr>
            <w:r>
              <w:rPr>
                <w:rFonts w:hint="eastAsia" w:eastAsia="Times New Roman"/>
                <w:spacing w:val="-1"/>
                <w:sz w:val="21"/>
                <w:szCs w:val="21"/>
              </w:rPr>
              <w:t>2</w:t>
            </w:r>
            <w:r>
              <w:rPr>
                <w:rFonts w:hint="eastAsia" w:eastAsia="宋体"/>
                <w:spacing w:val="-1"/>
                <w:sz w:val="21"/>
                <w:szCs w:val="21"/>
                <w:lang w:val="en-US" w:eastAsia="zh-CN"/>
              </w:rPr>
              <w:t>7</w:t>
            </w:r>
            <w:r>
              <w:rPr>
                <w:rFonts w:hint="eastAsia" w:eastAsia="Times New Roman"/>
                <w:spacing w:val="-1"/>
                <w:sz w:val="21"/>
                <w:szCs w:val="21"/>
              </w:rPr>
              <w:t>.</w:t>
            </w:r>
            <w:r>
              <w:rPr>
                <w:rFonts w:hint="eastAsia" w:eastAsia="宋体"/>
                <w:spacing w:val="-1"/>
                <w:sz w:val="21"/>
                <w:szCs w:val="21"/>
                <w:lang w:val="en-US" w:eastAsia="zh-CN"/>
              </w:rPr>
              <w:t>34</w:t>
            </w:r>
          </w:p>
        </w:tc>
        <w:tc>
          <w:tcPr>
            <w:tcW w:w="1264" w:type="dxa"/>
            <w:tcBorders>
              <w:tl2br w:val="nil"/>
              <w:tr2bl w:val="nil"/>
            </w:tcBorders>
            <w:vAlign w:val="center"/>
          </w:tcPr>
          <w:p>
            <w:pPr>
              <w:widowControl/>
              <w:spacing w:line="240" w:lineRule="auto"/>
              <w:ind w:firstLine="0" w:firstLineChars="0"/>
              <w:jc w:val="center"/>
              <w:textAlignment w:val="center"/>
              <w:rPr>
                <w:rFonts w:hint="default" w:eastAsia="宋体"/>
                <w:spacing w:val="-1"/>
                <w:sz w:val="21"/>
                <w:szCs w:val="21"/>
                <w:lang w:val="en-US" w:eastAsia="zh-CN"/>
              </w:rPr>
            </w:pPr>
            <w:r>
              <w:rPr>
                <w:rFonts w:hint="eastAsia" w:eastAsia="宋体"/>
                <w:spacing w:val="-1"/>
                <w:sz w:val="21"/>
                <w:szCs w:val="21"/>
                <w:lang w:val="en-US" w:eastAsia="zh-CN"/>
              </w:rPr>
              <w:t>38.91</w:t>
            </w:r>
          </w:p>
        </w:tc>
        <w:tc>
          <w:tcPr>
            <w:tcW w:w="1745" w:type="dxa"/>
            <w:vMerge w:val="continue"/>
            <w:tcBorders>
              <w:tl2br w:val="nil"/>
              <w:tr2bl w:val="nil"/>
            </w:tcBorders>
            <w:vAlign w:val="center"/>
          </w:tcPr>
          <w:p>
            <w:pPr>
              <w:widowControl/>
              <w:spacing w:line="240" w:lineRule="auto"/>
              <w:ind w:firstLine="0" w:firstLineChars="0"/>
              <w:jc w:val="center"/>
              <w:textAlignment w:val="center"/>
              <w:rPr>
                <w:rFonts w:eastAsia="Times New Roman"/>
                <w:spacing w:val="-1"/>
                <w:sz w:val="21"/>
                <w:szCs w:val="21"/>
              </w:rPr>
            </w:pPr>
          </w:p>
        </w:tc>
        <w:tc>
          <w:tcPr>
            <w:tcW w:w="1670" w:type="dxa"/>
            <w:tcBorders>
              <w:tl2br w:val="nil"/>
              <w:tr2bl w:val="nil"/>
            </w:tcBorders>
            <w:shd w:val="clear" w:color="auto" w:fill="auto"/>
            <w:vAlign w:val="center"/>
          </w:tcPr>
          <w:p>
            <w:pPr>
              <w:widowControl/>
              <w:spacing w:line="240" w:lineRule="auto"/>
              <w:ind w:firstLine="0" w:firstLineChars="0"/>
              <w:jc w:val="center"/>
              <w:textAlignment w:val="center"/>
              <w:rPr>
                <w:rFonts w:ascii="Times New Roman" w:hAnsi="Times New Roman" w:eastAsia="Times New Roman" w:cs="Times New Roman"/>
                <w:color w:val="000000" w:themeColor="text1"/>
                <w:spacing w:val="-1"/>
                <w:kern w:val="2"/>
                <w:sz w:val="21"/>
                <w:szCs w:val="21"/>
                <w:u w:val="none" w:color="auto"/>
                <w:lang w:val="en-US" w:eastAsia="zh-CN" w:bidi="ar-SA"/>
                <w14:textFill>
                  <w14:solidFill>
                    <w14:schemeClr w14:val="tx1"/>
                  </w14:solidFill>
                </w14:textFill>
              </w:rPr>
            </w:pPr>
            <w:r>
              <w:rPr>
                <w:rFonts w:eastAsia="Times New Roman"/>
                <w:spacing w:val="-1"/>
                <w:sz w:val="21"/>
                <w:szCs w:val="21"/>
              </w:rPr>
              <w:t>达标</w:t>
            </w:r>
          </w:p>
        </w:tc>
      </w:tr>
    </w:tbl>
    <w:p>
      <w:pPr>
        <w:bidi w:val="0"/>
        <w:rPr>
          <w:rFonts w:hint="default"/>
          <w:lang w:val="en-US" w:eastAsia="zh-CN"/>
        </w:rPr>
      </w:pPr>
      <w:r>
        <w:rPr>
          <w:rFonts w:hint="eastAsia"/>
          <w:lang w:val="en-US" w:eastAsia="zh-CN"/>
        </w:rPr>
        <w:t>根据上表预测结果：汇集站厂界噪声预测值均满足GB12348-2008《工业企业厂界环境噪声排放标准》2类标准，声环境保护目标麻池塘和雷家居民点预测结果满足《声环境质量标准》(GB309-2008)的2类标准要求。</w:t>
      </w:r>
    </w:p>
    <w:p>
      <w:pPr>
        <w:pStyle w:val="458"/>
        <w:ind w:firstLine="602"/>
        <w:rPr>
          <w:color w:val="000000" w:themeColor="text1"/>
          <w:u w:val="none" w:color="auto"/>
          <w14:textFill>
            <w14:solidFill>
              <w14:schemeClr w14:val="tx1"/>
            </w14:solidFill>
          </w14:textFill>
        </w:rPr>
      </w:pPr>
      <w:r>
        <w:rPr>
          <w:rFonts w:hint="eastAsia"/>
          <w:color w:val="000000" w:themeColor="text1"/>
          <w:u w:val="none" w:color="auto"/>
          <w:lang w:eastAsia="zh-CN"/>
          <w14:textFill>
            <w14:solidFill>
              <w14:schemeClr w14:val="tx1"/>
            </w14:solidFill>
          </w14:textFill>
        </w:rPr>
        <w:t>地表水环境影响分析</w:t>
      </w:r>
    </w:p>
    <w:p>
      <w:pPr>
        <w:bidi w:val="0"/>
        <w:rPr>
          <w:rFonts w:hint="eastAsia"/>
          <w:lang w:eastAsia="zh-CN"/>
        </w:rPr>
      </w:pPr>
      <w:r>
        <w:rPr>
          <w:rFonts w:hint="default"/>
        </w:rPr>
        <w:t>本项目营运期废水主要为</w:t>
      </w:r>
      <w:r>
        <w:rPr>
          <w:rFonts w:hint="eastAsia"/>
          <w:lang w:eastAsia="zh-CN"/>
        </w:rPr>
        <w:t>汇集站</w:t>
      </w:r>
      <w:r>
        <w:rPr>
          <w:rFonts w:hint="default"/>
        </w:rPr>
        <w:t>员工产生的生活污水和食堂废水，</w:t>
      </w:r>
      <w:r>
        <w:rPr>
          <w:rFonts w:hint="eastAsia"/>
          <w:lang w:val="en-US" w:eastAsia="zh-CN"/>
        </w:rPr>
        <w:t>变更后汇集站员工为10人不变，产生的生活污水产生量不变</w:t>
      </w:r>
      <w:r>
        <w:rPr>
          <w:rFonts w:hint="default"/>
        </w:rPr>
        <w:t>，</w:t>
      </w:r>
      <w:r>
        <w:rPr>
          <w:rFonts w:hint="eastAsia"/>
          <w:lang w:val="en-US" w:eastAsia="zh-CN"/>
        </w:rPr>
        <w:t>通过</w:t>
      </w:r>
      <w:r>
        <w:rPr>
          <w:rFonts w:hint="eastAsia"/>
          <w:lang w:eastAsia="zh-CN"/>
        </w:rPr>
        <w:t>汇集站</w:t>
      </w:r>
      <w:r>
        <w:rPr>
          <w:rFonts w:hint="default"/>
        </w:rPr>
        <w:t>一体化污水处理系统处理。生活污水经化粪池预处理、食堂废水经隔油沉淀池预处理后，一并通过污水管道进入调节池，然后经一体化污水处理设施处理后用于厂区及周边绿化，不外排，对地表水环境基本无影响。</w:t>
      </w:r>
    </w:p>
    <w:p>
      <w:pPr>
        <w:pStyle w:val="458"/>
        <w:ind w:firstLine="602"/>
        <w:rPr>
          <w:color w:val="000000" w:themeColor="text1"/>
          <w:u w:val="none" w:color="auto"/>
          <w14:textFill>
            <w14:solidFill>
              <w14:schemeClr w14:val="tx1"/>
            </w14:solidFill>
          </w14:textFill>
        </w:rPr>
      </w:pPr>
      <w:r>
        <w:rPr>
          <w:rFonts w:hint="eastAsia"/>
          <w:color w:val="000000" w:themeColor="text1"/>
          <w:u w:val="none" w:color="auto"/>
          <w:lang w:eastAsia="zh-CN"/>
          <w14:textFill>
            <w14:solidFill>
              <w14:schemeClr w14:val="tx1"/>
            </w14:solidFill>
          </w14:textFill>
        </w:rPr>
        <w:t>大气环境影响分析</w:t>
      </w:r>
    </w:p>
    <w:p>
      <w:pPr>
        <w:bidi w:val="0"/>
      </w:pPr>
      <w:r>
        <w:rPr>
          <w:rFonts w:hint="default"/>
        </w:rPr>
        <w:t>本项目运营期产生的大气污染物主要为</w:t>
      </w:r>
      <w:r>
        <w:rPr>
          <w:rFonts w:hint="eastAsia"/>
          <w:lang w:eastAsia="zh-CN"/>
        </w:rPr>
        <w:t>汇集站</w:t>
      </w:r>
      <w:r>
        <w:rPr>
          <w:rFonts w:hint="default"/>
        </w:rPr>
        <w:t>食堂烹饪过程中产生的油烟，由于项目</w:t>
      </w:r>
      <w:r>
        <w:rPr>
          <w:rFonts w:hint="eastAsia"/>
          <w:lang w:eastAsia="zh-CN"/>
        </w:rPr>
        <w:t>汇集站新增</w:t>
      </w:r>
      <w:r>
        <w:rPr>
          <w:rFonts w:hint="default"/>
        </w:rPr>
        <w:t>运营期劳动人数较少，就餐人数少，因而食堂油烟产生量很少，烹饪产生的油烟经油烟净化装置处理后引至屋顶排放，可以达到《饮食业油烟排放标准》（GB18483-2001）小型标准要求，对周围环境影响较小。由于</w:t>
      </w:r>
      <w:r>
        <w:rPr>
          <w:rFonts w:hint="eastAsia"/>
          <w:lang w:eastAsia="zh-CN"/>
        </w:rPr>
        <w:t>汇集站</w:t>
      </w:r>
      <w:r>
        <w:rPr>
          <w:rFonts w:hint="eastAsia"/>
          <w:lang w:val="en-US" w:eastAsia="zh-CN"/>
        </w:rPr>
        <w:t>工作</w:t>
      </w:r>
      <w:r>
        <w:rPr>
          <w:rFonts w:hint="default"/>
        </w:rPr>
        <w:t>人员没有发生变更，因而运营期废气影响也没有变化。</w:t>
      </w:r>
    </w:p>
    <w:p>
      <w:pPr>
        <w:pStyle w:val="458"/>
        <w:ind w:firstLine="602"/>
        <w:rPr>
          <w:color w:val="000000" w:themeColor="text1"/>
          <w:u w:val="none" w:color="auto"/>
          <w14:textFill>
            <w14:solidFill>
              <w14:schemeClr w14:val="tx1"/>
            </w14:solidFill>
          </w14:textFill>
        </w:rPr>
      </w:pPr>
      <w:r>
        <w:rPr>
          <w:rFonts w:hint="eastAsia"/>
          <w:color w:val="000000" w:themeColor="text1"/>
          <w:u w:val="none" w:color="auto"/>
          <w:lang w:eastAsia="zh-CN"/>
          <w14:textFill>
            <w14:solidFill>
              <w14:schemeClr w14:val="tx1"/>
            </w14:solidFill>
          </w14:textFill>
        </w:rPr>
        <w:t>固体废物影响分析</w:t>
      </w:r>
    </w:p>
    <w:p>
      <w:pPr>
        <w:bidi w:val="0"/>
        <w:rPr>
          <w:rFonts w:hint="eastAsia"/>
          <w:lang w:eastAsia="zh-CN"/>
        </w:rPr>
      </w:pPr>
      <w:r>
        <w:t>（1）生活垃圾</w:t>
      </w:r>
    </w:p>
    <w:p>
      <w:pPr>
        <w:bidi w:val="0"/>
        <w:rPr>
          <w:lang w:eastAsia="zh-CN"/>
        </w:rPr>
      </w:pPr>
      <w:r>
        <w:rPr>
          <w:rFonts w:hint="default"/>
        </w:rPr>
        <w:t>本工程生活垃圾产生量为</w:t>
      </w:r>
      <w:r>
        <w:rPr>
          <w:rFonts w:hint="eastAsia"/>
          <w:lang w:val="en-US" w:eastAsia="zh-CN"/>
        </w:rPr>
        <w:t>5</w:t>
      </w:r>
      <w:r>
        <w:rPr>
          <w:rFonts w:hint="default"/>
        </w:rPr>
        <w:t>kg/d，生活垃圾经汇集站生活垃圾收集处理设施收集处理后交环卫部门定期</w:t>
      </w:r>
      <w:r>
        <w:rPr>
          <w:rFonts w:hint="eastAsia"/>
          <w:lang w:val="en-US" w:eastAsia="zh-CN"/>
        </w:rPr>
        <w:t>清运</w:t>
      </w:r>
      <w:r>
        <w:rPr>
          <w:rFonts w:hint="default"/>
        </w:rPr>
        <w:t>，纳入当地生活垃圾处理系统处理。</w:t>
      </w:r>
    </w:p>
    <w:p>
      <w:pPr>
        <w:bidi w:val="0"/>
        <w:rPr>
          <w:rFonts w:hint="eastAsia"/>
          <w:lang w:eastAsia="zh-CN"/>
        </w:rPr>
      </w:pPr>
      <w:r>
        <w:rPr>
          <w:rFonts w:hint="eastAsia"/>
          <w:lang w:eastAsia="zh-CN"/>
        </w:rPr>
        <w:t>（</w:t>
      </w:r>
      <w:r>
        <w:rPr>
          <w:rFonts w:hint="eastAsia"/>
          <w:lang w:val="en-US" w:eastAsia="zh-CN"/>
        </w:rPr>
        <w:t>2</w:t>
      </w:r>
      <w:r>
        <w:rPr>
          <w:rFonts w:hint="eastAsia"/>
          <w:lang w:eastAsia="zh-CN"/>
        </w:rPr>
        <w:t>）废润滑油</w:t>
      </w:r>
    </w:p>
    <w:p>
      <w:pPr>
        <w:bidi w:val="0"/>
      </w:pPr>
      <w:r>
        <w:rPr>
          <w:kern w:val="0"/>
          <w:sz w:val="24"/>
          <w:u w:val="none" w:color="auto"/>
          <w:lang w:val="sq-AL"/>
        </w:rPr>
        <w:t>风力发电机日常维护或故障检修时，会产生少量废润滑油</w:t>
      </w:r>
      <w:r>
        <w:rPr>
          <w:rFonts w:hint="eastAsia"/>
          <w:kern w:val="0"/>
          <w:sz w:val="24"/>
          <w:u w:val="none" w:color="auto"/>
          <w:lang w:val="sq-AL"/>
        </w:rPr>
        <w:t>，</w:t>
      </w:r>
      <w:r>
        <w:rPr>
          <w:kern w:val="0"/>
          <w:sz w:val="24"/>
          <w:u w:val="none" w:color="auto"/>
          <w:lang w:val="sq-AL"/>
        </w:rPr>
        <w:t>产生量约为</w:t>
      </w:r>
      <w:r>
        <w:rPr>
          <w:kern w:val="0"/>
          <w:sz w:val="24"/>
          <w:u w:val="none" w:color="auto"/>
        </w:rPr>
        <w:t>5kg/a·台，本项目废润滑油的总</w:t>
      </w:r>
      <w:r>
        <w:rPr>
          <w:rFonts w:hint="default" w:ascii="Times New Roman" w:hAnsi="Times New Roman" w:cs="Times New Roman"/>
          <w:sz w:val="24"/>
          <w:u w:val="none" w:color="auto"/>
        </w:rPr>
        <w:t>产生量</w:t>
      </w:r>
      <w:r>
        <w:rPr>
          <w:kern w:val="0"/>
          <w:sz w:val="24"/>
          <w:u w:val="none" w:color="auto"/>
        </w:rPr>
        <w:t>为</w:t>
      </w:r>
      <w:r>
        <w:rPr>
          <w:rFonts w:hint="eastAsia"/>
          <w:kern w:val="0"/>
          <w:sz w:val="24"/>
          <w:u w:val="none" w:color="auto"/>
          <w:lang w:val="en-US" w:eastAsia="zh-CN"/>
        </w:rPr>
        <w:t>75</w:t>
      </w:r>
      <w:r>
        <w:rPr>
          <w:kern w:val="0"/>
          <w:sz w:val="24"/>
          <w:u w:val="none" w:color="auto"/>
        </w:rPr>
        <w:t>kg/a。</w:t>
      </w:r>
      <w:r>
        <w:rPr>
          <w:kern w:val="0"/>
          <w:sz w:val="24"/>
          <w:u w:val="none" w:color="auto"/>
          <w:lang w:val="sq-AL"/>
        </w:rPr>
        <w:t>根据《国家危险废物名录》（</w:t>
      </w:r>
      <w:r>
        <w:rPr>
          <w:rFonts w:hint="eastAsia"/>
          <w:kern w:val="0"/>
          <w:sz w:val="24"/>
          <w:u w:val="none" w:color="auto"/>
          <w:lang w:val="sq-AL"/>
        </w:rPr>
        <w:t>202</w:t>
      </w:r>
      <w:r>
        <w:rPr>
          <w:rFonts w:hint="eastAsia"/>
          <w:kern w:val="0"/>
          <w:sz w:val="24"/>
          <w:u w:val="none" w:color="auto"/>
          <w:lang w:val="en-US" w:eastAsia="zh-CN"/>
        </w:rPr>
        <w:t>5</w:t>
      </w:r>
      <w:r>
        <w:rPr>
          <w:kern w:val="0"/>
          <w:sz w:val="24"/>
          <w:u w:val="none" w:color="auto"/>
          <w:lang w:val="sq-AL"/>
        </w:rPr>
        <w:t>年版），风电场日常维护</w:t>
      </w:r>
      <w:r>
        <w:rPr>
          <w:rFonts w:hint="eastAsia"/>
          <w:kern w:val="0"/>
          <w:sz w:val="24"/>
          <w:u w:val="none" w:color="auto"/>
          <w:lang w:val="sq-AL"/>
        </w:rPr>
        <w:t>、</w:t>
      </w:r>
      <w:r>
        <w:rPr>
          <w:kern w:val="0"/>
          <w:sz w:val="24"/>
          <w:u w:val="none" w:color="auto"/>
          <w:lang w:val="sq-AL"/>
        </w:rPr>
        <w:t>检修工序产生的废润滑油属于危险废物</w:t>
      </w:r>
      <w:r>
        <w:rPr>
          <w:rFonts w:hint="eastAsia"/>
          <w:kern w:val="0"/>
          <w:sz w:val="24"/>
          <w:u w:val="none" w:color="auto"/>
          <w:lang w:val="sq-AL"/>
        </w:rPr>
        <w:t>，</w:t>
      </w:r>
      <w:r>
        <w:rPr>
          <w:kern w:val="0"/>
          <w:sz w:val="24"/>
          <w:u w:val="none" w:color="auto"/>
          <w:lang w:val="sq-AL"/>
        </w:rPr>
        <w:t>废物类别为HW08，废物代码为900-214-08，危险特性为毒性、易燃性</w:t>
      </w:r>
      <w:r>
        <w:rPr>
          <w:rFonts w:cs="Times New Roman"/>
          <w:color w:val="auto"/>
          <w:u w:val="none" w:color="auto"/>
        </w:rPr>
        <w:t>。</w:t>
      </w:r>
      <w:r>
        <w:rPr>
          <w:rFonts w:hint="eastAsia"/>
          <w:lang w:eastAsia="zh-CN"/>
        </w:rPr>
        <w:t>废润滑油暂存于危险废物暂存间，最终交由有资质的单位处置。</w:t>
      </w:r>
    </w:p>
    <w:p>
      <w:pPr>
        <w:bidi w:val="0"/>
        <w:rPr>
          <w:rFonts w:hint="default"/>
        </w:rPr>
      </w:pPr>
      <w:r>
        <w:rPr>
          <w:rFonts w:hint="eastAsia"/>
          <w:lang w:eastAsia="zh-CN"/>
        </w:rPr>
        <w:t>（</w:t>
      </w:r>
      <w:r>
        <w:rPr>
          <w:rFonts w:hint="eastAsia"/>
          <w:lang w:val="en-US" w:eastAsia="zh-CN"/>
        </w:rPr>
        <w:t>3</w:t>
      </w:r>
      <w:r>
        <w:rPr>
          <w:rFonts w:hint="eastAsia"/>
          <w:lang w:eastAsia="zh-CN"/>
        </w:rPr>
        <w:t>）事故废变压器</w:t>
      </w:r>
      <w:r>
        <w:rPr>
          <w:rFonts w:hint="default"/>
        </w:rPr>
        <w:t>油</w:t>
      </w:r>
    </w:p>
    <w:p>
      <w:pPr>
        <w:spacing w:line="360" w:lineRule="auto"/>
        <w:ind w:firstLine="480" w:firstLineChars="200"/>
        <w:rPr>
          <w:rFonts w:hint="eastAsia"/>
          <w:color w:val="auto"/>
          <w:kern w:val="0"/>
          <w:szCs w:val="21"/>
          <w:lang w:val="sq-AL"/>
        </w:rPr>
      </w:pPr>
      <w:r>
        <w:rPr>
          <w:rFonts w:hint="eastAsia"/>
          <w:kern w:val="0"/>
          <w:sz w:val="24"/>
          <w:u w:val="none" w:color="auto"/>
          <w:lang w:val="sq-AL"/>
        </w:rPr>
        <w:t>本项目主变压器为油浸式变压器，发生漏油事故时，主变会排放事故油。</w:t>
      </w:r>
      <w:r>
        <w:rPr>
          <w:rFonts w:hint="eastAsia"/>
          <w:kern w:val="0"/>
          <w:sz w:val="24"/>
          <w:u w:val="none" w:color="auto"/>
          <w:lang w:val="en-US" w:eastAsia="zh-CN"/>
        </w:rPr>
        <w:t>汇集</w:t>
      </w:r>
      <w:r>
        <w:rPr>
          <w:rFonts w:hint="eastAsia"/>
          <w:kern w:val="0"/>
          <w:sz w:val="24"/>
          <w:u w:val="none" w:color="auto"/>
          <w:lang w:val="sq-AL"/>
        </w:rPr>
        <w:t>站内最大单台变压器的油量约为80t，事故油池的有效容量为90m</w:t>
      </w:r>
      <w:r>
        <w:rPr>
          <w:rFonts w:hint="eastAsia"/>
          <w:kern w:val="0"/>
          <w:sz w:val="24"/>
          <w:u w:val="none" w:color="auto"/>
          <w:vertAlign w:val="superscript"/>
          <w:lang w:val="sq-AL"/>
        </w:rPr>
        <w:t>3</w:t>
      </w:r>
      <w:r>
        <w:rPr>
          <w:rFonts w:hint="eastAsia"/>
          <w:kern w:val="0"/>
          <w:sz w:val="24"/>
          <w:u w:val="none" w:color="auto"/>
          <w:lang w:val="sq-AL"/>
        </w:rPr>
        <w:t>。</w:t>
      </w:r>
      <w:r>
        <w:rPr>
          <w:rFonts w:hint="eastAsia"/>
          <w:color w:val="auto"/>
          <w:kern w:val="0"/>
          <w:szCs w:val="21"/>
          <w:lang w:val="sq-AL"/>
        </w:rPr>
        <w:t>本项目共有</w:t>
      </w:r>
      <w:r>
        <w:rPr>
          <w:rFonts w:hint="eastAsia"/>
          <w:color w:val="auto"/>
          <w:kern w:val="0"/>
          <w:szCs w:val="21"/>
        </w:rPr>
        <w:t>15</w:t>
      </w:r>
      <w:r>
        <w:rPr>
          <w:rFonts w:hint="eastAsia"/>
          <w:color w:val="auto"/>
          <w:kern w:val="0"/>
          <w:szCs w:val="21"/>
          <w:lang w:val="sq-AL"/>
        </w:rPr>
        <w:t>台</w:t>
      </w:r>
      <w:r>
        <w:rPr>
          <w:rFonts w:hint="eastAsia"/>
          <w:color w:val="auto"/>
          <w:kern w:val="0"/>
          <w:szCs w:val="21"/>
          <w:lang w:val="sq-AL" w:eastAsia="zh-CN"/>
        </w:rPr>
        <w:t>箱式变压器</w:t>
      </w:r>
      <w:r>
        <w:rPr>
          <w:rFonts w:hint="eastAsia"/>
          <w:color w:val="auto"/>
          <w:kern w:val="0"/>
          <w:szCs w:val="21"/>
          <w:lang w:val="sq-AL"/>
        </w:rPr>
        <w:t>，每台箱变含油</w:t>
      </w:r>
      <w:r>
        <w:rPr>
          <w:rFonts w:hint="eastAsia"/>
          <w:color w:val="auto"/>
          <w:kern w:val="0"/>
          <w:szCs w:val="21"/>
          <w:lang w:val="en-US" w:eastAsia="zh-CN"/>
        </w:rPr>
        <w:t>2.4</w:t>
      </w:r>
      <w:r>
        <w:rPr>
          <w:rFonts w:hint="eastAsia"/>
          <w:color w:val="auto"/>
          <w:kern w:val="0"/>
          <w:szCs w:val="21"/>
          <w:lang w:val="sq-AL"/>
        </w:rPr>
        <w:t>t</w:t>
      </w:r>
      <w:r>
        <w:rPr>
          <w:rFonts w:hint="eastAsia"/>
          <w:color w:val="auto"/>
          <w:kern w:val="0"/>
          <w:szCs w:val="21"/>
          <w:lang w:val="sq-AL" w:eastAsia="zh-CN"/>
        </w:rPr>
        <w:t>，为</w:t>
      </w:r>
      <w:r>
        <w:rPr>
          <w:rFonts w:hint="eastAsia"/>
          <w:color w:val="auto"/>
          <w:kern w:val="0"/>
          <w:szCs w:val="21"/>
          <w:lang w:val="sq-AL"/>
        </w:rPr>
        <w:t>预防</w:t>
      </w:r>
      <w:r>
        <w:rPr>
          <w:rFonts w:hint="eastAsia"/>
          <w:color w:val="auto"/>
          <w:kern w:val="0"/>
          <w:szCs w:val="21"/>
          <w:lang w:val="sq-AL" w:eastAsia="zh-CN"/>
        </w:rPr>
        <w:t>箱式变压器变压</w:t>
      </w:r>
      <w:r>
        <w:rPr>
          <w:rFonts w:hint="eastAsia"/>
          <w:color w:val="auto"/>
          <w:kern w:val="0"/>
          <w:szCs w:val="21"/>
          <w:lang w:val="sq-AL"/>
        </w:rPr>
        <w:t>油泄漏，在</w:t>
      </w:r>
      <w:r>
        <w:rPr>
          <w:rFonts w:hint="eastAsia"/>
          <w:color w:val="auto"/>
          <w:kern w:val="0"/>
          <w:szCs w:val="21"/>
          <w:lang w:val="sq-AL" w:eastAsia="zh-CN"/>
        </w:rPr>
        <w:t>各箱式变压器</w:t>
      </w:r>
      <w:r>
        <w:rPr>
          <w:rFonts w:hint="eastAsia"/>
          <w:color w:val="auto"/>
          <w:kern w:val="0"/>
          <w:szCs w:val="21"/>
          <w:lang w:val="sq-AL"/>
        </w:rPr>
        <w:t>下设置一个</w:t>
      </w:r>
      <w:r>
        <w:rPr>
          <w:rFonts w:hint="eastAsia"/>
          <w:color w:val="auto"/>
          <w:kern w:val="0"/>
          <w:szCs w:val="21"/>
          <w:lang w:val="en-US" w:eastAsia="zh-CN"/>
        </w:rPr>
        <w:t>2.8</w:t>
      </w:r>
      <w:r>
        <w:rPr>
          <w:rFonts w:hint="eastAsia"/>
          <w:color w:val="auto"/>
          <w:kern w:val="0"/>
          <w:szCs w:val="21"/>
          <w:lang w:val="sq-AL"/>
        </w:rPr>
        <w:t>m</w:t>
      </w:r>
      <w:r>
        <w:rPr>
          <w:rFonts w:hint="eastAsia"/>
          <w:color w:val="auto"/>
          <w:kern w:val="0"/>
          <w:szCs w:val="21"/>
          <w:vertAlign w:val="superscript"/>
        </w:rPr>
        <w:t>3</w:t>
      </w:r>
      <w:r>
        <w:rPr>
          <w:rFonts w:hint="eastAsia"/>
          <w:color w:val="auto"/>
          <w:kern w:val="0"/>
          <w:szCs w:val="21"/>
          <w:lang w:val="sq-AL"/>
        </w:rPr>
        <w:t>事故油池。</w:t>
      </w:r>
    </w:p>
    <w:p>
      <w:pPr>
        <w:bidi w:val="0"/>
        <w:rPr>
          <w:rFonts w:hint="eastAsia"/>
          <w:lang w:eastAsia="zh-CN"/>
        </w:rPr>
      </w:pPr>
      <w:r>
        <w:rPr>
          <w:kern w:val="0"/>
          <w:sz w:val="24"/>
          <w:u w:val="none" w:color="auto"/>
          <w:lang w:val="sq-AL"/>
        </w:rPr>
        <w:t>根据《国家危险废物名录》（</w:t>
      </w:r>
      <w:r>
        <w:rPr>
          <w:rFonts w:hint="eastAsia"/>
          <w:kern w:val="0"/>
          <w:sz w:val="24"/>
          <w:u w:val="none" w:color="auto"/>
          <w:lang w:val="sq-AL"/>
        </w:rPr>
        <w:t>202</w:t>
      </w:r>
      <w:r>
        <w:rPr>
          <w:rFonts w:hint="eastAsia"/>
          <w:kern w:val="0"/>
          <w:sz w:val="24"/>
          <w:u w:val="none" w:color="auto"/>
          <w:lang w:val="en-US" w:eastAsia="zh-CN"/>
        </w:rPr>
        <w:t>5</w:t>
      </w:r>
      <w:r>
        <w:rPr>
          <w:kern w:val="0"/>
          <w:sz w:val="24"/>
          <w:u w:val="none" w:color="auto"/>
          <w:lang w:val="sq-AL"/>
        </w:rPr>
        <w:t>年版），变压器维护</w:t>
      </w:r>
      <w:r>
        <w:rPr>
          <w:rFonts w:hint="eastAsia"/>
          <w:kern w:val="0"/>
          <w:sz w:val="24"/>
          <w:u w:val="none" w:color="auto"/>
          <w:lang w:val="sq-AL"/>
        </w:rPr>
        <w:t>、</w:t>
      </w:r>
      <w:r>
        <w:rPr>
          <w:kern w:val="0"/>
          <w:sz w:val="24"/>
          <w:u w:val="none" w:color="auto"/>
          <w:lang w:val="sq-AL"/>
        </w:rPr>
        <w:t>更换和拆解过程中产生的废变压器油属于危险废物</w:t>
      </w:r>
      <w:r>
        <w:rPr>
          <w:rFonts w:hint="eastAsia"/>
          <w:kern w:val="0"/>
          <w:sz w:val="24"/>
          <w:u w:val="none" w:color="auto"/>
          <w:lang w:val="sq-AL"/>
        </w:rPr>
        <w:t>，废物</w:t>
      </w:r>
      <w:r>
        <w:rPr>
          <w:kern w:val="0"/>
          <w:sz w:val="24"/>
          <w:u w:val="none" w:color="auto"/>
          <w:lang w:val="sq-AL"/>
        </w:rPr>
        <w:t>类别为</w:t>
      </w:r>
      <w:r>
        <w:rPr>
          <w:rFonts w:hint="eastAsia"/>
          <w:kern w:val="0"/>
          <w:sz w:val="24"/>
          <w:u w:val="none" w:color="auto"/>
          <w:lang w:val="sq-AL"/>
        </w:rPr>
        <w:t>HW08，废物代码为900-220-08，</w:t>
      </w:r>
      <w:r>
        <w:rPr>
          <w:kern w:val="0"/>
          <w:sz w:val="24"/>
          <w:u w:val="none" w:color="auto"/>
          <w:lang w:val="sq-AL"/>
        </w:rPr>
        <w:t>危险特性为毒性、易燃性</w:t>
      </w:r>
      <w:r>
        <w:rPr>
          <w:rFonts w:hint="eastAsia"/>
          <w:kern w:val="0"/>
          <w:sz w:val="24"/>
          <w:u w:val="none" w:color="auto"/>
          <w:lang w:val="sq-AL"/>
        </w:rPr>
        <w:t>。</w:t>
      </w:r>
      <w:r>
        <w:rPr>
          <w:rFonts w:hint="eastAsia"/>
          <w:lang w:eastAsia="zh-CN"/>
        </w:rPr>
        <w:t>废变压器</w:t>
      </w:r>
      <w:r>
        <w:rPr>
          <w:rFonts w:hint="default"/>
        </w:rPr>
        <w:t>油</w:t>
      </w:r>
      <w:r>
        <w:rPr>
          <w:rFonts w:hint="eastAsia"/>
          <w:lang w:eastAsia="zh-CN"/>
        </w:rPr>
        <w:t>暂存于危险废物暂存间，最终交由有资质的单位处置。</w:t>
      </w:r>
    </w:p>
    <w:p>
      <w:pPr>
        <w:bidi w:val="0"/>
        <w:rPr>
          <w:rFonts w:hint="default"/>
        </w:rPr>
      </w:pPr>
      <w:r>
        <w:rPr>
          <w:rFonts w:hint="eastAsia"/>
          <w:lang w:eastAsia="zh-CN"/>
        </w:rPr>
        <w:t>（</w:t>
      </w:r>
      <w:r>
        <w:rPr>
          <w:rFonts w:hint="eastAsia"/>
          <w:lang w:val="en-US" w:eastAsia="zh-CN"/>
        </w:rPr>
        <w:t>4</w:t>
      </w:r>
      <w:r>
        <w:rPr>
          <w:rFonts w:hint="eastAsia"/>
          <w:lang w:eastAsia="zh-CN"/>
        </w:rPr>
        <w:t>）</w:t>
      </w:r>
      <w:r>
        <w:rPr>
          <w:rFonts w:hint="default"/>
        </w:rPr>
        <w:t>废旧蓄电池</w:t>
      </w:r>
    </w:p>
    <w:p>
      <w:pPr>
        <w:bidi w:val="0"/>
        <w:rPr>
          <w:rFonts w:hint="default"/>
        </w:rPr>
      </w:pPr>
      <w:r>
        <w:rPr>
          <w:kern w:val="0"/>
          <w:sz w:val="24"/>
          <w:u w:val="none" w:color="auto"/>
          <w:lang w:val="sq-AL"/>
        </w:rPr>
        <w:t>根据《国家危险废物名录》（</w:t>
      </w:r>
      <w:r>
        <w:rPr>
          <w:rFonts w:hint="eastAsia"/>
          <w:kern w:val="0"/>
          <w:sz w:val="24"/>
          <w:u w:val="none" w:color="auto"/>
          <w:lang w:val="sq-AL"/>
        </w:rPr>
        <w:t>202</w:t>
      </w:r>
      <w:r>
        <w:rPr>
          <w:rFonts w:hint="eastAsia"/>
          <w:kern w:val="0"/>
          <w:sz w:val="24"/>
          <w:u w:val="none" w:color="auto"/>
          <w:lang w:val="en-US" w:eastAsia="zh-CN"/>
        </w:rPr>
        <w:t>5</w:t>
      </w:r>
      <w:r>
        <w:rPr>
          <w:kern w:val="0"/>
          <w:sz w:val="24"/>
          <w:u w:val="none" w:color="auto"/>
          <w:lang w:val="sq-AL"/>
        </w:rPr>
        <w:t>年版），废铅蓄电池属于危险废物</w:t>
      </w:r>
      <w:r>
        <w:rPr>
          <w:rFonts w:hint="eastAsia"/>
          <w:kern w:val="0"/>
          <w:sz w:val="24"/>
          <w:u w:val="none" w:color="auto"/>
          <w:lang w:val="sq-AL"/>
        </w:rPr>
        <w:t>，废物</w:t>
      </w:r>
      <w:r>
        <w:rPr>
          <w:kern w:val="0"/>
          <w:sz w:val="24"/>
          <w:u w:val="none" w:color="auto"/>
          <w:lang w:val="sq-AL"/>
        </w:rPr>
        <w:t>类别为</w:t>
      </w:r>
      <w:r>
        <w:rPr>
          <w:rFonts w:hint="eastAsia"/>
          <w:kern w:val="0"/>
          <w:sz w:val="24"/>
          <w:u w:val="none" w:color="auto"/>
          <w:lang w:val="sq-AL"/>
        </w:rPr>
        <w:t>HW31，废物代码为900-052-31，</w:t>
      </w:r>
      <w:r>
        <w:rPr>
          <w:kern w:val="0"/>
          <w:sz w:val="24"/>
          <w:u w:val="none" w:color="auto"/>
          <w:lang w:val="sq-AL"/>
        </w:rPr>
        <w:t>危险特性为毒性、</w:t>
      </w:r>
      <w:r>
        <w:rPr>
          <w:rFonts w:hint="eastAsia"/>
          <w:kern w:val="0"/>
          <w:sz w:val="24"/>
          <w:u w:val="none" w:color="auto"/>
          <w:lang w:val="sq-AL"/>
        </w:rPr>
        <w:t>腐蚀</w:t>
      </w:r>
      <w:r>
        <w:rPr>
          <w:kern w:val="0"/>
          <w:sz w:val="24"/>
          <w:u w:val="none" w:color="auto"/>
          <w:lang w:val="sq-AL"/>
        </w:rPr>
        <w:t>性</w:t>
      </w:r>
      <w:r>
        <w:rPr>
          <w:rFonts w:hint="eastAsia"/>
          <w:kern w:val="0"/>
          <w:sz w:val="24"/>
          <w:u w:val="none" w:color="auto"/>
          <w:lang w:val="sq-AL" w:eastAsia="zh-CN"/>
        </w:rPr>
        <w:t>。废旧蓄电池由厂家进行更换，更换后暂存于危废暂存间内，</w:t>
      </w:r>
      <w:r>
        <w:rPr>
          <w:rFonts w:hint="eastAsia"/>
          <w:kern w:val="0"/>
          <w:sz w:val="24"/>
          <w:u w:val="none" w:color="auto"/>
          <w:lang w:val="en-US" w:eastAsia="zh-CN"/>
        </w:rPr>
        <w:t>交</w:t>
      </w:r>
      <w:r>
        <w:rPr>
          <w:rFonts w:hint="eastAsia"/>
          <w:kern w:val="0"/>
          <w:sz w:val="24"/>
          <w:u w:val="none" w:color="auto"/>
          <w:lang w:val="sq-AL" w:eastAsia="zh-CN"/>
        </w:rPr>
        <w:t>由</w:t>
      </w:r>
      <w:r>
        <w:rPr>
          <w:rFonts w:hint="eastAsia"/>
          <w:kern w:val="0"/>
          <w:sz w:val="24"/>
          <w:u w:val="none" w:color="auto"/>
          <w:lang w:val="en-US" w:eastAsia="zh-CN"/>
        </w:rPr>
        <w:t>有资质的单位</w:t>
      </w:r>
      <w:r>
        <w:rPr>
          <w:rFonts w:hint="eastAsia"/>
          <w:kern w:val="0"/>
          <w:sz w:val="24"/>
          <w:u w:val="none" w:color="auto"/>
          <w:lang w:val="sq-AL" w:eastAsia="zh-CN"/>
        </w:rPr>
        <w:t>处置。</w:t>
      </w:r>
    </w:p>
    <w:p>
      <w:pPr>
        <w:bidi w:val="0"/>
        <w:rPr>
          <w:rFonts w:hint="eastAsia"/>
        </w:rPr>
      </w:pPr>
      <w:r>
        <w:rPr>
          <w:rFonts w:hint="eastAsia"/>
        </w:rPr>
        <w:t>本项目危险废物暂存间占地面积约为</w:t>
      </w:r>
      <w:r>
        <w:rPr>
          <w:rFonts w:hint="eastAsia"/>
          <w:lang w:val="en-US" w:eastAsia="zh-CN"/>
        </w:rPr>
        <w:t>15</w:t>
      </w:r>
      <w:r>
        <w:rPr>
          <w:rFonts w:hint="eastAsia"/>
        </w:rPr>
        <w:t>m</w:t>
      </w:r>
      <w:r>
        <w:rPr>
          <w:rFonts w:hint="eastAsia"/>
          <w:vertAlign w:val="superscript"/>
        </w:rPr>
        <w:t>2</w:t>
      </w:r>
      <w:r>
        <w:rPr>
          <w:rFonts w:hint="eastAsia"/>
        </w:rPr>
        <w:t>，危险废物暂存间应严格按照《危险废物贮存污染控制标准》（GB18597-20</w:t>
      </w:r>
      <w:r>
        <w:rPr>
          <w:rFonts w:hint="eastAsia"/>
          <w:lang w:val="en-US" w:eastAsia="zh-CN"/>
        </w:rPr>
        <w:t>23</w:t>
      </w:r>
      <w:r>
        <w:rPr>
          <w:rFonts w:hint="eastAsia"/>
        </w:rPr>
        <w:t>）的要求进行建设，为仓库时，相关要求如下：</w:t>
      </w:r>
    </w:p>
    <w:p>
      <w:pPr>
        <w:bidi w:val="0"/>
        <w:rPr>
          <w:rFonts w:hint="eastAsia"/>
        </w:rPr>
      </w:pPr>
      <w:r>
        <w:rPr>
          <w:rFonts w:hint="eastAsia"/>
        </w:rPr>
        <w:t>①、贮存设施应以混凝土、砖等材料建成的相对封闭场所，并设置通风口；各类危险废物须分区、分类存放，禁止一般工业固废和生活垃圾混入。</w:t>
      </w:r>
    </w:p>
    <w:p>
      <w:pPr>
        <w:bidi w:val="0"/>
        <w:rPr>
          <w:rFonts w:hint="eastAsia"/>
        </w:rPr>
      </w:pPr>
      <w:r>
        <w:rPr>
          <w:rFonts w:hint="eastAsia"/>
        </w:rPr>
        <w:t>②、贮存设施地面、围堰内壁需采用坚固、防渗、防腐蚀，且与危险废物相容的材料建造，以保证防渗的面层结构应足以承受一般负荷及移动容器时所产生的摩损，并确保液态废物不渗入地下。</w:t>
      </w:r>
    </w:p>
    <w:p>
      <w:pPr>
        <w:bidi w:val="0"/>
        <w:rPr>
          <w:rFonts w:hint="eastAsia"/>
        </w:rPr>
      </w:pPr>
      <w:r>
        <w:rPr>
          <w:rFonts w:hint="eastAsia"/>
        </w:rPr>
        <w:t>③、贮存设施外部应修建雨水导排系统，防治雨水径流进入危废暂存间。</w:t>
      </w:r>
    </w:p>
    <w:p>
      <w:pPr>
        <w:bidi w:val="0"/>
        <w:rPr>
          <w:rFonts w:hint="eastAsia"/>
        </w:rPr>
      </w:pPr>
      <w:r>
        <w:rPr>
          <w:rFonts w:hint="eastAsia"/>
        </w:rPr>
        <w:t>④、危险废物贮存设施都必须按GB15562.2的规定设置警示标志。</w:t>
      </w:r>
    </w:p>
    <w:p>
      <w:pPr>
        <w:bidi w:val="0"/>
        <w:rPr>
          <w:rFonts w:hint="eastAsia"/>
        </w:rPr>
      </w:pPr>
      <w:r>
        <w:rPr>
          <w:rFonts w:hint="eastAsia"/>
        </w:rPr>
        <w:t>⑤、危险废物贮存前应进行检验，确保同预定接收的危险废物一致，并登记注册，作好危险废物情况的记录，记录上须注明危险废物的名称、来源、数量、特性和包装容器的类别、入库日期、存放库位、废物出库日期及接收单位名称，并建立台账。</w:t>
      </w:r>
    </w:p>
    <w:p>
      <w:pPr>
        <w:bidi w:val="0"/>
        <w:rPr>
          <w:rFonts w:hint="eastAsia"/>
        </w:rPr>
      </w:pPr>
      <w:r>
        <w:rPr>
          <w:rFonts w:hint="eastAsia"/>
        </w:rPr>
        <w:t>⑥、强化配套设施的配备，危险废物应当使用符合标准的容器盛装，禁止将不相容（相互反应）的危险废物在同一容器内混装；盛装危险废物的容器上必须粘贴符合标准标签。</w:t>
      </w:r>
    </w:p>
    <w:p>
      <w:pPr>
        <w:bidi w:val="0"/>
        <w:rPr>
          <w:rFonts w:hint="eastAsia"/>
        </w:rPr>
      </w:pPr>
      <w:r>
        <w:rPr>
          <w:rFonts w:hint="eastAsia"/>
        </w:rPr>
        <w:t>⑦、必须定期对所贮存的危险废物包装容器及贮存设施进行检查，发现破损，应及时采取措施清理更换。</w:t>
      </w:r>
    </w:p>
    <w:p>
      <w:pPr>
        <w:bidi w:val="0"/>
        <w:rPr>
          <w:rFonts w:hint="eastAsia"/>
        </w:rPr>
      </w:pPr>
      <w:r>
        <w:rPr>
          <w:rFonts w:hint="eastAsia"/>
        </w:rPr>
        <w:t>⑧、危险废物贮存设施应配备通讯设备、照明设施、安全防护服装及工具，并设有应急防护设施。</w:t>
      </w:r>
    </w:p>
    <w:p>
      <w:pPr>
        <w:bidi w:val="0"/>
        <w:rPr>
          <w:rFonts w:hint="eastAsia"/>
        </w:rPr>
      </w:pPr>
      <w:r>
        <w:rPr>
          <w:rFonts w:hint="eastAsia"/>
        </w:rPr>
        <w:t>⑨、在转移危险废物前，须按照国家有关规定报批危险废物转移计划经批准后，产生单位应当向移出地环境保护行政主管部门申请领取联单。</w:t>
      </w:r>
    </w:p>
    <w:p>
      <w:pPr>
        <w:bidi w:val="0"/>
        <w:rPr>
          <w:rFonts w:hint="eastAsia"/>
        </w:rPr>
      </w:pPr>
      <w:r>
        <w:rPr>
          <w:rFonts w:hint="eastAsia"/>
        </w:rPr>
        <w:t>⑩、在危险废物转移前三日内报告移出地环境保护行政主管部门，并同时将预期到达时间报告接受地环境保护行政主管部门。应当如实填写联单中产生单位栏目，并加盖公章，经交付危险废物运输单位核实验收签字后，将联单第一联副联自留存档，将联单第二联交移出地环境保护行政主管部门，联单第一联正联及其余各联交付运输单位随危险废物转移运行。</w:t>
      </w:r>
    </w:p>
    <w:p>
      <w:pPr>
        <w:bidi w:val="0"/>
        <w:rPr>
          <w:rFonts w:hint="default"/>
          <w:lang w:val="en-US" w:eastAsia="zh-CN"/>
        </w:rPr>
      </w:pPr>
      <w:r>
        <w:rPr>
          <w:rFonts w:hint="eastAsia"/>
        </w:rPr>
        <w:t>采取以上措施后，本项目营运过程中产生的固体废物可实现安全处置，不外排，不会对周围环境造成二次污染</w:t>
      </w:r>
      <w:r>
        <w:rPr>
          <w:rFonts w:hint="default"/>
          <w:lang w:val="en-US" w:eastAsia="zh-CN"/>
        </w:rPr>
        <w:t>。</w:t>
      </w:r>
    </w:p>
    <w:p>
      <w:pPr>
        <w:pStyle w:val="458"/>
        <w:ind w:firstLine="602"/>
        <w:rPr>
          <w:color w:val="000000" w:themeColor="text1"/>
          <w:u w:val="none" w:color="auto"/>
          <w14:textFill>
            <w14:solidFill>
              <w14:schemeClr w14:val="tx1"/>
            </w14:solidFill>
          </w14:textFill>
        </w:rPr>
      </w:pPr>
      <w:r>
        <w:rPr>
          <w:rFonts w:hint="eastAsia"/>
          <w:color w:val="000000" w:themeColor="text1"/>
          <w:u w:val="none" w:color="auto"/>
          <w:lang w:eastAsia="zh-CN"/>
          <w14:textFill>
            <w14:solidFill>
              <w14:schemeClr w14:val="tx1"/>
            </w14:solidFill>
          </w14:textFill>
        </w:rPr>
        <w:t>生态环境影响分析</w:t>
      </w:r>
    </w:p>
    <w:p>
      <w:pPr>
        <w:bidi w:val="0"/>
        <w:rPr>
          <w:rFonts w:hint="eastAsia" w:ascii="Times New Roman" w:hAnsi="Times New Roman" w:eastAsia="宋体" w:cs="Times New Roman"/>
          <w:b/>
          <w:bCs/>
          <w:lang w:val="zh-CN"/>
        </w:rPr>
      </w:pPr>
      <w:r>
        <w:rPr>
          <w:rFonts w:hint="eastAsia" w:ascii="Times New Roman" w:hAnsi="Times New Roman" w:eastAsia="宋体" w:cs="Times New Roman"/>
          <w:b/>
          <w:bCs/>
          <w:lang w:val="en-US" w:eastAsia="zh-CN"/>
        </w:rPr>
        <w:t>5.2.5</w:t>
      </w:r>
      <w:r>
        <w:rPr>
          <w:rFonts w:hint="eastAsia" w:ascii="Times New Roman" w:hAnsi="Times New Roman" w:eastAsia="宋体" w:cs="Times New Roman"/>
          <w:b/>
          <w:bCs/>
          <w:lang w:val="zh-CN"/>
        </w:rPr>
        <w:t>.1运营期对植物及植被的影响</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工程运营期不会新增占地、破坏植被，相反随着临时占地区植被的恢复，工程对评价区植物及植被的影响将逐渐降低。但运营期由于道路系统的完善，风电场区运营，人为活动、管理区生产生活等产生的废水及固废等可能会对评价区植物及植被产生不利影响。根据工程布置，运营期本工程将安排相关人员进行运行管理，主要负责风电机组巡视、日常维护和值班等，运营期管理人员较少，人为活动范围较小，废水、固废的产生量较小，且这种影响可通过加强宣传教育活动等措施进行缓解，在相关措施得到落实后，运营期，工程对区域植物及植被的影响较小。</w:t>
      </w:r>
    </w:p>
    <w:p>
      <w:pPr>
        <w:bidi w:val="0"/>
        <w:rPr>
          <w:rFonts w:hint="eastAsia" w:ascii="Times New Roman" w:hAnsi="Times New Roman" w:eastAsia="宋体" w:cs="Times New Roman"/>
          <w:b/>
          <w:bCs/>
          <w:lang w:val="zh-CN"/>
        </w:rPr>
      </w:pPr>
      <w:r>
        <w:rPr>
          <w:rFonts w:hint="eastAsia" w:ascii="Times New Roman" w:hAnsi="Times New Roman" w:eastAsia="宋体" w:cs="Times New Roman"/>
          <w:b/>
          <w:bCs/>
          <w:lang w:val="en-US" w:eastAsia="zh-CN"/>
        </w:rPr>
        <w:t>5.2.5</w:t>
      </w:r>
      <w:r>
        <w:rPr>
          <w:rFonts w:hint="eastAsia" w:ascii="Times New Roman" w:hAnsi="Times New Roman" w:eastAsia="宋体" w:cs="Times New Roman"/>
          <w:b/>
          <w:bCs/>
          <w:lang w:val="zh-CN"/>
        </w:rPr>
        <w:t>.2运营期对陆生动物的影响</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（1）风电场对野生动物的影响</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①生境质量下降对动物的影响</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工程永久占地会导致动物原有栖息地面积的缩小，尤其是灌丛和树木的砍伐使动物活动场所和食物资源的减少，风电设施运转、维护人员的活动等也会干扰影响部分动物的活动栖息地、觅食地。项目竣工后，新修的道路会对道路两边的两栖类、爬行类以及哺乳类动物的正常活动增加阻隔作用，同时使原来一些不易到达的地方（如山岭上部、山脊山顶）的可到达性增加，这些因素的叠加会造成风电场区动物栖息地质量下降。栖息地质量下降有可能导致部分动物种群数量下降，同时也造成风电场区的生物多样性降低，部分对栖息地变化极端敏感的种类甚至有可能离开评价范围，转移至较远的栖息地活动。</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根据现场调查，从动物活动分布分析，项目区的动物种类和数量的分布都以山体谷地低处和山丘中下部为最多，向上逐步递减，至山丘顶部活动动物相对较少。本工程对山丘上部和山顶部的植被破坏相对较大，而对山丘下部和中部主要是</w:t>
      </w:r>
      <w:r>
        <w:rPr>
          <w:rFonts w:hint="eastAsia" w:ascii="Times New Roman" w:hAnsi="Times New Roman" w:eastAsia="宋体" w:cs="Times New Roman"/>
          <w:lang w:val="en-US" w:eastAsia="zh-CN"/>
        </w:rPr>
        <w:t>依托现有</w:t>
      </w:r>
      <w:r>
        <w:rPr>
          <w:rFonts w:hint="eastAsia" w:ascii="Times New Roman" w:hAnsi="Times New Roman" w:eastAsia="宋体" w:cs="Times New Roman"/>
          <w:lang w:val="zh-CN"/>
        </w:rPr>
        <w:t>已建</w:t>
      </w:r>
      <w:r>
        <w:rPr>
          <w:rFonts w:hint="eastAsia" w:ascii="Times New Roman" w:hAnsi="Times New Roman" w:eastAsia="宋体" w:cs="Times New Roman"/>
          <w:lang w:val="en-US" w:eastAsia="zh-CN"/>
        </w:rPr>
        <w:t>进场</w:t>
      </w:r>
      <w:r>
        <w:rPr>
          <w:rFonts w:hint="eastAsia" w:ascii="Times New Roman" w:hAnsi="Times New Roman" w:eastAsia="宋体" w:cs="Times New Roman"/>
          <w:lang w:val="zh-CN"/>
        </w:rPr>
        <w:t>道路，基本无植被破坏影响。</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以上分析表明，工程建设导致的栖息地质量下降会对动物数量造成一定的影响，尤其是鸟类，在运营初期有一段时间数量是下降的，但随着植被的逐渐恢复，动物种类，鸟类种群数量可逐渐上升，恢复到接近原来水平；由于当地现存动物大部分是一些分布广泛、适应能力强或者本身就是已经适应人类干扰环境的种类，评价区内栖息地质量下降不会导致有物种消失。</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（2）集电线路对野生动物的影响</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本工程集电线路采用35</w:t>
      </w:r>
      <w:r>
        <w:rPr>
          <w:rFonts w:hint="eastAsia" w:cs="Times New Roman"/>
          <w:lang w:val="zh-CN"/>
        </w:rPr>
        <w:t>kV</w:t>
      </w:r>
      <w:r>
        <w:rPr>
          <w:rFonts w:hint="eastAsia" w:ascii="Times New Roman" w:hAnsi="Times New Roman" w:eastAsia="宋体" w:cs="Times New Roman"/>
          <w:lang w:val="zh-CN"/>
        </w:rPr>
        <w:t>电缆直埋敷设，其对陆生动物的影响主要是工频电磁噪声对动物的影响。</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由于35kV</w:t>
      </w:r>
      <w:r>
        <w:rPr>
          <w:rFonts w:hint="eastAsia" w:cs="Times New Roman"/>
          <w:lang w:val="en-US" w:eastAsia="zh-CN"/>
        </w:rPr>
        <w:t>电缆本身产生的电磁场较小，属于国家豁免范围，且</w:t>
      </w:r>
      <w:r>
        <w:rPr>
          <w:rFonts w:hint="eastAsia" w:ascii="Times New Roman" w:hAnsi="Times New Roman" w:eastAsia="宋体" w:cs="Times New Roman"/>
          <w:lang w:val="zh-CN"/>
        </w:rPr>
        <w:t>地下电缆外护套和铠装层对工频电场起到了一定的屏蔽作用，电缆周围的工频电场不大，加之土壤和电缆隧道起到的屏蔽作用，地表上的工频电场与建设前当地工频电场的环境背景相当。同时工频电场和工频磁场属于感应场，感应场的特点是随着距离的增加其场强快速衰减，高压电缆线路产生的工频磁场经过距离的衰减，对动物影响甚微。总的来说，本工程集电线路对动物的影响较小。</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（3）</w:t>
      </w:r>
      <w:r>
        <w:rPr>
          <w:rFonts w:hint="eastAsia" w:ascii="Times New Roman" w:hAnsi="Times New Roman" w:eastAsia="宋体" w:cs="Times New Roman"/>
          <w:lang w:val="en-US" w:eastAsia="zh-CN"/>
        </w:rPr>
        <w:t>汇集</w:t>
      </w:r>
      <w:r>
        <w:rPr>
          <w:rFonts w:hint="eastAsia" w:ascii="Times New Roman" w:hAnsi="Times New Roman" w:eastAsia="宋体" w:cs="Times New Roman"/>
          <w:lang w:val="zh-CN"/>
        </w:rPr>
        <w:t>站对野生动物的影响</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本项目新建一座220</w:t>
      </w:r>
      <w:r>
        <w:rPr>
          <w:rFonts w:hint="eastAsia" w:cs="Times New Roman"/>
          <w:lang w:val="zh-CN"/>
        </w:rPr>
        <w:t>kV</w:t>
      </w:r>
      <w:r>
        <w:rPr>
          <w:rFonts w:hint="eastAsia" w:ascii="Times New Roman" w:hAnsi="Times New Roman" w:eastAsia="宋体" w:cs="Times New Roman"/>
          <w:lang w:val="en-US" w:eastAsia="zh-CN"/>
        </w:rPr>
        <w:t>汇集</w:t>
      </w:r>
      <w:r>
        <w:rPr>
          <w:rFonts w:hint="eastAsia" w:ascii="Times New Roman" w:hAnsi="Times New Roman" w:eastAsia="宋体" w:cs="Times New Roman"/>
          <w:lang w:val="zh-CN"/>
        </w:rPr>
        <w:t>站，站内的主要电气设备为主变压器、部分高压电器设备等，运行期</w:t>
      </w:r>
      <w:r>
        <w:rPr>
          <w:rFonts w:hint="eastAsia" w:ascii="Times New Roman" w:hAnsi="Times New Roman" w:eastAsia="宋体" w:cs="Times New Roman"/>
          <w:lang w:val="en-US" w:eastAsia="zh-CN"/>
        </w:rPr>
        <w:t>汇集</w:t>
      </w:r>
      <w:r>
        <w:rPr>
          <w:rFonts w:hint="eastAsia" w:ascii="Times New Roman" w:hAnsi="Times New Roman" w:eastAsia="宋体" w:cs="Times New Roman"/>
          <w:lang w:val="zh-CN"/>
        </w:rPr>
        <w:t>站对动物的影响为电磁影响、噪声和管理人员生产生活的影响，通过预测可知，</w:t>
      </w:r>
      <w:r>
        <w:rPr>
          <w:rFonts w:hint="eastAsia" w:ascii="Times New Roman" w:hAnsi="Times New Roman" w:eastAsia="宋体" w:cs="Times New Roman"/>
          <w:lang w:val="en-US" w:eastAsia="zh-CN"/>
        </w:rPr>
        <w:t>汇集</w:t>
      </w:r>
      <w:r>
        <w:rPr>
          <w:rFonts w:hint="eastAsia" w:ascii="Times New Roman" w:hAnsi="Times New Roman" w:eastAsia="宋体" w:cs="Times New Roman"/>
          <w:lang w:val="zh-CN"/>
        </w:rPr>
        <w:t>站电磁影响、噪声影响较小。</w:t>
      </w:r>
      <w:r>
        <w:rPr>
          <w:rFonts w:hint="eastAsia" w:ascii="Times New Roman" w:hAnsi="Times New Roman" w:eastAsia="宋体" w:cs="Times New Roman"/>
          <w:lang w:val="en-US" w:eastAsia="zh-CN"/>
        </w:rPr>
        <w:t>汇集</w:t>
      </w:r>
      <w:r>
        <w:rPr>
          <w:rFonts w:hint="eastAsia" w:ascii="Times New Roman" w:hAnsi="Times New Roman" w:eastAsia="宋体" w:cs="Times New Roman"/>
          <w:lang w:val="zh-CN"/>
        </w:rPr>
        <w:t>站中设置有生产生活办公区，</w:t>
      </w:r>
      <w:r>
        <w:rPr>
          <w:rFonts w:hint="eastAsia" w:ascii="Times New Roman" w:hAnsi="Times New Roman" w:eastAsia="宋体" w:cs="Times New Roman"/>
          <w:lang w:val="en-US" w:eastAsia="zh-CN"/>
        </w:rPr>
        <w:t>汇集</w:t>
      </w:r>
      <w:r>
        <w:rPr>
          <w:rFonts w:hint="eastAsia" w:ascii="Times New Roman" w:hAnsi="Times New Roman" w:eastAsia="宋体" w:cs="Times New Roman"/>
          <w:lang w:val="zh-CN"/>
        </w:rPr>
        <w:t>站内工作人员数量少，只要采取合理的生活垃圾及污水管理措施，可把影响降到最低。总体来说，升压站对野生动物的影响较小。</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（4）道路对野生动物的影响</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检修道路对评价区内野生动物的影响主要在于栖息地的破碎使野生动物的活动范围受到限制和提高野生动物在新建道路上穿行的死亡概率，但这种影响主要是对迁移能力较差的两栖类和爬行类的影响相对较大。由于新建道路是山皮石路面，道路上车、人流量有限，因而道路对动物的阻隔作用和导致动物穿行死亡的影响较小。</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（6）风机运营期对鸟类的影响</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①对风电场评价项目区及周边国家重点保护鸟类的影响</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周边的国家重点保护鸟类</w:t>
      </w:r>
      <w:r>
        <w:rPr>
          <w:rFonts w:hint="eastAsia" w:ascii="Times New Roman" w:hAnsi="Times New Roman" w:eastAsia="宋体" w:cs="Times New Roman"/>
          <w:lang w:val="en-US" w:eastAsia="zh-CN"/>
        </w:rPr>
        <w:t>中</w:t>
      </w:r>
      <w:r>
        <w:rPr>
          <w:rFonts w:hint="eastAsia" w:ascii="Times New Roman" w:hAnsi="Times New Roman" w:eastAsia="宋体" w:cs="Times New Roman"/>
          <w:lang w:val="zh-CN"/>
        </w:rPr>
        <w:t>，白鹇为地栖性、灌丛或林栖性鸟类，其多在森林、灌木丛、次生森林，以及开阔的乡村和城镇周围的树林和竹林，其繁殖、觅食都会主动避离风电场环境，受风机运行影响较小。黑鸢、松雀鹰、普通鵟、红隼、斑头鸺鹠、领角鸮为猛禽，飞行速度快、活动范围广、视野开阔，能主动闪避高大、醒目的风机，且其个体稀见，发生鸟撞的概率极低。然而，在遇大风、大雾时，能见度太低，尽管风机叶片涂有斑马线、轮芯配有灯光等醒目的警戒设施，因风机运转和猛禽飞行都较快，难以确保较高安全性，可通过调整时间或停机避免鸟撞事故，特别个别机位有时常鸟撞事故，需第一时间报备相关部门或咨询专家，将危险降至最低。</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②对鸟类迁徙的影响</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eastAsia="zh-CN"/>
        </w:rPr>
        <w:t>本</w:t>
      </w:r>
      <w:r>
        <w:rPr>
          <w:rFonts w:hint="eastAsia" w:ascii="Times New Roman" w:hAnsi="Times New Roman" w:eastAsia="宋体" w:cs="Times New Roman"/>
          <w:lang w:val="zh-CN"/>
        </w:rPr>
        <w:t>项目区不与鸟类迁徙通道重叠，</w:t>
      </w:r>
      <w:r>
        <w:rPr>
          <w:rFonts w:hint="eastAsia" w:cs="Times New Roman"/>
          <w:lang w:val="en-US" w:eastAsia="zh-CN"/>
        </w:rPr>
        <w:t>距离</w:t>
      </w:r>
      <w:r>
        <w:rPr>
          <w:rFonts w:hint="eastAsia"/>
        </w:rPr>
        <w:t>蓝山县南风坳候鸟迁徙通道重点保护区</w:t>
      </w:r>
      <w:r>
        <w:rPr>
          <w:rFonts w:hint="eastAsia"/>
          <w:lang w:val="en-US" w:eastAsia="zh-CN"/>
        </w:rPr>
        <w:t>12.8km，</w:t>
      </w:r>
      <w:r>
        <w:rPr>
          <w:rFonts w:hint="eastAsia" w:cs="Times New Roman"/>
          <w:lang w:val="en-US" w:eastAsia="zh-CN"/>
        </w:rPr>
        <w:t>距离</w:t>
      </w:r>
      <w:r>
        <w:rPr>
          <w:rFonts w:hint="eastAsia"/>
          <w:lang w:eastAsia="zh-CN"/>
        </w:rPr>
        <w:t>蓝山县四海坪候鸟迁徙通道重点保护区</w:t>
      </w:r>
      <w:r>
        <w:rPr>
          <w:rFonts w:hint="eastAsia"/>
          <w:lang w:val="en-US" w:eastAsia="zh-CN"/>
        </w:rPr>
        <w:t>15.8km</w:t>
      </w:r>
      <w:r>
        <w:rPr>
          <w:rFonts w:hint="eastAsia"/>
          <w:lang w:eastAsia="zh-CN"/>
        </w:rPr>
        <w:t>，</w:t>
      </w:r>
      <w:r>
        <w:rPr>
          <w:rFonts w:hint="eastAsia" w:cs="Times New Roman"/>
          <w:lang w:val="en-US" w:eastAsia="zh-CN"/>
        </w:rPr>
        <w:t>距离</w:t>
      </w:r>
      <w:r>
        <w:rPr>
          <w:rFonts w:hint="eastAsia"/>
          <w:lang w:eastAsia="zh-CN"/>
        </w:rPr>
        <w:t>蓝山县军田候鸟迁徙通道重点保护区</w:t>
      </w:r>
      <w:r>
        <w:rPr>
          <w:rFonts w:hint="eastAsia"/>
          <w:lang w:val="en-US" w:eastAsia="zh-CN"/>
        </w:rPr>
        <w:t>13.2km</w:t>
      </w:r>
      <w:r>
        <w:rPr>
          <w:rFonts w:hint="eastAsia"/>
          <w:lang w:eastAsia="zh-CN"/>
        </w:rPr>
        <w:t>，</w:t>
      </w:r>
      <w:r>
        <w:rPr>
          <w:rFonts w:hint="eastAsia" w:ascii="Times New Roman" w:hAnsi="Times New Roman" w:eastAsia="宋体" w:cs="Times New Roman"/>
          <w:lang w:val="zh-CN"/>
        </w:rPr>
        <w:t>对迁徙鸟类影响</w:t>
      </w:r>
      <w:r>
        <w:rPr>
          <w:rFonts w:hint="eastAsia" w:cs="Times New Roman"/>
          <w:lang w:val="en-US" w:eastAsia="zh-CN"/>
        </w:rPr>
        <w:t>较小</w:t>
      </w:r>
      <w:r>
        <w:rPr>
          <w:rFonts w:hint="eastAsia" w:ascii="Times New Roman" w:hAnsi="Times New Roman" w:eastAsia="宋体" w:cs="Times New Roman"/>
          <w:lang w:val="zh-CN"/>
        </w:rPr>
        <w:t>，但运行期仍需加强风电场区鸟类监测和生态保护。一般情况下，鸟类的视力很好，它们能在几百米之外发现风机这样的障碍物而绕其飞行。但在遇到大风、大雾、降雨等恶劣天气以及无月的情况下，容易被光源吸引，鸟降低飞行高度，使其向着光源飞行，极易撞击在光源附近的障碍物上。因此，工程运行后必须采取严格保护措施，加强对风电场光源的管控。</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③噪音对鸟类的影响</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风电机发电时，宽大的风机叶片会产生的强大的低声波，随着距离地面高度的增加，噪音也在降低。据资料显示，风电场的噪音影响面成点状，受该噪音影响较大的是风电场的周围200m以内的鸟类，大型鸟类会远离声源而去，小型鸟类在风机下会照常生活，受到影响较小。</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④风页旋转对飞鸟的伤害</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风电机的页片在旋转发电过程中，可能与飞行的鸟类相撞，一旦产生撞击，必然造成鸟类的死亡。基于目前风电机的性能，在满负荷运转时，风电机转速在10～20转/分之间；风电场的鸟类均能正常回避，但是遇到异常天气，也会造成飞鸟死亡的事件。特别是一些大型翱翔鸟类，在遭遇浓雾并有突发气流时不慎飞近，可能与运行的风电机叶片相撞。为了减少和防止这一现象的出现，需要风电场配备防止鸟撞的专职机构人员，熟悉当地的鸟类物种组成和活动规律， 针对性地采取驱赶、迁移等措施，将鸟类伤害降到最低。</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⑤风电场对鸟类生物多样性的影响</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随着风电场的建设和运营，栖息地压缩、生境适宜性下降，有少量物种迁移它们的家园，从而导致保育鸟类多样性的功能。基于风电场的面积有限，受影响的范围在本地域所占比例较小，其影响下降程度属于物种的代偿范围之内。风电场建成后，在加强周边的绿化，尽快恢复原来的生态，可使鸟类多样性的影响减到最低。</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⑥风电场对鸟类生境的影响</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风电场的机位选址在由灌丛、林地构成的山脊修建，由于风电场的特殊功能，原来局部的生态环境被改变，影响到了一些山脊活动的鸟类。基于整体考虑，因风电场所占面积有限，被改造的环境面积不大，在建设和运营期对鸟类生境的影响，尚在环境的可承受范围之内，整体影响有限。</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⑦风电场工作人员对鸟类影响</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随着风电场的建设和运营，参与建设的人员相应增加，人鸟的矛盾也会增加；无论是人类无意识的行为，还是滥捕乱猎，都会对鸟类造成影响。为了降低这一不利因素，建议在风电场建设和运用期间，做好宣传教育工作，主动保护风电场及周边的鸟类，坚决抵制和杜绝各种不良行为。</w:t>
      </w:r>
    </w:p>
    <w:p>
      <w:pPr>
        <w:bidi w:val="0"/>
        <w:rPr>
          <w:rFonts w:hint="eastAsia" w:ascii="Times New Roman" w:hAnsi="Times New Roman" w:eastAsia="宋体" w:cs="Times New Roman"/>
          <w:lang w:val="zh-CN"/>
        </w:rPr>
      </w:pPr>
      <w:r>
        <w:rPr>
          <w:rFonts w:hint="eastAsia" w:ascii="Times New Roman" w:hAnsi="Times New Roman" w:eastAsia="宋体" w:cs="Times New Roman"/>
          <w:lang w:val="zh-CN"/>
        </w:rPr>
        <w:t>综上，项目运行对动物的分布有一定影响，对影响种群数量、生境状况影响较小。</w:t>
      </w:r>
    </w:p>
    <w:p>
      <w:pPr>
        <w:pStyle w:val="4"/>
        <w:tabs>
          <w:tab w:val="clear" w:pos="480"/>
          <w:tab w:val="clear" w:pos="840"/>
        </w:tabs>
        <w:adjustRightInd w:val="0"/>
        <w:snapToGrid w:val="0"/>
        <w:spacing w:before="0" w:after="0" w:line="360" w:lineRule="auto"/>
        <w:rPr>
          <w:rFonts w:ascii="Times New Roman" w:eastAsia="宋体"/>
          <w:sz w:val="28"/>
          <w:szCs w:val="28"/>
          <w:lang w:val="en-US"/>
        </w:rPr>
      </w:pPr>
      <w:r>
        <w:rPr>
          <w:rFonts w:hint="eastAsia" w:ascii="Times New Roman" w:eastAsia="宋体"/>
          <w:sz w:val="28"/>
          <w:szCs w:val="28"/>
          <w:lang w:val="en-US"/>
        </w:rPr>
        <w:t>运营期电磁环境影响</w:t>
      </w:r>
      <w:r>
        <w:rPr>
          <w:rFonts w:hint="eastAsia" w:ascii="Times New Roman" w:eastAsia="宋体"/>
          <w:sz w:val="28"/>
          <w:szCs w:val="28"/>
          <w:lang w:val="en-US" w:eastAsia="zh-CN"/>
        </w:rPr>
        <w:t>预测</w:t>
      </w:r>
    </w:p>
    <w:p>
      <w:pPr>
        <w:tabs>
          <w:tab w:val="clear" w:pos="480"/>
        </w:tabs>
        <w:adjustRightInd w:val="0"/>
        <w:snapToGrid w:val="0"/>
        <w:ind w:firstLine="480"/>
      </w:pPr>
      <w:r>
        <w:rPr>
          <w:rFonts w:hint="eastAsia"/>
        </w:rPr>
        <w:t>本项目电磁环境影响评价等级为二级，</w:t>
      </w:r>
      <w:r>
        <w:rPr>
          <w:rFonts w:ascii="宋体" w:hAnsi="宋体" w:eastAsia="宋体" w:cs="宋体"/>
          <w:spacing w:val="2"/>
          <w:sz w:val="24"/>
          <w:szCs w:val="24"/>
        </w:rPr>
        <w:t>电磁环境</w:t>
      </w:r>
      <w:r>
        <w:rPr>
          <w:rFonts w:hint="eastAsia"/>
        </w:rPr>
        <w:t>影响</w:t>
      </w:r>
      <w:r>
        <w:rPr>
          <w:rFonts w:ascii="宋体" w:hAnsi="宋体" w:eastAsia="宋体" w:cs="宋体"/>
          <w:spacing w:val="2"/>
          <w:sz w:val="24"/>
          <w:szCs w:val="24"/>
        </w:rPr>
        <w:t>预测</w:t>
      </w:r>
      <w:r>
        <w:rPr>
          <w:rFonts w:hint="eastAsia"/>
        </w:rPr>
        <w:t>采用类比法进行分析。</w:t>
      </w:r>
    </w:p>
    <w:p>
      <w:pPr>
        <w:pStyle w:val="5"/>
        <w:keepNext/>
        <w:keepLines/>
        <w:pageBreakBefore w:val="0"/>
        <w:widowControl w:val="0"/>
        <w:kinsoku/>
        <w:wordWrap/>
        <w:overflowPunct/>
        <w:topLinePunct w:val="0"/>
        <w:autoSpaceDE/>
        <w:autoSpaceDN/>
        <w:bidi w:val="0"/>
        <w:adjustRightInd/>
        <w:snapToGrid w:val="0"/>
        <w:spacing w:before="0" w:after="0"/>
        <w:textAlignment w:val="auto"/>
        <w:outlineLvl w:val="3"/>
        <w:rPr>
          <w:rFonts w:hint="eastAsia" w:ascii="宋体" w:hAnsi="宋体" w:eastAsia="宋体" w:cs="宋体"/>
          <w:u w:val="none" w:color="auto"/>
          <w:lang w:val="zh-CN"/>
        </w:rPr>
      </w:pPr>
      <w:r>
        <w:rPr>
          <w:rFonts w:hint="eastAsia" w:ascii="宋体" w:hAnsi="宋体" w:eastAsia="宋体" w:cs="宋体"/>
          <w:u w:val="none" w:color="auto"/>
          <w:lang w:val="zh-CN"/>
        </w:rPr>
        <w:t>类比对象</w:t>
      </w:r>
    </w:p>
    <w:p>
      <w:pPr>
        <w:ind w:firstLine="480"/>
        <w:rPr>
          <w:rFonts w:hint="eastAsia" w:hAnsi="宋体"/>
        </w:rPr>
      </w:pPr>
      <w:r>
        <w:rPr>
          <w:rFonts w:hint="eastAsia" w:hAnsi="宋体"/>
        </w:rPr>
        <w:t>根据本工程的规模、电压等级、容量、平面布置等因素，本工程户外变电站选择长沙曹家坪220kV变电站作为类比监测对象。长沙曹家坪220kV变电站已通过竣工环保验收，目前运行稳定。</w:t>
      </w:r>
    </w:p>
    <w:p>
      <w:pPr>
        <w:ind w:firstLine="480"/>
        <w:rPr>
          <w:rFonts w:hint="eastAsia" w:hAnsi="宋体"/>
        </w:rPr>
      </w:pPr>
      <w:r>
        <w:rPr>
          <w:rFonts w:hint="eastAsia" w:hAnsi="宋体"/>
        </w:rPr>
        <w:t>根据类比对象选择的原则，工频电场主要与运行电压及布置型式有关，只要电压等级相同、布置型式一致、出线方式相同，工频电场的影响就具有可类比性；工频磁场主要与主变容量有关。本工程变电站与类比变电站类比条件情况见下表。</w:t>
      </w:r>
    </w:p>
    <w:p>
      <w:pPr>
        <w:pStyle w:val="3590"/>
        <w:bidi w:val="0"/>
        <w:rPr>
          <w:rFonts w:hint="eastAsia"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类比变电站和</w:t>
      </w:r>
      <w:r>
        <w:rPr>
          <w:rFonts w:hint="eastAsia" w:cs="Times New Roman"/>
          <w:u w:val="none" w:color="auto"/>
          <w:lang w:val="en-US" w:eastAsia="zh-CN"/>
        </w:rPr>
        <w:t>本项目</w:t>
      </w:r>
      <w:r>
        <w:rPr>
          <w:rFonts w:hint="eastAsia" w:ascii="Times New Roman" w:hAnsi="Times New Roman" w:eastAsia="宋体" w:cs="Times New Roman"/>
          <w:u w:val="none" w:color="auto"/>
          <w:lang w:val="en-US" w:eastAsia="zh-CN"/>
        </w:rPr>
        <w:t>汇集站概况</w:t>
      </w:r>
    </w:p>
    <w:tbl>
      <w:tblPr>
        <w:tblStyle w:val="88"/>
        <w:tblW w:w="45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7" w:type="dxa"/>
          <w:bottom w:w="0" w:type="dxa"/>
          <w:right w:w="57" w:type="dxa"/>
        </w:tblCellMar>
      </w:tblPr>
      <w:tblGrid>
        <w:gridCol w:w="1304"/>
        <w:gridCol w:w="2686"/>
        <w:gridCol w:w="445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66" w:hRule="atLeast"/>
          <w:jc w:val="center"/>
        </w:trPr>
        <w:tc>
          <w:tcPr>
            <w:tcW w:w="772" w:type="pct"/>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color w:val="auto"/>
                <w:kern w:val="0"/>
                <w:sz w:val="21"/>
                <w:szCs w:val="21"/>
              </w:rPr>
            </w:pPr>
            <w:r>
              <w:rPr>
                <w:rFonts w:hAnsi="宋体"/>
                <w:color w:val="auto"/>
                <w:kern w:val="0"/>
                <w:sz w:val="21"/>
                <w:szCs w:val="21"/>
              </w:rPr>
              <w:t>工程</w:t>
            </w:r>
          </w:p>
        </w:tc>
        <w:tc>
          <w:tcPr>
            <w:tcW w:w="1590" w:type="pct"/>
            <w:tcBorders>
              <w:right w:val="single" w:color="auto" w:sz="4" w:space="0"/>
            </w:tcBorders>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int="eastAsia" w:hAnsi="宋体"/>
                <w:color w:val="auto"/>
                <w:kern w:val="0"/>
                <w:sz w:val="21"/>
                <w:szCs w:val="21"/>
                <w:lang w:val="en-US" w:eastAsia="zh-CN"/>
              </w:rPr>
            </w:pPr>
            <w:r>
              <w:rPr>
                <w:rFonts w:hint="eastAsia" w:hAnsi="宋体"/>
                <w:color w:val="auto"/>
                <w:kern w:val="0"/>
                <w:sz w:val="21"/>
                <w:szCs w:val="21"/>
                <w:lang w:val="en-US" w:eastAsia="zh-CN"/>
              </w:rPr>
              <w:t>长沙曹家坪220kV变电站</w:t>
            </w:r>
          </w:p>
        </w:tc>
        <w:tc>
          <w:tcPr>
            <w:tcW w:w="2637" w:type="pct"/>
            <w:tcBorders>
              <w:left w:val="single" w:color="auto" w:sz="4" w:space="0"/>
            </w:tcBorders>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int="eastAsia" w:hAnsi="宋体"/>
                <w:color w:val="auto"/>
                <w:kern w:val="0"/>
                <w:sz w:val="21"/>
                <w:szCs w:val="21"/>
                <w:lang w:val="en-US" w:eastAsia="zh-CN"/>
              </w:rPr>
            </w:pPr>
            <w:r>
              <w:rPr>
                <w:rFonts w:hint="eastAsia" w:hAnsi="宋体"/>
                <w:color w:val="auto"/>
                <w:kern w:val="0"/>
                <w:sz w:val="21"/>
                <w:szCs w:val="21"/>
                <w:lang w:val="en-US" w:eastAsia="zh-CN"/>
              </w:rPr>
              <w:t>本项目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66" w:hRule="atLeast"/>
          <w:jc w:val="center"/>
        </w:trPr>
        <w:tc>
          <w:tcPr>
            <w:tcW w:w="772" w:type="pct"/>
            <w:shd w:val="clear" w:color="auto" w:fill="auto"/>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int="eastAsia" w:hAnsi="宋体"/>
                <w:color w:val="auto"/>
                <w:kern w:val="0"/>
                <w:sz w:val="21"/>
                <w:szCs w:val="21"/>
                <w:lang w:val="en-US" w:eastAsia="en-US"/>
              </w:rPr>
            </w:pPr>
            <w:r>
              <w:rPr>
                <w:rFonts w:hint="eastAsia" w:hAnsi="宋体"/>
                <w:color w:val="auto"/>
                <w:kern w:val="0"/>
                <w:sz w:val="21"/>
                <w:szCs w:val="21"/>
                <w:lang w:val="en-US" w:eastAsia="zh-CN"/>
              </w:rPr>
              <w:t>电压等级</w:t>
            </w:r>
          </w:p>
        </w:tc>
        <w:tc>
          <w:tcPr>
            <w:tcW w:w="1590" w:type="pct"/>
            <w:tcBorders>
              <w:right w:val="single" w:color="auto" w:sz="4" w:space="0"/>
            </w:tcBorders>
            <w:shd w:val="clear" w:color="auto" w:fill="auto"/>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int="eastAsia" w:hAnsi="宋体"/>
                <w:color w:val="auto"/>
                <w:kern w:val="0"/>
                <w:sz w:val="21"/>
                <w:szCs w:val="21"/>
                <w:lang w:val="en-US" w:eastAsia="zh-CN"/>
              </w:rPr>
            </w:pPr>
            <w:r>
              <w:rPr>
                <w:rFonts w:hint="eastAsia" w:hAnsi="宋体"/>
                <w:color w:val="auto"/>
                <w:kern w:val="0"/>
                <w:sz w:val="21"/>
                <w:szCs w:val="21"/>
                <w:lang w:val="en-US" w:eastAsia="zh-CN"/>
              </w:rPr>
              <w:t>220kV</w:t>
            </w:r>
          </w:p>
        </w:tc>
        <w:tc>
          <w:tcPr>
            <w:tcW w:w="2637" w:type="pct"/>
            <w:tcBorders>
              <w:left w:val="single" w:color="auto" w:sz="4" w:space="0"/>
            </w:tcBorders>
            <w:shd w:val="clear" w:color="auto" w:fill="auto"/>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int="eastAsia" w:hAnsi="宋体"/>
                <w:color w:val="auto"/>
                <w:kern w:val="0"/>
                <w:sz w:val="21"/>
                <w:szCs w:val="21"/>
                <w:lang w:val="en-US" w:eastAsia="zh-CN"/>
              </w:rPr>
            </w:pPr>
            <w:r>
              <w:rPr>
                <w:rFonts w:hint="eastAsia" w:hAnsi="宋体"/>
                <w:color w:val="auto"/>
                <w:kern w:val="0"/>
                <w:sz w:val="21"/>
                <w:szCs w:val="21"/>
                <w:lang w:val="en-US" w:eastAsia="zh-CN"/>
              </w:rPr>
              <w:t>220kV</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772" w:type="pct"/>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color w:val="auto"/>
                <w:kern w:val="0"/>
                <w:sz w:val="21"/>
                <w:szCs w:val="21"/>
              </w:rPr>
            </w:pPr>
            <w:r>
              <w:rPr>
                <w:rFonts w:hAnsi="宋体"/>
                <w:color w:val="auto"/>
                <w:kern w:val="0"/>
                <w:sz w:val="21"/>
                <w:szCs w:val="21"/>
              </w:rPr>
              <w:t>布置形式</w:t>
            </w:r>
          </w:p>
        </w:tc>
        <w:tc>
          <w:tcPr>
            <w:tcW w:w="1590" w:type="pct"/>
            <w:tcBorders>
              <w:right w:val="single" w:color="auto" w:sz="4" w:space="0"/>
            </w:tcBorders>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int="default" w:hAnsi="宋体"/>
                <w:color w:val="auto"/>
                <w:kern w:val="0"/>
                <w:sz w:val="21"/>
                <w:szCs w:val="21"/>
                <w:lang w:val="en-US" w:eastAsia="zh-CN"/>
              </w:rPr>
            </w:pPr>
            <w:r>
              <w:rPr>
                <w:rFonts w:hAnsi="宋体"/>
                <w:color w:val="auto"/>
                <w:kern w:val="0"/>
                <w:sz w:val="21"/>
                <w:szCs w:val="21"/>
              </w:rPr>
              <w:t>户外式</w:t>
            </w:r>
          </w:p>
        </w:tc>
        <w:tc>
          <w:tcPr>
            <w:tcW w:w="2637" w:type="pct"/>
            <w:tcBorders>
              <w:left w:val="single" w:color="auto" w:sz="4" w:space="0"/>
            </w:tcBorders>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户外式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772" w:type="pct"/>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color w:val="auto"/>
                <w:kern w:val="0"/>
                <w:sz w:val="21"/>
                <w:szCs w:val="21"/>
              </w:rPr>
            </w:pPr>
            <w:r>
              <w:rPr>
                <w:rFonts w:hAnsi="宋体"/>
                <w:color w:val="auto"/>
                <w:kern w:val="0"/>
                <w:sz w:val="21"/>
                <w:szCs w:val="21"/>
              </w:rPr>
              <w:t>主变数量</w:t>
            </w:r>
          </w:p>
        </w:tc>
        <w:tc>
          <w:tcPr>
            <w:tcW w:w="1590" w:type="pct"/>
            <w:tcBorders>
              <w:right w:val="single" w:color="auto" w:sz="4" w:space="0"/>
            </w:tcBorders>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int="default" w:hAnsi="宋体"/>
                <w:color w:val="auto"/>
                <w:kern w:val="0"/>
                <w:sz w:val="21"/>
                <w:szCs w:val="21"/>
                <w:lang w:val="en-US" w:eastAsia="zh-CN"/>
              </w:rPr>
            </w:pPr>
            <w:r>
              <w:rPr>
                <w:rFonts w:hint="eastAsia" w:hAnsi="宋体"/>
                <w:color w:val="auto"/>
                <w:kern w:val="0"/>
                <w:sz w:val="21"/>
                <w:szCs w:val="21"/>
                <w:lang w:val="en-US" w:eastAsia="zh-CN"/>
              </w:rPr>
              <w:t>3台</w:t>
            </w:r>
          </w:p>
        </w:tc>
        <w:tc>
          <w:tcPr>
            <w:tcW w:w="2637" w:type="pct"/>
            <w:tcBorders>
              <w:left w:val="single" w:color="auto" w:sz="4" w:space="0"/>
            </w:tcBorders>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int="default" w:hAnsi="宋体"/>
                <w:color w:val="auto"/>
                <w:kern w:val="0"/>
                <w:sz w:val="21"/>
                <w:szCs w:val="21"/>
                <w:lang w:val="en-US" w:eastAsia="zh-CN"/>
              </w:rPr>
            </w:pPr>
            <w:r>
              <w:rPr>
                <w:rFonts w:hint="eastAsia" w:hAnsi="宋体"/>
                <w:color w:val="auto"/>
                <w:kern w:val="0"/>
                <w:sz w:val="21"/>
                <w:szCs w:val="21"/>
                <w:lang w:eastAsia="zh-CN"/>
              </w:rPr>
              <w:t>近期</w:t>
            </w:r>
            <w:r>
              <w:rPr>
                <w:rFonts w:hint="eastAsia" w:hAnsi="宋体"/>
                <w:color w:val="auto"/>
                <w:kern w:val="0"/>
                <w:sz w:val="21"/>
                <w:szCs w:val="21"/>
                <w:lang w:val="en-US" w:eastAsia="zh-CN"/>
              </w:rPr>
              <w:t>2台，远期3台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772" w:type="pct"/>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主变容量</w:t>
            </w:r>
          </w:p>
        </w:tc>
        <w:tc>
          <w:tcPr>
            <w:tcW w:w="1590" w:type="pct"/>
            <w:tcBorders>
              <w:right w:val="single" w:color="auto" w:sz="4" w:space="0"/>
            </w:tcBorders>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int="default" w:hAnsi="宋体"/>
                <w:color w:val="auto"/>
                <w:kern w:val="0"/>
                <w:sz w:val="21"/>
                <w:szCs w:val="21"/>
                <w:lang w:val="en-US" w:eastAsia="zh-CN"/>
              </w:rPr>
            </w:pPr>
            <w:r>
              <w:rPr>
                <w:rFonts w:hint="eastAsia" w:hAnsi="宋体"/>
                <w:color w:val="auto"/>
                <w:kern w:val="0"/>
                <w:sz w:val="21"/>
                <w:szCs w:val="21"/>
                <w:lang w:val="en-US" w:eastAsia="zh-CN"/>
              </w:rPr>
              <w:t>3</w:t>
            </w:r>
            <w:r>
              <w:rPr>
                <w:rFonts w:hint="default" w:hAnsi="宋体"/>
                <w:color w:val="auto"/>
                <w:kern w:val="0"/>
                <w:sz w:val="21"/>
                <w:szCs w:val="21"/>
                <w:lang w:val="en-US" w:eastAsia="zh-CN"/>
              </w:rPr>
              <w:t>×</w:t>
            </w:r>
            <w:r>
              <w:rPr>
                <w:rFonts w:hint="eastAsia" w:hAnsi="宋体"/>
                <w:color w:val="auto"/>
                <w:kern w:val="0"/>
                <w:sz w:val="21"/>
                <w:szCs w:val="21"/>
                <w:lang w:val="en-US" w:eastAsia="zh-CN"/>
              </w:rPr>
              <w:t>240</w:t>
            </w:r>
            <w:r>
              <w:rPr>
                <w:rFonts w:hAnsi="宋体"/>
                <w:color w:val="auto"/>
                <w:kern w:val="0"/>
                <w:sz w:val="21"/>
                <w:szCs w:val="21"/>
              </w:rPr>
              <w:t>MVA</w:t>
            </w:r>
          </w:p>
        </w:tc>
        <w:tc>
          <w:tcPr>
            <w:tcW w:w="2637" w:type="pct"/>
            <w:tcBorders>
              <w:left w:val="single" w:color="auto" w:sz="4" w:space="0"/>
            </w:tcBorders>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int="eastAsia" w:hAnsi="宋体"/>
                <w:color w:val="auto"/>
                <w:kern w:val="0"/>
                <w:sz w:val="21"/>
                <w:szCs w:val="21"/>
                <w:lang w:val="en-US" w:eastAsia="zh-CN"/>
              </w:rPr>
              <w:t>3</w:t>
            </w:r>
            <w:r>
              <w:rPr>
                <w:rFonts w:hint="default" w:hAnsi="宋体"/>
                <w:color w:val="auto"/>
                <w:kern w:val="0"/>
                <w:sz w:val="21"/>
                <w:szCs w:val="21"/>
                <w:lang w:val="en-US" w:eastAsia="zh-CN"/>
              </w:rPr>
              <w:t>×</w:t>
            </w:r>
            <w:r>
              <w:rPr>
                <w:rFonts w:hint="eastAsia" w:hAnsi="宋体"/>
                <w:color w:val="auto"/>
                <w:kern w:val="0"/>
                <w:sz w:val="21"/>
                <w:szCs w:val="21"/>
                <w:lang w:val="en-US" w:eastAsia="zh-CN"/>
              </w:rPr>
              <w:t>240</w:t>
            </w:r>
            <w:r>
              <w:rPr>
                <w:rFonts w:hAnsi="宋体"/>
                <w:color w:val="auto"/>
                <w:kern w:val="0"/>
                <w:sz w:val="21"/>
                <w:szCs w:val="21"/>
              </w:rPr>
              <w:t>MVA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772" w:type="pct"/>
            <w:shd w:val="clear" w:color="auto" w:fill="auto"/>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lang w:val="en-US" w:eastAsia="en-US"/>
              </w:rPr>
            </w:pPr>
            <w:r>
              <w:rPr>
                <w:rFonts w:hAnsi="宋体"/>
                <w:color w:val="auto"/>
                <w:kern w:val="0"/>
                <w:sz w:val="21"/>
                <w:szCs w:val="21"/>
              </w:rPr>
              <w:t>出线方式</w:t>
            </w:r>
          </w:p>
        </w:tc>
        <w:tc>
          <w:tcPr>
            <w:tcW w:w="1590" w:type="pct"/>
            <w:tcBorders>
              <w:right w:val="single" w:color="auto" w:sz="4" w:space="0"/>
            </w:tcBorders>
            <w:shd w:val="clear" w:color="auto" w:fill="auto"/>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int="eastAsia" w:hAnsi="宋体"/>
                <w:color w:val="auto"/>
                <w:kern w:val="0"/>
                <w:sz w:val="21"/>
                <w:szCs w:val="21"/>
                <w:lang w:val="en-US" w:eastAsia="zh-CN"/>
              </w:rPr>
            </w:pPr>
            <w:r>
              <w:rPr>
                <w:rFonts w:hAnsi="宋体"/>
                <w:color w:val="auto"/>
                <w:kern w:val="0"/>
                <w:sz w:val="21"/>
                <w:szCs w:val="21"/>
              </w:rPr>
              <w:t>架空</w:t>
            </w:r>
          </w:p>
        </w:tc>
        <w:tc>
          <w:tcPr>
            <w:tcW w:w="2637" w:type="pct"/>
            <w:tcBorders>
              <w:left w:val="single" w:color="auto" w:sz="4" w:space="0"/>
            </w:tcBorders>
            <w:shd w:val="clear" w:color="auto" w:fill="auto"/>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int="eastAsia" w:hAnsi="宋体"/>
                <w:color w:val="auto"/>
                <w:kern w:val="0"/>
                <w:sz w:val="21"/>
                <w:szCs w:val="21"/>
                <w:lang w:val="en-US" w:eastAsia="zh-CN"/>
              </w:rPr>
            </w:pPr>
            <w:r>
              <w:rPr>
                <w:rFonts w:hAnsi="宋体"/>
                <w:color w:val="auto"/>
                <w:kern w:val="0"/>
                <w:sz w:val="21"/>
                <w:szCs w:val="21"/>
              </w:rPr>
              <w:t>架空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772" w:type="pct"/>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int="default" w:eastAsia="宋体"/>
                <w:color w:val="auto"/>
                <w:kern w:val="0"/>
                <w:sz w:val="21"/>
                <w:szCs w:val="21"/>
                <w:lang w:val="en-US" w:eastAsia="zh-CN"/>
              </w:rPr>
            </w:pPr>
            <w:r>
              <w:rPr>
                <w:rFonts w:hint="eastAsia" w:hAnsi="宋体"/>
                <w:color w:val="auto"/>
                <w:kern w:val="0"/>
                <w:sz w:val="21"/>
                <w:szCs w:val="21"/>
                <w:lang w:val="en-US" w:eastAsia="zh-CN"/>
              </w:rPr>
              <w:t>区域环境</w:t>
            </w:r>
          </w:p>
        </w:tc>
        <w:tc>
          <w:tcPr>
            <w:tcW w:w="1590" w:type="pct"/>
            <w:tcBorders>
              <w:right w:val="single" w:color="auto" w:sz="4" w:space="0"/>
            </w:tcBorders>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int="eastAsia" w:hAnsi="宋体"/>
                <w:color w:val="auto"/>
                <w:kern w:val="0"/>
                <w:sz w:val="21"/>
                <w:szCs w:val="21"/>
                <w:lang w:eastAsia="zh-CN"/>
              </w:rPr>
            </w:pPr>
            <w:r>
              <w:rPr>
                <w:rFonts w:hint="eastAsia" w:hAnsi="宋体"/>
                <w:color w:val="auto"/>
                <w:kern w:val="0"/>
                <w:sz w:val="21"/>
                <w:szCs w:val="21"/>
                <w:lang w:val="en-US" w:eastAsia="zh-CN"/>
              </w:rPr>
              <w:t>城市</w:t>
            </w:r>
          </w:p>
        </w:tc>
        <w:tc>
          <w:tcPr>
            <w:tcW w:w="2637" w:type="pct"/>
            <w:tcBorders>
              <w:left w:val="single" w:color="auto" w:sz="4" w:space="0"/>
            </w:tcBorders>
            <w:noWrap w:val="0"/>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int="eastAsia" w:hAnsi="宋体"/>
                <w:color w:val="auto"/>
                <w:kern w:val="0"/>
                <w:sz w:val="21"/>
                <w:szCs w:val="21"/>
                <w:lang w:eastAsia="zh-CN"/>
              </w:rPr>
            </w:pPr>
            <w:r>
              <w:rPr>
                <w:rFonts w:hint="eastAsia" w:hAnsi="宋体"/>
                <w:color w:val="auto"/>
                <w:kern w:val="0"/>
                <w:sz w:val="21"/>
                <w:szCs w:val="21"/>
                <w:lang w:val="en-US" w:eastAsia="zh-CN"/>
              </w:rPr>
              <w:t>农村</w:t>
            </w:r>
          </w:p>
        </w:tc>
      </w:tr>
    </w:tbl>
    <w:p>
      <w:pPr>
        <w:ind w:firstLine="480"/>
        <w:rPr>
          <w:rFonts w:hint="eastAsia" w:hAnsi="宋体"/>
        </w:rPr>
      </w:pPr>
      <w:r>
        <w:rPr>
          <w:rFonts w:hint="eastAsia" w:ascii="宋体" w:hAnsi="宋体" w:eastAsia="宋体" w:cs="宋体"/>
          <w:spacing w:val="-4"/>
          <w:sz w:val="24"/>
          <w:szCs w:val="24"/>
          <w:lang w:val="en-US" w:eastAsia="zh-CN"/>
        </w:rPr>
        <w:t>本项目与类比变电站的</w:t>
      </w:r>
      <w:r>
        <w:rPr>
          <w:rFonts w:hint="eastAsia" w:hAnsi="宋体"/>
        </w:rPr>
        <w:t>电压等级</w:t>
      </w:r>
      <w:r>
        <w:rPr>
          <w:rFonts w:hint="eastAsia" w:hAnsi="宋体"/>
          <w:lang w:eastAsia="zh-CN"/>
        </w:rPr>
        <w:t>、</w:t>
      </w:r>
      <w:r>
        <w:rPr>
          <w:rFonts w:hint="eastAsia" w:hAnsi="宋体"/>
        </w:rPr>
        <w:t>主变容量、出线</w:t>
      </w:r>
      <w:r>
        <w:rPr>
          <w:rFonts w:hint="eastAsia" w:hAnsi="宋体"/>
          <w:lang w:val="en-US" w:eastAsia="zh-CN"/>
        </w:rPr>
        <w:t>方式均相同，本项目</w:t>
      </w:r>
      <w:r>
        <w:rPr>
          <w:rFonts w:hint="eastAsia" w:hAnsi="宋体"/>
        </w:rPr>
        <w:t>以长沙曹家坪220kV变电站的电磁环境影响作为类比分析对象是可行的。</w:t>
      </w:r>
    </w:p>
    <w:p>
      <w:pPr>
        <w:pStyle w:val="5"/>
        <w:keepNext/>
        <w:keepLines/>
        <w:pageBreakBefore w:val="0"/>
        <w:widowControl w:val="0"/>
        <w:kinsoku/>
        <w:wordWrap/>
        <w:overflowPunct/>
        <w:topLinePunct w:val="0"/>
        <w:autoSpaceDE/>
        <w:autoSpaceDN/>
        <w:bidi w:val="0"/>
        <w:adjustRightInd/>
        <w:snapToGrid w:val="0"/>
        <w:spacing w:before="0" w:after="0"/>
        <w:textAlignment w:val="auto"/>
        <w:outlineLvl w:val="3"/>
        <w:rPr>
          <w:rFonts w:hint="eastAsia" w:ascii="宋体" w:hAnsi="宋体" w:eastAsia="宋体" w:cs="宋体"/>
          <w:u w:val="none" w:color="auto"/>
          <w:lang w:val="zh-CN"/>
        </w:rPr>
      </w:pPr>
      <w:r>
        <w:rPr>
          <w:rFonts w:hint="eastAsia" w:ascii="宋体" w:hAnsi="宋体" w:eastAsia="宋体" w:cs="宋体"/>
          <w:u w:val="none" w:color="auto"/>
          <w:lang w:val="zh-CN"/>
        </w:rPr>
        <w:t>类比监测</w:t>
      </w:r>
      <w:r>
        <w:rPr>
          <w:rFonts w:hint="eastAsia" w:ascii="宋体" w:eastAsia="宋体" w:cs="宋体"/>
          <w:u w:val="none" w:color="auto"/>
          <w:lang w:val="en-US" w:eastAsia="zh-CN"/>
        </w:rPr>
        <w:t>因子</w:t>
      </w:r>
    </w:p>
    <w:p>
      <w:pPr>
        <w:pStyle w:val="3632"/>
        <w:ind w:firstLine="480"/>
        <w:rPr>
          <w:rFonts w:cs="Times New Roman"/>
          <w:color w:val="auto"/>
        </w:rPr>
      </w:pPr>
      <w:r>
        <w:rPr>
          <w:rFonts w:hAnsi="宋体" w:cs="Times New Roman"/>
          <w:color w:val="auto"/>
        </w:rPr>
        <w:t>距地面</w:t>
      </w:r>
      <w:r>
        <w:rPr>
          <w:rFonts w:cs="Times New Roman"/>
          <w:color w:val="auto"/>
        </w:rPr>
        <w:t>1.5m</w:t>
      </w:r>
      <w:r>
        <w:rPr>
          <w:rFonts w:hAnsi="宋体" w:cs="Times New Roman"/>
          <w:color w:val="auto"/>
        </w:rPr>
        <w:t>处工频电场强度、工频磁感应强度。</w:t>
      </w:r>
    </w:p>
    <w:p>
      <w:pPr>
        <w:pStyle w:val="5"/>
        <w:keepNext/>
        <w:keepLines/>
        <w:pageBreakBefore w:val="0"/>
        <w:widowControl w:val="0"/>
        <w:kinsoku/>
        <w:wordWrap/>
        <w:overflowPunct/>
        <w:topLinePunct w:val="0"/>
        <w:autoSpaceDE/>
        <w:autoSpaceDN/>
        <w:bidi w:val="0"/>
        <w:adjustRightInd/>
        <w:snapToGrid w:val="0"/>
        <w:spacing w:before="0" w:after="0"/>
        <w:textAlignment w:val="auto"/>
        <w:outlineLvl w:val="3"/>
        <w:rPr>
          <w:rFonts w:hint="eastAsia" w:ascii="宋体" w:hAnsi="宋体" w:eastAsia="宋体" w:cs="宋体"/>
          <w:u w:val="none" w:color="auto"/>
          <w:lang w:val="zh-CN"/>
        </w:rPr>
      </w:pPr>
      <w:r>
        <w:rPr>
          <w:rFonts w:hint="eastAsia" w:ascii="宋体" w:hAnsi="宋体" w:eastAsia="宋体" w:cs="宋体"/>
          <w:u w:val="none" w:color="auto"/>
          <w:lang w:val="zh-CN"/>
        </w:rPr>
        <w:t>监测布点</w:t>
      </w:r>
    </w:p>
    <w:p>
      <w:pPr>
        <w:pStyle w:val="3632"/>
        <w:ind w:firstLine="482"/>
        <w:jc w:val="both"/>
        <w:rPr>
          <w:rFonts w:hint="eastAsia" w:hAnsi="宋体" w:cs="Times New Roman"/>
          <w:color w:val="auto"/>
        </w:rPr>
      </w:pPr>
      <w:r>
        <w:rPr>
          <w:rFonts w:hint="eastAsia" w:hAnsi="宋体" w:cs="Times New Roman"/>
          <w:color w:val="auto"/>
        </w:rPr>
        <w:t>厂界监测布点：工频电场、工频磁场选择在无进出线或远离进出线（距离边导线地面投影不少于20m）的围墙外且距离围墙5m处布置，测点高度1.5m。</w:t>
      </w:r>
    </w:p>
    <w:p>
      <w:pPr>
        <w:pStyle w:val="3632"/>
        <w:ind w:firstLine="482"/>
        <w:jc w:val="both"/>
        <w:rPr>
          <w:rFonts w:hAnsi="宋体" w:cs="Times New Roman"/>
          <w:color w:val="auto"/>
        </w:rPr>
      </w:pPr>
      <w:r>
        <w:rPr>
          <w:rFonts w:hint="eastAsia" w:hAnsi="宋体" w:cs="Times New Roman"/>
          <w:color w:val="auto"/>
        </w:rPr>
        <w:t>衰减断面：选择工频电场、工频磁场监测值最大值处为起点，垂直于围墙方向布置，测点距离为5m，顺序测至距离围墙外50m处。</w:t>
      </w:r>
    </w:p>
    <w:p>
      <w:pPr>
        <w:pStyle w:val="5"/>
        <w:keepNext/>
        <w:keepLines/>
        <w:pageBreakBefore w:val="0"/>
        <w:widowControl w:val="0"/>
        <w:kinsoku/>
        <w:wordWrap/>
        <w:overflowPunct/>
        <w:topLinePunct w:val="0"/>
        <w:autoSpaceDE/>
        <w:autoSpaceDN/>
        <w:bidi w:val="0"/>
        <w:adjustRightInd/>
        <w:snapToGrid w:val="0"/>
        <w:spacing w:before="0" w:after="0"/>
        <w:textAlignment w:val="auto"/>
        <w:outlineLvl w:val="3"/>
        <w:rPr>
          <w:rFonts w:hint="eastAsia" w:ascii="宋体" w:hAnsi="宋体" w:eastAsia="宋体" w:cs="宋体"/>
          <w:u w:val="none" w:color="auto"/>
          <w:lang w:val="zh-CN"/>
        </w:rPr>
      </w:pPr>
      <w:r>
        <w:rPr>
          <w:rFonts w:hint="eastAsia" w:ascii="宋体" w:hAnsi="宋体" w:eastAsia="宋体" w:cs="宋体"/>
          <w:u w:val="none" w:color="auto"/>
          <w:lang w:val="zh-CN"/>
        </w:rPr>
        <w:t>监测仪器和方法</w:t>
      </w:r>
    </w:p>
    <w:p>
      <w:pPr>
        <w:pStyle w:val="3632"/>
        <w:ind w:firstLine="482"/>
        <w:jc w:val="both"/>
        <w:rPr>
          <w:rFonts w:hint="eastAsia" w:hAnsi="宋体" w:cs="Times New Roman"/>
          <w:color w:val="auto"/>
        </w:rPr>
      </w:pPr>
      <w:r>
        <w:rPr>
          <w:rFonts w:hint="eastAsia" w:hAnsi="宋体" w:cs="Times New Roman"/>
          <w:color w:val="auto"/>
        </w:rPr>
        <w:t>监测方法：《交流输变电工程电磁环境监测方法（试行）》（HJ681-2013）。</w:t>
      </w:r>
    </w:p>
    <w:p>
      <w:pPr>
        <w:pStyle w:val="3632"/>
        <w:ind w:firstLine="482"/>
        <w:jc w:val="both"/>
        <w:rPr>
          <w:rFonts w:hint="eastAsia" w:hAnsi="宋体" w:cs="Times New Roman"/>
          <w:color w:val="auto"/>
          <w:lang w:val="zh-CN"/>
        </w:rPr>
      </w:pPr>
      <w:r>
        <w:rPr>
          <w:rFonts w:hint="eastAsia" w:hAnsi="宋体" w:cs="Times New Roman"/>
          <w:color w:val="auto"/>
        </w:rPr>
        <w:t>监测仪器：低频电磁辐射分析仪（NF-5035 ，由广东省计量科学研究究检定， 在检定有效期内。</w:t>
      </w:r>
    </w:p>
    <w:p>
      <w:pPr>
        <w:pStyle w:val="5"/>
        <w:keepNext/>
        <w:keepLines/>
        <w:pageBreakBefore w:val="0"/>
        <w:widowControl w:val="0"/>
        <w:kinsoku/>
        <w:wordWrap/>
        <w:overflowPunct/>
        <w:topLinePunct w:val="0"/>
        <w:autoSpaceDE/>
        <w:autoSpaceDN/>
        <w:bidi w:val="0"/>
        <w:adjustRightInd/>
        <w:snapToGrid w:val="0"/>
        <w:spacing w:before="0" w:after="0"/>
        <w:textAlignment w:val="auto"/>
        <w:outlineLvl w:val="3"/>
        <w:rPr>
          <w:rFonts w:hint="eastAsia" w:ascii="宋体" w:hAnsi="宋体" w:eastAsia="宋体" w:cs="宋体"/>
          <w:u w:val="none" w:color="auto"/>
          <w:lang w:val="zh-CN"/>
        </w:rPr>
      </w:pPr>
      <w:r>
        <w:rPr>
          <w:rFonts w:hint="eastAsia" w:ascii="宋体" w:hAnsi="宋体" w:eastAsia="宋体" w:cs="宋体"/>
          <w:u w:val="none" w:color="auto"/>
          <w:lang w:val="zh-CN"/>
        </w:rPr>
        <w:t>监测工况</w:t>
      </w:r>
    </w:p>
    <w:p>
      <w:pPr>
        <w:pStyle w:val="3590"/>
        <w:bidi w:val="0"/>
        <w:rPr>
          <w:rFonts w:hint="eastAsia" w:ascii="Times New Roman" w:hAnsi="Times New Roman" w:eastAsia="宋体" w:cs="Times New Roman"/>
          <w:u w:val="none" w:color="auto"/>
          <w:lang w:val="en-US" w:eastAsia="zh-CN"/>
        </w:rPr>
      </w:pPr>
      <w:r>
        <w:rPr>
          <w:rFonts w:hint="eastAsia" w:cs="Times New Roman"/>
          <w:u w:val="none" w:color="auto"/>
          <w:lang w:val="en-US" w:eastAsia="zh-CN"/>
        </w:rPr>
        <w:t>长沙曹家坪</w:t>
      </w:r>
      <w:r>
        <w:rPr>
          <w:rFonts w:hint="eastAsia" w:ascii="Times New Roman" w:hAnsi="Times New Roman" w:eastAsia="宋体" w:cs="Times New Roman"/>
          <w:u w:val="none" w:color="auto"/>
          <w:lang w:val="en-US" w:eastAsia="zh-CN"/>
        </w:rPr>
        <w:t>220</w:t>
      </w:r>
      <w:r>
        <w:rPr>
          <w:rFonts w:hint="eastAsia" w:cs="Times New Roman"/>
          <w:u w:val="none" w:color="auto"/>
          <w:lang w:val="en-US" w:eastAsia="zh-CN"/>
        </w:rPr>
        <w:t>kV</w:t>
      </w:r>
      <w:r>
        <w:rPr>
          <w:rFonts w:hint="eastAsia" w:ascii="Times New Roman" w:hAnsi="Times New Roman" w:eastAsia="宋体" w:cs="Times New Roman"/>
          <w:u w:val="none" w:color="auto"/>
          <w:lang w:val="en-US" w:eastAsia="zh-CN"/>
        </w:rPr>
        <w:t>变电站监测工况一览表</w:t>
      </w:r>
    </w:p>
    <w:tbl>
      <w:tblPr>
        <w:tblStyle w:val="3633"/>
        <w:tblW w:w="8523"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700"/>
        <w:gridCol w:w="1903"/>
        <w:gridCol w:w="1775"/>
        <w:gridCol w:w="1484"/>
        <w:gridCol w:w="1486"/>
        <w:gridCol w:w="117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2" w:hRule="atLeast"/>
          <w:jc w:val="center"/>
        </w:trPr>
        <w:tc>
          <w:tcPr>
            <w:tcW w:w="700"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序号</w:t>
            </w:r>
          </w:p>
        </w:tc>
        <w:tc>
          <w:tcPr>
            <w:tcW w:w="1903"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项目</w:t>
            </w:r>
          </w:p>
        </w:tc>
        <w:tc>
          <w:tcPr>
            <w:tcW w:w="1775"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电压（kV）</w:t>
            </w:r>
          </w:p>
        </w:tc>
        <w:tc>
          <w:tcPr>
            <w:tcW w:w="1484"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电流（A）</w:t>
            </w:r>
          </w:p>
        </w:tc>
        <w:tc>
          <w:tcPr>
            <w:tcW w:w="1486"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有功功率 （MW）</w:t>
            </w:r>
          </w:p>
        </w:tc>
        <w:tc>
          <w:tcPr>
            <w:tcW w:w="1175"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无功功率 （Mvar）</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700"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1</w:t>
            </w:r>
          </w:p>
        </w:tc>
        <w:tc>
          <w:tcPr>
            <w:tcW w:w="1903"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曹家坪220kV变电站 #1主变</w:t>
            </w:r>
          </w:p>
        </w:tc>
        <w:tc>
          <w:tcPr>
            <w:tcW w:w="1775"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261.16~263.71</w:t>
            </w:r>
          </w:p>
        </w:tc>
        <w:tc>
          <w:tcPr>
            <w:tcW w:w="1484"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227.79~228.17</w:t>
            </w:r>
          </w:p>
        </w:tc>
        <w:tc>
          <w:tcPr>
            <w:tcW w:w="1486"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99.82~ 155.32</w:t>
            </w:r>
          </w:p>
        </w:tc>
        <w:tc>
          <w:tcPr>
            <w:tcW w:w="1175"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5.75~30.15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700"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2</w:t>
            </w:r>
          </w:p>
        </w:tc>
        <w:tc>
          <w:tcPr>
            <w:tcW w:w="1903"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曹家坪220kV变电站 #2主变</w:t>
            </w:r>
          </w:p>
        </w:tc>
        <w:tc>
          <w:tcPr>
            <w:tcW w:w="1775"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263.07~263.71</w:t>
            </w:r>
          </w:p>
        </w:tc>
        <w:tc>
          <w:tcPr>
            <w:tcW w:w="1484"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227.79~228.10</w:t>
            </w:r>
          </w:p>
        </w:tc>
        <w:tc>
          <w:tcPr>
            <w:tcW w:w="1486"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99.24~ 154.23</w:t>
            </w:r>
          </w:p>
        </w:tc>
        <w:tc>
          <w:tcPr>
            <w:tcW w:w="1175"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5.82~30.47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2" w:hRule="atLeast"/>
          <w:jc w:val="center"/>
        </w:trPr>
        <w:tc>
          <w:tcPr>
            <w:tcW w:w="700"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3</w:t>
            </w:r>
          </w:p>
        </w:tc>
        <w:tc>
          <w:tcPr>
            <w:tcW w:w="1903"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曹家坪220kV变电站 #3主变</w:t>
            </w:r>
          </w:p>
        </w:tc>
        <w:tc>
          <w:tcPr>
            <w:tcW w:w="1775"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268.68~271.65</w:t>
            </w:r>
          </w:p>
        </w:tc>
        <w:tc>
          <w:tcPr>
            <w:tcW w:w="1484"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227.39~228.54</w:t>
            </w:r>
          </w:p>
        </w:tc>
        <w:tc>
          <w:tcPr>
            <w:tcW w:w="1486"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102.52~ 155.31</w:t>
            </w:r>
          </w:p>
        </w:tc>
        <w:tc>
          <w:tcPr>
            <w:tcW w:w="1175"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3.24~29.69</w:t>
            </w:r>
          </w:p>
        </w:tc>
      </w:tr>
    </w:tbl>
    <w:p>
      <w:pPr>
        <w:pStyle w:val="5"/>
        <w:keepNext/>
        <w:keepLines/>
        <w:pageBreakBefore w:val="0"/>
        <w:widowControl w:val="0"/>
        <w:kinsoku/>
        <w:wordWrap/>
        <w:overflowPunct/>
        <w:topLinePunct w:val="0"/>
        <w:autoSpaceDE/>
        <w:autoSpaceDN/>
        <w:bidi w:val="0"/>
        <w:adjustRightInd/>
        <w:snapToGrid w:val="0"/>
        <w:spacing w:before="0" w:after="0"/>
        <w:textAlignment w:val="auto"/>
        <w:outlineLvl w:val="3"/>
        <w:rPr>
          <w:rFonts w:ascii="宋体" w:hAnsi="宋体" w:eastAsia="宋体" w:cs="宋体"/>
          <w:sz w:val="24"/>
          <w:szCs w:val="24"/>
        </w:rPr>
      </w:pPr>
      <w:r>
        <w:rPr>
          <w:rFonts w:hint="eastAsia" w:ascii="宋体" w:hAnsi="宋体" w:eastAsia="宋体" w:cs="宋体"/>
          <w:b/>
          <w:bCs/>
          <w:color w:val="000000" w:themeColor="text1"/>
          <w:kern w:val="2"/>
          <w:sz w:val="28"/>
          <w:szCs w:val="28"/>
          <w:u w:val="none" w:color="auto"/>
          <w:lang w:val="zh-CN" w:eastAsia="zh-CN" w:bidi="ar-SA"/>
          <w14:textFill>
            <w14:solidFill>
              <w14:schemeClr w14:val="tx1"/>
            </w14:solidFill>
          </w14:textFill>
        </w:rPr>
        <w:t xml:space="preserve">监测单位、监测时间及测量环境 </w:t>
      </w:r>
    </w:p>
    <w:p>
      <w:pPr>
        <w:pStyle w:val="3632"/>
        <w:ind w:firstLine="482"/>
        <w:jc w:val="both"/>
        <w:rPr>
          <w:rFonts w:hint="eastAsia" w:hAnsi="宋体" w:cs="Times New Roman"/>
          <w:color w:val="auto"/>
        </w:rPr>
      </w:pPr>
      <w:r>
        <w:rPr>
          <w:rFonts w:hint="eastAsia" w:hAnsi="宋体" w:cs="Times New Roman"/>
          <w:color w:val="auto"/>
        </w:rPr>
        <w:t xml:space="preserve">监测单位：湖南凯星环保科技有限公司 </w:t>
      </w:r>
    </w:p>
    <w:p>
      <w:pPr>
        <w:pStyle w:val="3632"/>
        <w:ind w:firstLine="482"/>
        <w:jc w:val="both"/>
        <w:rPr>
          <w:rFonts w:hint="eastAsia" w:hAnsi="宋体" w:cs="Times New Roman"/>
          <w:color w:val="auto"/>
        </w:rPr>
      </w:pPr>
      <w:r>
        <w:rPr>
          <w:rFonts w:hint="eastAsia" w:hAnsi="宋体" w:cs="Times New Roman"/>
          <w:color w:val="auto"/>
        </w:rPr>
        <w:t>监测时间：2023年3月12日</w:t>
      </w:r>
    </w:p>
    <w:p>
      <w:pPr>
        <w:pStyle w:val="3632"/>
        <w:ind w:firstLine="482"/>
        <w:jc w:val="both"/>
        <w:rPr>
          <w:rFonts w:hint="eastAsia" w:hAnsi="宋体" w:cs="Times New Roman"/>
          <w:color w:val="auto"/>
        </w:rPr>
      </w:pPr>
      <w:r>
        <w:rPr>
          <w:rFonts w:hint="eastAsia" w:hAnsi="宋体" w:cs="Times New Roman"/>
          <w:color w:val="auto"/>
        </w:rPr>
        <w:t>监测环境：晴，温度为 9~20℃, 环境湿度为 42~53%RH。</w:t>
      </w:r>
    </w:p>
    <w:p>
      <w:pPr>
        <w:pStyle w:val="5"/>
        <w:keepNext/>
        <w:keepLines/>
        <w:pageBreakBefore w:val="0"/>
        <w:widowControl w:val="0"/>
        <w:kinsoku/>
        <w:wordWrap/>
        <w:overflowPunct/>
        <w:topLinePunct w:val="0"/>
        <w:autoSpaceDE/>
        <w:autoSpaceDN/>
        <w:bidi w:val="0"/>
        <w:adjustRightInd/>
        <w:snapToGrid w:val="0"/>
        <w:spacing w:before="0" w:after="0"/>
        <w:textAlignment w:val="auto"/>
        <w:outlineLvl w:val="3"/>
        <w:rPr>
          <w:rFonts w:hint="eastAsia" w:ascii="宋体" w:hAnsi="宋体" w:eastAsia="宋体" w:cs="宋体"/>
          <w:u w:val="none" w:color="auto"/>
          <w:lang w:val="zh-CN"/>
        </w:rPr>
      </w:pPr>
      <w:r>
        <w:rPr>
          <w:rFonts w:hint="eastAsia" w:ascii="宋体" w:hAnsi="宋体" w:eastAsia="宋体" w:cs="宋体"/>
          <w:u w:val="none" w:color="auto"/>
          <w:lang w:val="zh-CN"/>
        </w:rPr>
        <w:t>类比测试结果</w:t>
      </w:r>
    </w:p>
    <w:p>
      <w:pPr>
        <w:bidi w:val="0"/>
        <w:rPr>
          <w:rFonts w:hint="eastAsia"/>
        </w:rPr>
      </w:pPr>
      <w:r>
        <w:rPr>
          <w:rFonts w:hint="eastAsia"/>
        </w:rPr>
        <w:t>电磁环境类比监测结果见表</w:t>
      </w:r>
      <w:r>
        <w:rPr>
          <w:rFonts w:hint="eastAsia"/>
          <w:lang w:val="en-US" w:eastAsia="zh-CN"/>
        </w:rPr>
        <w:t>5-10</w:t>
      </w:r>
      <w:r>
        <w:rPr>
          <w:rFonts w:hint="eastAsia"/>
        </w:rPr>
        <w:t>。</w:t>
      </w:r>
    </w:p>
    <w:p>
      <w:pPr>
        <w:pStyle w:val="3590"/>
        <w:bidi w:val="0"/>
        <w:rPr>
          <w:rFonts w:hint="eastAsia" w:ascii="Times New Roman" w:hAnsi="Times New Roman" w:eastAsia="宋体" w:cs="Times New Roman"/>
          <w:u w:val="none" w:color="auto"/>
          <w:lang w:val="en-US" w:eastAsia="zh-CN"/>
        </w:rPr>
      </w:pPr>
      <w:r>
        <w:rPr>
          <w:rFonts w:hint="eastAsia" w:cs="Times New Roman"/>
          <w:u w:val="none" w:color="auto"/>
          <w:lang w:val="en-US" w:eastAsia="zh-CN"/>
        </w:rPr>
        <w:t>长沙曹家坪</w:t>
      </w:r>
      <w:r>
        <w:rPr>
          <w:rFonts w:hint="eastAsia" w:ascii="Times New Roman" w:hAnsi="Times New Roman" w:eastAsia="宋体" w:cs="Times New Roman"/>
          <w:u w:val="none" w:color="auto"/>
          <w:lang w:val="en-US" w:eastAsia="zh-CN"/>
        </w:rPr>
        <w:t>220</w:t>
      </w:r>
      <w:r>
        <w:rPr>
          <w:rFonts w:hint="eastAsia" w:cs="Times New Roman"/>
          <w:u w:val="none" w:color="auto"/>
          <w:lang w:val="en-US" w:eastAsia="zh-CN"/>
        </w:rPr>
        <w:t>kV</w:t>
      </w:r>
      <w:r>
        <w:rPr>
          <w:rFonts w:hint="eastAsia" w:ascii="Times New Roman" w:hAnsi="Times New Roman" w:eastAsia="宋体" w:cs="Times New Roman"/>
          <w:u w:val="none" w:color="auto"/>
          <w:lang w:val="en-US" w:eastAsia="zh-CN"/>
        </w:rPr>
        <w:t>变电站工频电场、磁感应强度监测结果表</w:t>
      </w:r>
    </w:p>
    <w:tbl>
      <w:tblPr>
        <w:tblStyle w:val="3633"/>
        <w:tblW w:w="8526"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513"/>
        <w:gridCol w:w="2248"/>
        <w:gridCol w:w="2337"/>
        <w:gridCol w:w="242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2" w:hRule="atLeast"/>
          <w:jc w:val="center"/>
        </w:trPr>
        <w:tc>
          <w:tcPr>
            <w:tcW w:w="3761" w:type="dxa"/>
            <w:gridSpan w:val="2"/>
            <w:vMerge w:val="restart"/>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测点位置</w:t>
            </w:r>
          </w:p>
        </w:tc>
        <w:tc>
          <w:tcPr>
            <w:tcW w:w="2337"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工频电场强度 （V/m)</w:t>
            </w:r>
          </w:p>
        </w:tc>
        <w:tc>
          <w:tcPr>
            <w:tcW w:w="2428"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工频磁感应强度  (μT)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8" w:hRule="atLeast"/>
          <w:jc w:val="center"/>
        </w:trPr>
        <w:tc>
          <w:tcPr>
            <w:tcW w:w="3761" w:type="dxa"/>
            <w:gridSpan w:val="2"/>
            <w:vMerge w:val="continue"/>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p>
        </w:tc>
        <w:tc>
          <w:tcPr>
            <w:tcW w:w="2337"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离地1.5m处</w:t>
            </w:r>
          </w:p>
        </w:tc>
        <w:tc>
          <w:tcPr>
            <w:tcW w:w="2428"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离地1.5m处</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8" w:hRule="atLeast"/>
          <w:jc w:val="center"/>
        </w:trPr>
        <w:tc>
          <w:tcPr>
            <w:tcW w:w="1513" w:type="dxa"/>
            <w:vMerge w:val="restart"/>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p>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长沙曹家坪 220kV厂界</w:t>
            </w:r>
          </w:p>
        </w:tc>
        <w:tc>
          <w:tcPr>
            <w:tcW w:w="2248"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东侧围墙外5m</w:t>
            </w:r>
          </w:p>
        </w:tc>
        <w:tc>
          <w:tcPr>
            <w:tcW w:w="2337"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13.89</w:t>
            </w:r>
          </w:p>
        </w:tc>
        <w:tc>
          <w:tcPr>
            <w:tcW w:w="2428"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1.054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8" w:hRule="atLeast"/>
          <w:jc w:val="center"/>
        </w:trPr>
        <w:tc>
          <w:tcPr>
            <w:tcW w:w="1513" w:type="dxa"/>
            <w:vMerge w:val="continue"/>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p>
        </w:tc>
        <w:tc>
          <w:tcPr>
            <w:tcW w:w="2248"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南侧围墙外5m</w:t>
            </w:r>
          </w:p>
        </w:tc>
        <w:tc>
          <w:tcPr>
            <w:tcW w:w="2337"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35.68</w:t>
            </w:r>
          </w:p>
        </w:tc>
        <w:tc>
          <w:tcPr>
            <w:tcW w:w="2428"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1.452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7" w:hRule="atLeast"/>
          <w:jc w:val="center"/>
        </w:trPr>
        <w:tc>
          <w:tcPr>
            <w:tcW w:w="1513" w:type="dxa"/>
            <w:vMerge w:val="continue"/>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p>
        </w:tc>
        <w:tc>
          <w:tcPr>
            <w:tcW w:w="2248"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西侧围墙外5m</w:t>
            </w:r>
          </w:p>
        </w:tc>
        <w:tc>
          <w:tcPr>
            <w:tcW w:w="2337"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263.90</w:t>
            </w:r>
          </w:p>
        </w:tc>
        <w:tc>
          <w:tcPr>
            <w:tcW w:w="2428"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2.694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8" w:hRule="atLeast"/>
          <w:jc w:val="center"/>
        </w:trPr>
        <w:tc>
          <w:tcPr>
            <w:tcW w:w="1513" w:type="dxa"/>
            <w:vMerge w:val="continue"/>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p>
        </w:tc>
        <w:tc>
          <w:tcPr>
            <w:tcW w:w="2248"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北侧围墙外5m</w:t>
            </w:r>
          </w:p>
        </w:tc>
        <w:tc>
          <w:tcPr>
            <w:tcW w:w="2337"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8.21</w:t>
            </w:r>
          </w:p>
        </w:tc>
        <w:tc>
          <w:tcPr>
            <w:tcW w:w="2428"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1.421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8" w:hRule="atLeast"/>
          <w:jc w:val="center"/>
        </w:trPr>
        <w:tc>
          <w:tcPr>
            <w:tcW w:w="3761" w:type="dxa"/>
            <w:gridSpan w:val="2"/>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西侧围墙外10m</w:t>
            </w:r>
          </w:p>
        </w:tc>
        <w:tc>
          <w:tcPr>
            <w:tcW w:w="2337"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186.38</w:t>
            </w:r>
          </w:p>
        </w:tc>
        <w:tc>
          <w:tcPr>
            <w:tcW w:w="2428"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2.618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8" w:hRule="atLeast"/>
          <w:jc w:val="center"/>
        </w:trPr>
        <w:tc>
          <w:tcPr>
            <w:tcW w:w="3761" w:type="dxa"/>
            <w:gridSpan w:val="2"/>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西侧围墙外15m</w:t>
            </w:r>
          </w:p>
        </w:tc>
        <w:tc>
          <w:tcPr>
            <w:tcW w:w="2337"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173.58</w:t>
            </w:r>
          </w:p>
        </w:tc>
        <w:tc>
          <w:tcPr>
            <w:tcW w:w="2428"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2.541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8" w:hRule="atLeast"/>
          <w:jc w:val="center"/>
        </w:trPr>
        <w:tc>
          <w:tcPr>
            <w:tcW w:w="3761" w:type="dxa"/>
            <w:gridSpan w:val="2"/>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西侧围墙外20m</w:t>
            </w:r>
          </w:p>
        </w:tc>
        <w:tc>
          <w:tcPr>
            <w:tcW w:w="2337"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120.36</w:t>
            </w:r>
          </w:p>
        </w:tc>
        <w:tc>
          <w:tcPr>
            <w:tcW w:w="2428"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2.082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7" w:hRule="atLeast"/>
          <w:jc w:val="center"/>
        </w:trPr>
        <w:tc>
          <w:tcPr>
            <w:tcW w:w="3761" w:type="dxa"/>
            <w:gridSpan w:val="2"/>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西侧围墙外25m</w:t>
            </w:r>
          </w:p>
        </w:tc>
        <w:tc>
          <w:tcPr>
            <w:tcW w:w="2337"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96.31</w:t>
            </w:r>
          </w:p>
        </w:tc>
        <w:tc>
          <w:tcPr>
            <w:tcW w:w="2428"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1.562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7" w:hRule="atLeast"/>
          <w:jc w:val="center"/>
        </w:trPr>
        <w:tc>
          <w:tcPr>
            <w:tcW w:w="3761" w:type="dxa"/>
            <w:gridSpan w:val="2"/>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西侧围墙外30m</w:t>
            </w:r>
          </w:p>
        </w:tc>
        <w:tc>
          <w:tcPr>
            <w:tcW w:w="2337"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75.36</w:t>
            </w:r>
          </w:p>
        </w:tc>
        <w:tc>
          <w:tcPr>
            <w:tcW w:w="2428"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1.427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8" w:hRule="atLeast"/>
          <w:jc w:val="center"/>
        </w:trPr>
        <w:tc>
          <w:tcPr>
            <w:tcW w:w="3761" w:type="dxa"/>
            <w:gridSpan w:val="2"/>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西侧围墙外35m</w:t>
            </w:r>
          </w:p>
        </w:tc>
        <w:tc>
          <w:tcPr>
            <w:tcW w:w="2337"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58.17</w:t>
            </w:r>
          </w:p>
        </w:tc>
        <w:tc>
          <w:tcPr>
            <w:tcW w:w="2428"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1.023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8" w:hRule="atLeast"/>
          <w:jc w:val="center"/>
        </w:trPr>
        <w:tc>
          <w:tcPr>
            <w:tcW w:w="3761" w:type="dxa"/>
            <w:gridSpan w:val="2"/>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西侧围墙外40m</w:t>
            </w:r>
          </w:p>
        </w:tc>
        <w:tc>
          <w:tcPr>
            <w:tcW w:w="2337"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32.74</w:t>
            </w:r>
          </w:p>
        </w:tc>
        <w:tc>
          <w:tcPr>
            <w:tcW w:w="2428"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1.038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7" w:hRule="atLeast"/>
          <w:jc w:val="center"/>
        </w:trPr>
        <w:tc>
          <w:tcPr>
            <w:tcW w:w="3761" w:type="dxa"/>
            <w:gridSpan w:val="2"/>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西侧围墙外45m</w:t>
            </w:r>
          </w:p>
        </w:tc>
        <w:tc>
          <w:tcPr>
            <w:tcW w:w="2337"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18.95</w:t>
            </w:r>
          </w:p>
        </w:tc>
        <w:tc>
          <w:tcPr>
            <w:tcW w:w="2428"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0.856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2" w:hRule="atLeast"/>
          <w:jc w:val="center"/>
        </w:trPr>
        <w:tc>
          <w:tcPr>
            <w:tcW w:w="3761" w:type="dxa"/>
            <w:gridSpan w:val="2"/>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西侧围墙外50m</w:t>
            </w:r>
          </w:p>
        </w:tc>
        <w:tc>
          <w:tcPr>
            <w:tcW w:w="2337"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12.33</w:t>
            </w:r>
          </w:p>
        </w:tc>
        <w:tc>
          <w:tcPr>
            <w:tcW w:w="2428" w:type="dxa"/>
            <w:tcBorders>
              <w:tl2br w:val="nil"/>
              <w:tr2bl w:val="nil"/>
            </w:tcBorders>
            <w:vAlign w:val="center"/>
          </w:tcPr>
          <w:p>
            <w:pPr>
              <w:keepNext w:val="0"/>
              <w:keepLines w:val="0"/>
              <w:pageBreakBefore w:val="0"/>
              <w:widowControl w:val="0"/>
              <w:kinsoku/>
              <w:overflowPunct/>
              <w:topLinePunct w:val="0"/>
              <w:autoSpaceDE/>
              <w:autoSpaceDN/>
              <w:bidi w:val="0"/>
              <w:adjustRightInd/>
              <w:spacing w:line="240" w:lineRule="auto"/>
              <w:ind w:firstLine="0" w:firstLineChars="0"/>
              <w:jc w:val="center"/>
              <w:textAlignment w:val="auto"/>
              <w:rPr>
                <w:rFonts w:hAnsi="宋体"/>
                <w:color w:val="auto"/>
                <w:kern w:val="0"/>
                <w:sz w:val="21"/>
                <w:szCs w:val="21"/>
              </w:rPr>
            </w:pPr>
            <w:r>
              <w:rPr>
                <w:rFonts w:hAnsi="宋体"/>
                <w:color w:val="auto"/>
                <w:kern w:val="0"/>
                <w:sz w:val="21"/>
                <w:szCs w:val="21"/>
              </w:rPr>
              <w:t>0.422</w:t>
            </w:r>
          </w:p>
        </w:tc>
      </w:tr>
    </w:tbl>
    <w:p>
      <w:pPr>
        <w:bidi w:val="0"/>
        <w:rPr>
          <w:rFonts w:hint="eastAsia" w:hAnsi="宋体" w:cs="Times New Roman"/>
          <w:color w:val="auto"/>
        </w:rPr>
      </w:pPr>
      <w:bookmarkStart w:id="133" w:name="_Toc472772209"/>
      <w:bookmarkStart w:id="134" w:name="_Toc476601737"/>
      <w:bookmarkStart w:id="135" w:name="_Toc471159978"/>
      <w:bookmarkStart w:id="136" w:name="_Toc475442675"/>
      <w:bookmarkStart w:id="137" w:name="_Toc475442078"/>
      <w:bookmarkStart w:id="138" w:name="_Toc476602468"/>
      <w:bookmarkStart w:id="139" w:name="_Toc467851880"/>
      <w:bookmarkStart w:id="140" w:name="_Toc471897877"/>
      <w:r>
        <w:rPr>
          <w:rFonts w:hint="eastAsia" w:hAnsi="宋体" w:cs="Times New Roman"/>
          <w:color w:val="auto"/>
        </w:rPr>
        <w:t>由以上监测结果可以看出，长沙曹家坪220kV厂界工频电场强度为8.21~263.90V/m；工频磁感应强度为1.054~2.694μT。衰减断面上的工频电场强度为 12.33~263.90V/m ，工频磁感应强度为0.422~2.964μT。长沙曹家坪 220kV围墙外的工频电场强度和工频磁感应强度，各测点值均满足工频电场4000V/m 及工频磁感应强度100μT的评价标准限值要求。</w:t>
      </w:r>
    </w:p>
    <w:p>
      <w:pPr>
        <w:pStyle w:val="5"/>
        <w:keepNext/>
        <w:keepLines/>
        <w:pageBreakBefore w:val="0"/>
        <w:widowControl w:val="0"/>
        <w:kinsoku/>
        <w:wordWrap/>
        <w:overflowPunct/>
        <w:topLinePunct w:val="0"/>
        <w:autoSpaceDE/>
        <w:autoSpaceDN/>
        <w:bidi w:val="0"/>
        <w:adjustRightInd/>
        <w:snapToGrid w:val="0"/>
        <w:spacing w:before="0" w:after="0"/>
        <w:textAlignment w:val="auto"/>
        <w:outlineLvl w:val="3"/>
        <w:rPr>
          <w:rFonts w:hint="eastAsia" w:ascii="宋体" w:hAnsi="宋体" w:eastAsia="宋体" w:cs="宋体"/>
          <w:u w:val="none" w:color="auto"/>
          <w:lang w:val="zh-CN"/>
        </w:rPr>
      </w:pPr>
      <w:r>
        <w:rPr>
          <w:rFonts w:hint="eastAsia" w:ascii="宋体" w:hAnsi="宋体" w:eastAsia="宋体" w:cs="宋体"/>
          <w:u w:val="none" w:color="auto"/>
          <w:lang w:val="zh-CN" w:eastAsia="zh-CN"/>
        </w:rPr>
        <w:t>汇集站</w:t>
      </w:r>
      <w:r>
        <w:rPr>
          <w:rFonts w:hint="eastAsia" w:ascii="宋体" w:hAnsi="宋体" w:eastAsia="宋体" w:cs="宋体"/>
          <w:u w:val="none" w:color="auto"/>
          <w:lang w:val="zh-CN"/>
        </w:rPr>
        <w:t>电磁环境影响评价</w:t>
      </w:r>
      <w:bookmarkEnd w:id="133"/>
      <w:bookmarkEnd w:id="134"/>
      <w:bookmarkEnd w:id="135"/>
      <w:bookmarkEnd w:id="136"/>
      <w:bookmarkEnd w:id="137"/>
      <w:bookmarkEnd w:id="138"/>
      <w:bookmarkEnd w:id="139"/>
      <w:bookmarkEnd w:id="140"/>
    </w:p>
    <w:p>
      <w:pPr>
        <w:bidi w:val="0"/>
        <w:rPr>
          <w:rFonts w:hint="eastAsia" w:hAnsi="宋体" w:cs="Times New Roman"/>
          <w:color w:val="auto"/>
        </w:rPr>
      </w:pPr>
      <w:r>
        <w:rPr>
          <w:rFonts w:hint="eastAsia" w:hAnsi="宋体" w:cs="Times New Roman"/>
          <w:color w:val="auto"/>
        </w:rPr>
        <w:t>环境条件会对电磁环境的微观分布产生细微影响，根据国内220kV变电站竣工环境保护验收监测，国内各种220kV变电站产生的工频电场强度和工频磁感应强度均满足《电磁环境控制限值》（GB8702-2014）4000V/m和100μT公众曝露控制限值。</w:t>
      </w:r>
    </w:p>
    <w:p>
      <w:pPr>
        <w:bidi w:val="0"/>
        <w:rPr>
          <w:rFonts w:hint="eastAsia" w:hAnsi="宋体" w:cs="Times New Roman"/>
          <w:color w:val="auto"/>
        </w:rPr>
      </w:pPr>
      <w:r>
        <w:rPr>
          <w:rFonts w:hint="eastAsia" w:hAnsi="宋体" w:cs="Times New Roman"/>
          <w:color w:val="auto"/>
        </w:rPr>
        <w:t>根据上述类比结果分析可知，本项目</w:t>
      </w:r>
      <w:r>
        <w:rPr>
          <w:rFonts w:hint="eastAsia" w:hAnsi="宋体" w:cs="Times New Roman"/>
          <w:color w:val="auto"/>
          <w:lang w:val="en-US" w:eastAsia="zh-CN"/>
        </w:rPr>
        <w:t>汇集站</w:t>
      </w:r>
      <w:r>
        <w:rPr>
          <w:rFonts w:hint="eastAsia" w:hAnsi="宋体" w:cs="Times New Roman"/>
          <w:color w:val="auto"/>
        </w:rPr>
        <w:t>建成投运后厂界外的工频电场强度和工频磁感应强度均满足《电磁环境控制限值》（GB8702-2014）中工频电场 4000V/m及工频磁感应强度100μT的评价标准限值要求。</w:t>
      </w:r>
    </w:p>
    <w:p>
      <w:pPr>
        <w:pStyle w:val="457"/>
        <w:ind w:firstLine="643"/>
        <w:rPr>
          <w:rFonts w:ascii="Times New Roman" w:hAnsi="Times New Roman" w:cs="Times New Roman"/>
          <w:color w:val="000000" w:themeColor="text1"/>
          <w:u w:val="none" w:color="auto"/>
          <w14:textFill>
            <w14:solidFill>
              <w14:schemeClr w14:val="tx1"/>
            </w14:solidFill>
          </w14:textFill>
        </w:rPr>
      </w:pPr>
      <w:bookmarkStart w:id="141" w:name="_Toc8637"/>
      <w:r>
        <w:rPr>
          <w:rFonts w:hint="eastAsia" w:ascii="Times New Roman" w:cs="Times New Roman"/>
          <w:color w:val="000000" w:themeColor="text1"/>
          <w:u w:val="none" w:color="auto"/>
          <w:lang w:eastAsia="zh-CN"/>
          <w14:textFill>
            <w14:solidFill>
              <w14:schemeClr w14:val="tx1"/>
            </w14:solidFill>
          </w14:textFill>
        </w:rPr>
        <w:t>环境风险影响分析</w:t>
      </w:r>
      <w:bookmarkEnd w:id="141"/>
    </w:p>
    <w:p>
      <w:pPr>
        <w:pStyle w:val="4"/>
        <w:tabs>
          <w:tab w:val="clear" w:pos="480"/>
          <w:tab w:val="clear" w:pos="840"/>
        </w:tabs>
        <w:adjustRightInd w:val="0"/>
        <w:snapToGrid w:val="0"/>
        <w:spacing w:before="0" w:after="0" w:line="360" w:lineRule="auto"/>
        <w:rPr>
          <w:rFonts w:hint="eastAsia" w:ascii="Times New Roman" w:eastAsia="宋体"/>
          <w:sz w:val="28"/>
          <w:szCs w:val="28"/>
          <w:lang w:val="en-US"/>
        </w:rPr>
      </w:pPr>
      <w:bookmarkStart w:id="142" w:name="_Toc116978006"/>
      <w:bookmarkStart w:id="143" w:name="_Toc181802676"/>
      <w:r>
        <w:rPr>
          <w:rFonts w:hint="eastAsia" w:ascii="Times New Roman" w:eastAsia="宋体"/>
          <w:sz w:val="28"/>
          <w:szCs w:val="28"/>
          <w:lang w:val="en-US"/>
        </w:rPr>
        <w:t>风险调查</w:t>
      </w:r>
      <w:bookmarkEnd w:id="142"/>
      <w:bookmarkEnd w:id="143"/>
    </w:p>
    <w:p>
      <w:pPr>
        <w:tabs>
          <w:tab w:val="clear" w:pos="480"/>
        </w:tabs>
        <w:adjustRightInd w:val="0"/>
        <w:snapToGrid w:val="0"/>
        <w:ind w:firstLine="480"/>
      </w:pPr>
      <w:r>
        <w:t>本项目营运期间产生的危险、有害物质主要有</w:t>
      </w:r>
      <w:r>
        <w:rPr>
          <w:kern w:val="0"/>
        </w:rPr>
        <w:t>废</w:t>
      </w:r>
      <w:r>
        <w:rPr>
          <w:rFonts w:hint="eastAsia"/>
          <w:kern w:val="0"/>
        </w:rPr>
        <w:t>机</w:t>
      </w:r>
      <w:r>
        <w:rPr>
          <w:kern w:val="0"/>
        </w:rPr>
        <w:t>油</w:t>
      </w:r>
      <w:r>
        <w:t>、废变压器油、废铅酸蓄电池、</w:t>
      </w:r>
      <w:r>
        <w:rPr>
          <w:rFonts w:hint="eastAsia"/>
        </w:rPr>
        <w:t>废液压油</w:t>
      </w:r>
      <w:r>
        <w:t>等。</w:t>
      </w:r>
    </w:p>
    <w:p>
      <w:pPr>
        <w:pStyle w:val="3590"/>
        <w:bidi w:val="0"/>
        <w:rPr>
          <w:b/>
          <w:bCs/>
          <w:sz w:val="21"/>
          <w:szCs w:val="21"/>
        </w:rPr>
      </w:pPr>
      <w:r>
        <w:rPr>
          <w:b/>
          <w:bCs/>
          <w:sz w:val="21"/>
          <w:szCs w:val="21"/>
        </w:rPr>
        <w:t>工程</w:t>
      </w:r>
      <w:r>
        <w:rPr>
          <w:rFonts w:hint="eastAsia" w:ascii="Times New Roman" w:hAnsi="Times New Roman" w:eastAsia="宋体" w:cs="Times New Roman"/>
          <w:u w:val="none" w:color="auto"/>
          <w:lang w:val="en-US" w:eastAsia="zh-CN"/>
        </w:rPr>
        <w:t>主要</w:t>
      </w:r>
      <w:r>
        <w:rPr>
          <w:b/>
          <w:bCs/>
          <w:sz w:val="21"/>
          <w:szCs w:val="21"/>
        </w:rPr>
        <w:t>危险物一览表</w:t>
      </w:r>
    </w:p>
    <w:tbl>
      <w:tblPr>
        <w:tblStyle w:val="3682"/>
        <w:tblW w:w="501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90"/>
        <w:gridCol w:w="1485"/>
        <w:gridCol w:w="2706"/>
        <w:gridCol w:w="1713"/>
        <w:gridCol w:w="24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3" w:type="pct"/>
            <w:tcBorders>
              <w:tl2br w:val="nil"/>
              <w:tr2bl w:val="nil"/>
            </w:tcBorders>
            <w:vAlign w:val="center"/>
          </w:tcPr>
          <w:p>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序号</w:t>
            </w:r>
          </w:p>
        </w:tc>
        <w:tc>
          <w:tcPr>
            <w:tcW w:w="813" w:type="pct"/>
            <w:tcBorders>
              <w:tl2br w:val="nil"/>
              <w:tr2bl w:val="nil"/>
            </w:tcBorders>
            <w:vAlign w:val="center"/>
          </w:tcPr>
          <w:p>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物料</w:t>
            </w:r>
          </w:p>
        </w:tc>
        <w:tc>
          <w:tcPr>
            <w:tcW w:w="1482" w:type="pct"/>
            <w:tcBorders>
              <w:tl2br w:val="nil"/>
              <w:tr2bl w:val="nil"/>
            </w:tcBorders>
            <w:vAlign w:val="center"/>
          </w:tcPr>
          <w:p>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存在位置</w:t>
            </w:r>
          </w:p>
        </w:tc>
        <w:tc>
          <w:tcPr>
            <w:tcW w:w="938" w:type="pct"/>
            <w:tcBorders>
              <w:tl2br w:val="nil"/>
              <w:tr2bl w:val="nil"/>
            </w:tcBorders>
            <w:vAlign w:val="center"/>
          </w:tcPr>
          <w:p>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最大存在量（t）</w:t>
            </w:r>
          </w:p>
        </w:tc>
        <w:tc>
          <w:tcPr>
            <w:tcW w:w="1333" w:type="pct"/>
            <w:tcBorders>
              <w:tl2br w:val="nil"/>
              <w:tr2bl w:val="nil"/>
            </w:tcBorders>
            <w:vAlign w:val="center"/>
          </w:tcPr>
          <w:p>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用途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3" w:type="pct"/>
            <w:tcBorders>
              <w:tl2br w:val="nil"/>
              <w:tr2bl w:val="nil"/>
            </w:tcBorders>
            <w:vAlign w:val="center"/>
          </w:tcPr>
          <w:p>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1</w:t>
            </w:r>
          </w:p>
        </w:tc>
        <w:tc>
          <w:tcPr>
            <w:tcW w:w="813" w:type="pct"/>
            <w:tcBorders>
              <w:tl2br w:val="nil"/>
              <w:tr2bl w:val="nil"/>
            </w:tcBorders>
            <w:vAlign w:val="center"/>
          </w:tcPr>
          <w:p>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废机油</w:t>
            </w:r>
          </w:p>
        </w:tc>
        <w:tc>
          <w:tcPr>
            <w:tcW w:w="1482" w:type="pct"/>
            <w:tcBorders>
              <w:tl2br w:val="nil"/>
              <w:tr2bl w:val="nil"/>
            </w:tcBorders>
            <w:vAlign w:val="center"/>
          </w:tcPr>
          <w:p>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风机</w:t>
            </w:r>
          </w:p>
        </w:tc>
        <w:tc>
          <w:tcPr>
            <w:tcW w:w="938" w:type="pct"/>
            <w:tcBorders>
              <w:tl2br w:val="nil"/>
              <w:tr2bl w:val="nil"/>
            </w:tcBorders>
            <w:vAlign w:val="center"/>
          </w:tcPr>
          <w:p>
            <w:pPr>
              <w:tabs>
                <w:tab w:val="clear" w:pos="480"/>
              </w:tabs>
              <w:autoSpaceDE w:val="0"/>
              <w:autoSpaceDN w:val="0"/>
              <w:adjustRightInd w:val="0"/>
              <w:snapToGrid w:val="0"/>
              <w:spacing w:line="240" w:lineRule="auto"/>
              <w:ind w:firstLine="0" w:firstLineChars="0"/>
              <w:jc w:val="center"/>
              <w:rPr>
                <w:rFonts w:hint="default" w:ascii="Times New Roman" w:hAnsi="Times New Roman" w:eastAsia="宋体"/>
                <w:kern w:val="0"/>
                <w:sz w:val="21"/>
                <w:szCs w:val="22"/>
                <w:lang w:val="en-US" w:eastAsia="zh-CN"/>
              </w:rPr>
            </w:pPr>
            <w:r>
              <w:rPr>
                <w:rFonts w:ascii="Times New Roman" w:hAnsi="Times New Roman"/>
                <w:kern w:val="0"/>
                <w:sz w:val="21"/>
                <w:szCs w:val="22"/>
                <w:lang w:eastAsia="en-US"/>
              </w:rPr>
              <w:t>0.</w:t>
            </w:r>
            <w:r>
              <w:rPr>
                <w:rFonts w:hint="eastAsia" w:ascii="Times New Roman" w:hAnsi="Times New Roman"/>
                <w:kern w:val="0"/>
                <w:sz w:val="21"/>
                <w:szCs w:val="22"/>
                <w:lang w:val="en-US" w:eastAsia="zh-CN"/>
              </w:rPr>
              <w:t>075</w:t>
            </w:r>
          </w:p>
        </w:tc>
        <w:tc>
          <w:tcPr>
            <w:tcW w:w="1333" w:type="pct"/>
            <w:tcBorders>
              <w:tl2br w:val="nil"/>
              <w:tr2bl w:val="nil"/>
            </w:tcBorders>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2"/>
                <w:lang w:eastAsia="zh-CN"/>
              </w:rPr>
            </w:pPr>
            <w:r>
              <w:rPr>
                <w:rFonts w:ascii="Times New Roman" w:hAnsi="Times New Roman"/>
                <w:kern w:val="0"/>
                <w:sz w:val="21"/>
                <w:szCs w:val="22"/>
                <w:lang w:eastAsia="zh-CN"/>
              </w:rPr>
              <w:t>风力发电机组变速箱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3" w:type="pct"/>
            <w:tcBorders>
              <w:tl2br w:val="nil"/>
              <w:tr2bl w:val="nil"/>
            </w:tcBorders>
            <w:vAlign w:val="center"/>
          </w:tcPr>
          <w:p>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2</w:t>
            </w:r>
          </w:p>
        </w:tc>
        <w:tc>
          <w:tcPr>
            <w:tcW w:w="813" w:type="pct"/>
            <w:tcBorders>
              <w:tl2br w:val="nil"/>
              <w:tr2bl w:val="nil"/>
            </w:tcBorders>
            <w:vAlign w:val="center"/>
          </w:tcPr>
          <w:p>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废变压器油</w:t>
            </w:r>
          </w:p>
        </w:tc>
        <w:tc>
          <w:tcPr>
            <w:tcW w:w="1482" w:type="pct"/>
            <w:tcBorders>
              <w:tl2br w:val="nil"/>
              <w:tr2bl w:val="nil"/>
            </w:tcBorders>
            <w:vAlign w:val="center"/>
          </w:tcPr>
          <w:p>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主变</w:t>
            </w:r>
            <w:r>
              <w:rPr>
                <w:rFonts w:hint="eastAsia" w:ascii="Calibri" w:hAnsi="Calibri"/>
                <w:kern w:val="0"/>
                <w:sz w:val="21"/>
                <w:szCs w:val="22"/>
                <w:lang w:eastAsia="zh-CN"/>
              </w:rPr>
              <w:t>、</w:t>
            </w:r>
            <w:r>
              <w:rPr>
                <w:rFonts w:ascii="Calibri" w:hAnsi="Calibri"/>
                <w:kern w:val="0"/>
                <w:sz w:val="21"/>
                <w:szCs w:val="22"/>
                <w:lang w:eastAsia="en-US"/>
              </w:rPr>
              <w:t>箱变</w:t>
            </w:r>
          </w:p>
        </w:tc>
        <w:tc>
          <w:tcPr>
            <w:tcW w:w="938" w:type="pct"/>
            <w:tcBorders>
              <w:tl2br w:val="nil"/>
              <w:tr2bl w:val="nil"/>
            </w:tcBorders>
            <w:vAlign w:val="center"/>
          </w:tcPr>
          <w:p>
            <w:pPr>
              <w:tabs>
                <w:tab w:val="clear" w:pos="480"/>
              </w:tabs>
              <w:autoSpaceDE w:val="0"/>
              <w:autoSpaceDN w:val="0"/>
              <w:adjustRightInd w:val="0"/>
              <w:snapToGrid w:val="0"/>
              <w:spacing w:line="240" w:lineRule="auto"/>
              <w:ind w:firstLine="0" w:firstLineChars="0"/>
              <w:jc w:val="center"/>
              <w:rPr>
                <w:rFonts w:hint="default" w:ascii="Times New Roman" w:hAnsi="Times New Roman" w:eastAsia="宋体"/>
                <w:kern w:val="0"/>
                <w:sz w:val="21"/>
                <w:szCs w:val="22"/>
                <w:lang w:val="en-US" w:eastAsia="zh-CN"/>
              </w:rPr>
            </w:pPr>
            <w:r>
              <w:rPr>
                <w:rFonts w:hint="eastAsia" w:ascii="Times New Roman" w:hAnsi="Times New Roman"/>
                <w:kern w:val="0"/>
                <w:sz w:val="21"/>
                <w:szCs w:val="22"/>
                <w:lang w:val="en-US" w:eastAsia="zh-CN"/>
              </w:rPr>
              <w:t>116</w:t>
            </w:r>
          </w:p>
        </w:tc>
        <w:tc>
          <w:tcPr>
            <w:tcW w:w="1333" w:type="pct"/>
            <w:tcBorders>
              <w:tl2br w:val="nil"/>
              <w:tr2bl w:val="nil"/>
            </w:tcBorders>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2"/>
                <w:lang w:eastAsia="en-US"/>
              </w:rPr>
            </w:pPr>
            <w:r>
              <w:rPr>
                <w:rFonts w:hint="eastAsia"/>
                <w:kern w:val="0"/>
                <w:sz w:val="21"/>
                <w:szCs w:val="22"/>
                <w:lang w:val="en-US" w:eastAsia="zh-CN"/>
              </w:rPr>
              <w:t>主</w:t>
            </w:r>
            <w:r>
              <w:rPr>
                <w:rFonts w:ascii="Times New Roman" w:hAnsi="Times New Roman"/>
                <w:kern w:val="0"/>
                <w:sz w:val="21"/>
                <w:szCs w:val="22"/>
                <w:lang w:eastAsia="en-US"/>
              </w:rPr>
              <w:t>变压器</w:t>
            </w:r>
            <w:r>
              <w:rPr>
                <w:rFonts w:hint="eastAsia"/>
                <w:kern w:val="0"/>
                <w:sz w:val="21"/>
                <w:szCs w:val="22"/>
                <w:lang w:eastAsia="zh-CN"/>
              </w:rPr>
              <w:t>、</w:t>
            </w:r>
            <w:r>
              <w:rPr>
                <w:rFonts w:ascii="Times New Roman" w:hAnsi="Times New Roman"/>
                <w:kern w:val="0"/>
                <w:sz w:val="21"/>
                <w:szCs w:val="22"/>
                <w:lang w:eastAsia="en-US"/>
              </w:rPr>
              <w:t>35</w:t>
            </w:r>
            <w:r>
              <w:rPr>
                <w:rFonts w:hint="eastAsia"/>
                <w:kern w:val="0"/>
                <w:sz w:val="21"/>
                <w:szCs w:val="22"/>
                <w:lang w:eastAsia="zh-CN"/>
              </w:rPr>
              <w:t>kV</w:t>
            </w:r>
            <w:r>
              <w:rPr>
                <w:rFonts w:ascii="Times New Roman" w:hAnsi="Times New Roman"/>
                <w:kern w:val="0"/>
                <w:sz w:val="21"/>
                <w:szCs w:val="22"/>
                <w:lang w:eastAsia="en-US"/>
              </w:rPr>
              <w:t>箱式变压器</w:t>
            </w:r>
          </w:p>
        </w:tc>
      </w:tr>
    </w:tbl>
    <w:p>
      <w:pPr>
        <w:pStyle w:val="4"/>
        <w:tabs>
          <w:tab w:val="clear" w:pos="480"/>
          <w:tab w:val="clear" w:pos="840"/>
        </w:tabs>
        <w:adjustRightInd w:val="0"/>
        <w:snapToGrid w:val="0"/>
        <w:spacing w:before="0" w:after="0" w:line="360" w:lineRule="auto"/>
        <w:rPr>
          <w:rFonts w:hint="eastAsia" w:ascii="Times New Roman" w:eastAsia="宋体"/>
          <w:sz w:val="28"/>
          <w:szCs w:val="28"/>
          <w:lang w:val="en-US"/>
        </w:rPr>
      </w:pPr>
      <w:bookmarkStart w:id="144" w:name="_Toc181802677"/>
      <w:bookmarkStart w:id="145" w:name="_Toc116978007"/>
      <w:r>
        <w:rPr>
          <w:rFonts w:hint="eastAsia" w:ascii="Times New Roman" w:eastAsia="宋体"/>
          <w:sz w:val="28"/>
          <w:szCs w:val="28"/>
          <w:lang w:val="en-US"/>
        </w:rPr>
        <w:t>评价等级判定</w:t>
      </w:r>
      <w:bookmarkEnd w:id="144"/>
      <w:bookmarkEnd w:id="145"/>
    </w:p>
    <w:p>
      <w:pPr>
        <w:pStyle w:val="5"/>
        <w:keepNext/>
        <w:keepLines/>
        <w:pageBreakBefore w:val="0"/>
        <w:widowControl w:val="0"/>
        <w:kinsoku/>
        <w:wordWrap/>
        <w:overflowPunct/>
        <w:topLinePunct w:val="0"/>
        <w:autoSpaceDE/>
        <w:autoSpaceDN/>
        <w:bidi w:val="0"/>
        <w:adjustRightInd/>
        <w:snapToGrid w:val="0"/>
        <w:spacing w:before="0" w:after="0"/>
        <w:textAlignment w:val="auto"/>
        <w:outlineLvl w:val="3"/>
        <w:rPr>
          <w:rFonts w:hint="eastAsia" w:ascii="宋体" w:hAnsi="宋体" w:eastAsia="宋体" w:cs="宋体"/>
          <w:u w:val="none" w:color="auto"/>
          <w:lang w:val="en-US"/>
        </w:rPr>
      </w:pPr>
      <w:r>
        <w:rPr>
          <w:rFonts w:hint="eastAsia" w:ascii="宋体" w:hAnsi="宋体" w:eastAsia="宋体" w:cs="宋体"/>
          <w:u w:val="none" w:color="auto"/>
          <w:lang w:val="en-US"/>
        </w:rPr>
        <w:t>危险物质数量与临界量比值（Q）</w:t>
      </w:r>
    </w:p>
    <w:p>
      <w:pPr>
        <w:tabs>
          <w:tab w:val="clear" w:pos="480"/>
        </w:tabs>
        <w:ind w:firstLine="480"/>
        <w:jc w:val="left"/>
        <w:rPr>
          <w:rFonts w:hint="eastAsia" w:hAnsi="宋体"/>
        </w:rPr>
      </w:pPr>
      <w:r>
        <w:rPr>
          <w:rFonts w:hint="eastAsia" w:hAnsi="宋体"/>
        </w:rPr>
        <w:t>根据《建设项目环境风险评价技术导则》（</w:t>
      </w:r>
      <w:r>
        <w:rPr>
          <w:rFonts w:hAnsi="宋体"/>
        </w:rPr>
        <w:t>HJ169-2018</w:t>
      </w:r>
      <w:r>
        <w:rPr>
          <w:rFonts w:hint="eastAsia" w:hAnsi="宋体"/>
        </w:rPr>
        <w:t>）附录</w:t>
      </w:r>
      <w:r>
        <w:rPr>
          <w:rFonts w:hAnsi="宋体"/>
        </w:rPr>
        <w:t>B</w:t>
      </w:r>
      <w:r>
        <w:rPr>
          <w:rFonts w:hint="eastAsia" w:hAnsi="宋体"/>
        </w:rPr>
        <w:t>，计算企业原辅助生产物料、燃料、中间产品、副产品、产品、污染物等所涉及的每种危险物质在厂界内最大存在总量与《建设项目环境风险评价技术导则》（</w:t>
      </w:r>
      <w:r>
        <w:rPr>
          <w:rFonts w:hAnsi="宋体"/>
        </w:rPr>
        <w:t>HJ/T169-2018</w:t>
      </w:r>
      <w:r>
        <w:rPr>
          <w:rFonts w:hint="eastAsia" w:hAnsi="宋体"/>
        </w:rPr>
        <w:t>）》附录</w:t>
      </w:r>
      <w:r>
        <w:rPr>
          <w:rFonts w:hAnsi="宋体"/>
        </w:rPr>
        <w:t>B</w:t>
      </w:r>
      <w:r>
        <w:rPr>
          <w:rFonts w:hint="eastAsia" w:hAnsi="宋体"/>
        </w:rPr>
        <w:t>中对临界量的比值</w:t>
      </w:r>
      <w:r>
        <w:rPr>
          <w:rFonts w:hAnsi="宋体"/>
        </w:rPr>
        <w:t>Q</w:t>
      </w:r>
      <w:r>
        <w:rPr>
          <w:rFonts w:hint="eastAsia" w:hAnsi="宋体"/>
        </w:rPr>
        <w:t>。</w:t>
      </w:r>
    </w:p>
    <w:p>
      <w:pPr>
        <w:tabs>
          <w:tab w:val="clear" w:pos="480"/>
        </w:tabs>
        <w:ind w:firstLine="480"/>
        <w:rPr>
          <w:rFonts w:hint="eastAsia" w:hAnsi="宋体"/>
          <w:kern w:val="0"/>
        </w:rPr>
      </w:pPr>
      <w:r>
        <w:rPr>
          <w:rFonts w:hAnsi="宋体"/>
          <w:kern w:val="0"/>
        </w:rPr>
        <w:fldChar w:fldCharType="begin"/>
      </w:r>
      <w:r>
        <w:rPr>
          <w:rFonts w:hAnsi="宋体"/>
          <w:kern w:val="0"/>
        </w:rPr>
        <w:instrText xml:space="preserve"> </w:instrText>
      </w:r>
      <w:r>
        <w:rPr>
          <w:rFonts w:hint="eastAsia" w:hAnsi="宋体"/>
          <w:kern w:val="0"/>
        </w:rPr>
        <w:instrText xml:space="preserve">= 1 \* GB3</w:instrText>
      </w:r>
      <w:r>
        <w:rPr>
          <w:rFonts w:hAnsi="宋体"/>
          <w:kern w:val="0"/>
        </w:rPr>
        <w:instrText xml:space="preserve"> </w:instrText>
      </w:r>
      <w:r>
        <w:rPr>
          <w:rFonts w:hAnsi="宋体"/>
          <w:kern w:val="0"/>
        </w:rPr>
        <w:fldChar w:fldCharType="separate"/>
      </w:r>
      <w:r>
        <w:rPr>
          <w:rFonts w:hint="eastAsia" w:hAnsi="宋体"/>
          <w:kern w:val="0"/>
        </w:rPr>
        <w:t>①</w:t>
      </w:r>
      <w:r>
        <w:rPr>
          <w:rFonts w:hAnsi="宋体"/>
          <w:kern w:val="0"/>
        </w:rPr>
        <w:fldChar w:fldCharType="end"/>
      </w:r>
      <w:r>
        <w:rPr>
          <w:rFonts w:hAnsi="宋体"/>
          <w:kern w:val="0"/>
        </w:rPr>
        <w:t>当企业只涉及一种风险物质时，该物质的数量与其临界量比值，即为Q。</w:t>
      </w:r>
    </w:p>
    <w:p>
      <w:pPr>
        <w:tabs>
          <w:tab w:val="clear" w:pos="480"/>
        </w:tabs>
        <w:ind w:firstLine="480"/>
        <w:rPr>
          <w:rFonts w:hint="eastAsia" w:hAnsi="宋体"/>
          <w:kern w:val="0"/>
        </w:rPr>
      </w:pPr>
      <w:r>
        <w:rPr>
          <w:rFonts w:hAnsi="宋体"/>
          <w:kern w:val="0"/>
        </w:rPr>
        <w:fldChar w:fldCharType="begin"/>
      </w:r>
      <w:r>
        <w:rPr>
          <w:rFonts w:hAnsi="宋体"/>
          <w:kern w:val="0"/>
        </w:rPr>
        <w:instrText xml:space="preserve"> </w:instrText>
      </w:r>
      <w:r>
        <w:rPr>
          <w:rFonts w:hint="eastAsia" w:hAnsi="宋体"/>
          <w:kern w:val="0"/>
        </w:rPr>
        <w:instrText xml:space="preserve">= 2 \* GB3</w:instrText>
      </w:r>
      <w:r>
        <w:rPr>
          <w:rFonts w:hAnsi="宋体"/>
          <w:kern w:val="0"/>
        </w:rPr>
        <w:instrText xml:space="preserve"> </w:instrText>
      </w:r>
      <w:r>
        <w:rPr>
          <w:rFonts w:hAnsi="宋体"/>
          <w:kern w:val="0"/>
        </w:rPr>
        <w:fldChar w:fldCharType="separate"/>
      </w:r>
      <w:r>
        <w:rPr>
          <w:rFonts w:hint="eastAsia" w:hAnsi="宋体"/>
          <w:kern w:val="0"/>
        </w:rPr>
        <w:t>②</w:t>
      </w:r>
      <w:r>
        <w:rPr>
          <w:rFonts w:hAnsi="宋体"/>
          <w:kern w:val="0"/>
        </w:rPr>
        <w:fldChar w:fldCharType="end"/>
      </w:r>
      <w:r>
        <w:rPr>
          <w:rFonts w:hAnsi="宋体"/>
          <w:kern w:val="0"/>
        </w:rPr>
        <w:t>当企业存在多种风险物质时，则按式（1）计算：</w:t>
      </w:r>
    </w:p>
    <w:p>
      <w:pPr>
        <w:tabs>
          <w:tab w:val="clear" w:pos="480"/>
        </w:tabs>
        <w:ind w:firstLine="480"/>
        <w:rPr>
          <w:rFonts w:hint="eastAsia" w:hAnsi="宋体"/>
          <w:kern w:val="0"/>
        </w:rPr>
      </w:pPr>
    </w:p>
    <w:p>
      <w:pPr>
        <w:tabs>
          <w:tab w:val="clear" w:pos="480"/>
        </w:tabs>
        <w:ind w:firstLine="480"/>
        <w:rPr>
          <w:rFonts w:hint="eastAsia" w:hAnsi="宋体"/>
          <w:kern w:val="0"/>
        </w:rPr>
      </w:pPr>
      <w:r>
        <w:rPr>
          <w:rFonts w:hAnsi="宋体"/>
          <w:kern w:val="0"/>
        </w:rPr>
        <w:drawing>
          <wp:anchor distT="0" distB="0" distL="114300" distR="114300" simplePos="0" relativeHeight="251675648" behindDoc="0" locked="0" layoutInCell="1" allowOverlap="1">
            <wp:simplePos x="0" y="0"/>
            <wp:positionH relativeFrom="column">
              <wp:posOffset>1593215</wp:posOffset>
            </wp:positionH>
            <wp:positionV relativeFrom="paragraph">
              <wp:posOffset>-241935</wp:posOffset>
            </wp:positionV>
            <wp:extent cx="2011045" cy="485775"/>
            <wp:effectExtent l="0" t="0" r="8255" b="9525"/>
            <wp:wrapNone/>
            <wp:docPr id="6" name="图片 6" descr="155116789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1551167891(1)"/>
                    <pic:cNvPicPr>
                      <a:picLocks noChangeAspect="true" noChangeArrowheads="true"/>
                    </pic:cNvPicPr>
                  </pic:nvPicPr>
                  <pic:blipFill>
                    <a:blip r:embed="rId84">
                      <a:extLst>
                        <a:ext uri="{28A0092B-C50C-407E-A947-70E740481C1C}">
                          <a14:useLocalDpi xmlns:a14="http://schemas.microsoft.com/office/drawing/2010/main" val="false"/>
                        </a:ext>
                      </a:extLst>
                    </a:blip>
                    <a:srcRect/>
                    <a:stretch>
                      <a:fillRect/>
                    </a:stretch>
                  </pic:blipFill>
                  <pic:spPr>
                    <a:xfrm>
                      <a:off x="0" y="0"/>
                      <a:ext cx="2011045" cy="485775"/>
                    </a:xfrm>
                    <a:prstGeom prst="rect">
                      <a:avLst/>
                    </a:prstGeom>
                    <a:noFill/>
                    <a:ln>
                      <a:noFill/>
                    </a:ln>
                  </pic:spPr>
                </pic:pic>
              </a:graphicData>
            </a:graphic>
          </wp:anchor>
        </w:drawing>
      </w:r>
      <w:r>
        <w:rPr>
          <w:rFonts w:hAnsi="宋体"/>
          <w:kern w:val="0"/>
        </w:rPr>
        <w:t>（公式1）</w:t>
      </w:r>
    </w:p>
    <w:p>
      <w:pPr>
        <w:tabs>
          <w:tab w:val="clear" w:pos="480"/>
        </w:tabs>
        <w:ind w:firstLine="480"/>
        <w:rPr>
          <w:rFonts w:hint="eastAsia" w:hAnsi="宋体"/>
          <w:kern w:val="0"/>
        </w:rPr>
      </w:pPr>
      <w:r>
        <w:rPr>
          <w:rFonts w:hAnsi="宋体"/>
          <w:kern w:val="0"/>
        </w:rPr>
        <w:t>式中：q1，q2，…，qn—每种危险物质的最大存在总量，t；</w:t>
      </w:r>
    </w:p>
    <w:p>
      <w:pPr>
        <w:tabs>
          <w:tab w:val="clear" w:pos="480"/>
        </w:tabs>
        <w:ind w:firstLine="480"/>
        <w:rPr>
          <w:rFonts w:hint="eastAsia" w:hAnsi="宋体"/>
          <w:kern w:val="0"/>
        </w:rPr>
      </w:pPr>
      <w:r>
        <w:rPr>
          <w:rFonts w:hAnsi="宋体"/>
          <w:kern w:val="0"/>
        </w:rPr>
        <w:t>Q1，Q2，…，Qn—每种危险物质的临界量，t。</w:t>
      </w:r>
    </w:p>
    <w:p>
      <w:pPr>
        <w:tabs>
          <w:tab w:val="clear" w:pos="480"/>
        </w:tabs>
        <w:ind w:firstLine="480"/>
        <w:rPr>
          <w:rFonts w:hint="eastAsia" w:hAnsi="宋体"/>
          <w:kern w:val="0"/>
        </w:rPr>
      </w:pPr>
      <w:r>
        <w:rPr>
          <w:rFonts w:hAnsi="宋体"/>
          <w:kern w:val="0"/>
        </w:rPr>
        <w:t>Q＜1，该企业环境风险潜势为Ⅰ；</w:t>
      </w:r>
    </w:p>
    <w:p>
      <w:pPr>
        <w:tabs>
          <w:tab w:val="clear" w:pos="480"/>
        </w:tabs>
        <w:ind w:firstLine="480"/>
        <w:rPr>
          <w:rFonts w:hint="eastAsia" w:hAnsi="宋体"/>
          <w:kern w:val="0"/>
        </w:rPr>
      </w:pPr>
      <w:r>
        <w:rPr>
          <w:rFonts w:hAnsi="宋体"/>
          <w:kern w:val="0"/>
        </w:rPr>
        <w:t>Q≥1时，将Q值划分为：（1）1≤Q＜10；（2）10≤Q＜100；（3）Q≥100。</w:t>
      </w:r>
    </w:p>
    <w:p>
      <w:pPr>
        <w:tabs>
          <w:tab w:val="clear" w:pos="480"/>
        </w:tabs>
        <w:ind w:firstLine="480"/>
        <w:rPr>
          <w:rFonts w:hint="eastAsia" w:hAnsi="宋体"/>
          <w:kern w:val="0"/>
        </w:rPr>
      </w:pPr>
      <w:r>
        <w:rPr>
          <w:rFonts w:hAnsi="宋体"/>
          <w:kern w:val="0"/>
        </w:rPr>
        <w:t>本项目危险物质数量与临界量比值见下表。</w:t>
      </w:r>
    </w:p>
    <w:p>
      <w:pPr>
        <w:pStyle w:val="3590"/>
        <w:bidi w:val="0"/>
        <w:rPr>
          <w:b/>
          <w:bCs/>
          <w:sz w:val="21"/>
          <w:szCs w:val="21"/>
        </w:rPr>
      </w:pPr>
      <w:r>
        <w:rPr>
          <w:b/>
          <w:bCs/>
          <w:sz w:val="21"/>
          <w:szCs w:val="21"/>
        </w:rPr>
        <w:t>危险物质数量与临界量比值表</w:t>
      </w:r>
    </w:p>
    <w:tbl>
      <w:tblPr>
        <w:tblStyle w:val="3682"/>
        <w:tblW w:w="5064"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824"/>
        <w:gridCol w:w="1549"/>
        <w:gridCol w:w="1776"/>
        <w:gridCol w:w="2527"/>
        <w:gridCol w:w="254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4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2"/>
                <w:lang w:eastAsia="en-US"/>
              </w:rPr>
            </w:pPr>
            <w:r>
              <w:rPr>
                <w:rFonts w:ascii="Times New Roman" w:hAnsi="Times New Roman"/>
                <w:kern w:val="0"/>
                <w:sz w:val="21"/>
                <w:szCs w:val="22"/>
                <w:lang w:eastAsia="en-US"/>
              </w:rPr>
              <w:t>序号</w:t>
            </w:r>
          </w:p>
        </w:tc>
        <w:tc>
          <w:tcPr>
            <w:tcW w:w="839"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2"/>
                <w:lang w:eastAsia="en-US"/>
              </w:rPr>
            </w:pPr>
            <w:r>
              <w:rPr>
                <w:rFonts w:ascii="Times New Roman" w:hAnsi="Times New Roman"/>
                <w:kern w:val="0"/>
                <w:sz w:val="21"/>
                <w:szCs w:val="22"/>
                <w:lang w:eastAsia="en-US"/>
              </w:rPr>
              <w:t>物料</w:t>
            </w:r>
          </w:p>
        </w:tc>
        <w:tc>
          <w:tcPr>
            <w:tcW w:w="963"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2"/>
                <w:lang w:eastAsia="en-US"/>
              </w:rPr>
            </w:pPr>
            <w:r>
              <w:rPr>
                <w:rFonts w:ascii="Times New Roman" w:hAnsi="Times New Roman"/>
                <w:kern w:val="0"/>
                <w:sz w:val="21"/>
                <w:szCs w:val="22"/>
                <w:lang w:eastAsia="en-US"/>
              </w:rPr>
              <w:t>最大存在量（t/a）</w:t>
            </w:r>
          </w:p>
        </w:tc>
        <w:tc>
          <w:tcPr>
            <w:tcW w:w="1370"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2"/>
                <w:lang w:eastAsia="en-US"/>
              </w:rPr>
            </w:pPr>
            <w:r>
              <w:rPr>
                <w:rFonts w:ascii="Times New Roman" w:hAnsi="Times New Roman"/>
                <w:kern w:val="0"/>
                <w:sz w:val="21"/>
                <w:szCs w:val="22"/>
                <w:lang w:eastAsia="en-US"/>
              </w:rPr>
              <w:t>临界量（t）</w:t>
            </w:r>
          </w:p>
        </w:tc>
        <w:tc>
          <w:tcPr>
            <w:tcW w:w="1378"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2"/>
                <w:lang w:eastAsia="zh-CN"/>
              </w:rPr>
            </w:pPr>
            <w:r>
              <w:rPr>
                <w:rFonts w:ascii="Times New Roman" w:hAnsi="Times New Roman"/>
                <w:kern w:val="0"/>
                <w:sz w:val="21"/>
                <w:szCs w:val="22"/>
                <w:lang w:eastAsia="zh-CN"/>
              </w:rPr>
              <w:t>危险物质与临界量比值Q</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4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2"/>
                <w:lang w:eastAsia="en-US"/>
              </w:rPr>
            </w:pPr>
            <w:r>
              <w:rPr>
                <w:rFonts w:ascii="Times New Roman" w:hAnsi="Times New Roman"/>
                <w:kern w:val="0"/>
                <w:sz w:val="21"/>
                <w:szCs w:val="22"/>
                <w:lang w:eastAsia="en-US"/>
              </w:rPr>
              <w:t>1</w:t>
            </w:r>
          </w:p>
        </w:tc>
        <w:tc>
          <w:tcPr>
            <w:tcW w:w="839"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2"/>
                <w:lang w:eastAsia="en-US"/>
              </w:rPr>
            </w:pPr>
            <w:r>
              <w:rPr>
                <w:rFonts w:ascii="Times New Roman" w:hAnsi="Times New Roman"/>
                <w:kern w:val="0"/>
                <w:sz w:val="21"/>
                <w:szCs w:val="22"/>
                <w:lang w:eastAsia="en-US"/>
              </w:rPr>
              <w:t>废机油</w:t>
            </w:r>
          </w:p>
        </w:tc>
        <w:tc>
          <w:tcPr>
            <w:tcW w:w="963" w:type="pct"/>
            <w:shd w:val="clear" w:color="auto" w:fill="auto"/>
            <w:vAlign w:val="center"/>
          </w:tcPr>
          <w:p>
            <w:pPr>
              <w:tabs>
                <w:tab w:val="clear" w:pos="480"/>
              </w:tabs>
              <w:autoSpaceDE w:val="0"/>
              <w:autoSpaceDN w:val="0"/>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2"/>
                <w:u w:val="none" w:color="auto"/>
                <w:lang w:val="en-US" w:eastAsia="en-US" w:bidi="ar-SA"/>
                <w14:textFill>
                  <w14:solidFill>
                    <w14:schemeClr w14:val="tx1"/>
                  </w14:solidFill>
                </w14:textFill>
              </w:rPr>
            </w:pPr>
            <w:r>
              <w:rPr>
                <w:rFonts w:ascii="Times New Roman" w:hAnsi="Times New Roman"/>
                <w:kern w:val="0"/>
                <w:sz w:val="21"/>
                <w:szCs w:val="22"/>
                <w:lang w:eastAsia="en-US"/>
              </w:rPr>
              <w:t>0.</w:t>
            </w:r>
            <w:r>
              <w:rPr>
                <w:rFonts w:hint="eastAsia" w:ascii="Times New Roman" w:hAnsi="Times New Roman"/>
                <w:kern w:val="0"/>
                <w:sz w:val="21"/>
                <w:szCs w:val="22"/>
                <w:lang w:val="en-US" w:eastAsia="zh-CN"/>
              </w:rPr>
              <w:t>075</w:t>
            </w:r>
          </w:p>
        </w:tc>
        <w:tc>
          <w:tcPr>
            <w:tcW w:w="1370"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2"/>
                <w:lang w:eastAsia="en-US"/>
              </w:rPr>
            </w:pPr>
            <w:r>
              <w:rPr>
                <w:rFonts w:ascii="Times New Roman" w:hAnsi="Times New Roman"/>
                <w:kern w:val="0"/>
                <w:sz w:val="21"/>
                <w:szCs w:val="22"/>
                <w:lang w:eastAsia="en-US"/>
              </w:rPr>
              <w:t>2500</w:t>
            </w:r>
          </w:p>
        </w:tc>
        <w:tc>
          <w:tcPr>
            <w:tcW w:w="1378" w:type="pct"/>
            <w:vAlign w:val="center"/>
          </w:tcPr>
          <w:p>
            <w:pPr>
              <w:tabs>
                <w:tab w:val="clear" w:pos="480"/>
              </w:tabs>
              <w:autoSpaceDE w:val="0"/>
              <w:autoSpaceDN w:val="0"/>
              <w:adjustRightInd w:val="0"/>
              <w:snapToGrid w:val="0"/>
              <w:spacing w:line="240" w:lineRule="auto"/>
              <w:ind w:firstLine="0" w:firstLineChars="0"/>
              <w:jc w:val="center"/>
              <w:rPr>
                <w:rFonts w:hint="default" w:ascii="Times New Roman" w:hAnsi="Times New Roman" w:eastAsia="宋体"/>
                <w:kern w:val="0"/>
                <w:sz w:val="21"/>
                <w:szCs w:val="22"/>
                <w:lang w:val="en-US" w:eastAsia="zh-CN"/>
              </w:rPr>
            </w:pPr>
            <w:r>
              <w:rPr>
                <w:rFonts w:hint="eastAsia" w:ascii="Times New Roman" w:hAnsi="Times New Roman"/>
                <w:kern w:val="0"/>
                <w:sz w:val="21"/>
                <w:szCs w:val="22"/>
                <w:lang w:val="en-US" w:eastAsia="zh-CN"/>
              </w:rPr>
              <w:t>0.00003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47"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2"/>
                <w:lang w:eastAsia="en-US"/>
              </w:rPr>
            </w:pPr>
            <w:r>
              <w:rPr>
                <w:rFonts w:ascii="Times New Roman" w:hAnsi="Times New Roman"/>
                <w:kern w:val="0"/>
                <w:sz w:val="21"/>
                <w:szCs w:val="22"/>
                <w:lang w:eastAsia="en-US"/>
              </w:rPr>
              <w:t>2</w:t>
            </w:r>
          </w:p>
        </w:tc>
        <w:tc>
          <w:tcPr>
            <w:tcW w:w="839"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2"/>
                <w:lang w:eastAsia="en-US"/>
              </w:rPr>
            </w:pPr>
            <w:r>
              <w:rPr>
                <w:rFonts w:ascii="Times New Roman" w:hAnsi="Times New Roman"/>
                <w:kern w:val="0"/>
                <w:sz w:val="21"/>
                <w:szCs w:val="22"/>
                <w:lang w:eastAsia="en-US"/>
              </w:rPr>
              <w:t>废变压器油</w:t>
            </w:r>
          </w:p>
        </w:tc>
        <w:tc>
          <w:tcPr>
            <w:tcW w:w="963" w:type="pct"/>
            <w:shd w:val="clear" w:color="auto" w:fill="auto"/>
            <w:vAlign w:val="center"/>
          </w:tcPr>
          <w:p>
            <w:pPr>
              <w:tabs>
                <w:tab w:val="clear" w:pos="480"/>
              </w:tabs>
              <w:autoSpaceDE w:val="0"/>
              <w:autoSpaceDN w:val="0"/>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2"/>
                <w:u w:val="none" w:color="auto"/>
                <w:lang w:val="en-US" w:eastAsia="en-US" w:bidi="ar-SA"/>
                <w14:textFill>
                  <w14:solidFill>
                    <w14:schemeClr w14:val="tx1"/>
                  </w14:solidFill>
                </w14:textFill>
              </w:rPr>
            </w:pPr>
            <w:r>
              <w:rPr>
                <w:rFonts w:hint="eastAsia" w:ascii="Times New Roman" w:hAnsi="Times New Roman"/>
                <w:kern w:val="0"/>
                <w:sz w:val="21"/>
                <w:szCs w:val="22"/>
                <w:lang w:val="en-US" w:eastAsia="zh-CN"/>
              </w:rPr>
              <w:t>116</w:t>
            </w:r>
          </w:p>
        </w:tc>
        <w:tc>
          <w:tcPr>
            <w:tcW w:w="1370"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2"/>
                <w:lang w:eastAsia="en-US"/>
              </w:rPr>
            </w:pPr>
            <w:r>
              <w:rPr>
                <w:rFonts w:ascii="Times New Roman" w:hAnsi="Times New Roman"/>
                <w:kern w:val="0"/>
                <w:sz w:val="21"/>
                <w:szCs w:val="22"/>
                <w:lang w:eastAsia="en-US"/>
              </w:rPr>
              <w:t>2500</w:t>
            </w:r>
          </w:p>
        </w:tc>
        <w:tc>
          <w:tcPr>
            <w:tcW w:w="1378" w:type="pct"/>
            <w:vAlign w:val="center"/>
          </w:tcPr>
          <w:p>
            <w:pPr>
              <w:tabs>
                <w:tab w:val="clear" w:pos="480"/>
              </w:tabs>
              <w:autoSpaceDE w:val="0"/>
              <w:autoSpaceDN w:val="0"/>
              <w:adjustRightInd w:val="0"/>
              <w:snapToGrid w:val="0"/>
              <w:spacing w:line="240" w:lineRule="auto"/>
              <w:ind w:firstLine="0" w:firstLineChars="0"/>
              <w:jc w:val="center"/>
              <w:rPr>
                <w:rFonts w:hint="default" w:ascii="Times New Roman" w:hAnsi="Times New Roman" w:eastAsia="宋体"/>
                <w:kern w:val="0"/>
                <w:sz w:val="21"/>
                <w:szCs w:val="22"/>
                <w:lang w:val="en-US" w:eastAsia="zh-CN"/>
              </w:rPr>
            </w:pPr>
            <w:r>
              <w:rPr>
                <w:rFonts w:hint="eastAsia" w:ascii="Times New Roman" w:hAnsi="Times New Roman"/>
                <w:kern w:val="0"/>
                <w:sz w:val="21"/>
                <w:szCs w:val="22"/>
                <w:lang w:val="en-US" w:eastAsia="zh-CN"/>
              </w:rPr>
              <w:t>0.0464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87" w:type="pct"/>
            <w:gridSpan w:val="2"/>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2"/>
                <w:lang w:eastAsia="en-US"/>
              </w:rPr>
            </w:pPr>
            <w:r>
              <w:rPr>
                <w:rFonts w:ascii="Times New Roman" w:hAnsi="Times New Roman"/>
                <w:kern w:val="0"/>
                <w:sz w:val="21"/>
                <w:szCs w:val="22"/>
                <w:lang w:eastAsia="en-US"/>
              </w:rPr>
              <w:t>合计</w:t>
            </w:r>
          </w:p>
        </w:tc>
        <w:tc>
          <w:tcPr>
            <w:tcW w:w="963"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2"/>
                <w:u w:val="single"/>
                <w:lang w:eastAsia="en-US"/>
              </w:rPr>
            </w:pPr>
          </w:p>
        </w:tc>
        <w:tc>
          <w:tcPr>
            <w:tcW w:w="1370" w:type="pct"/>
            <w:vAlign w:val="center"/>
          </w:tcPr>
          <w:p>
            <w:pPr>
              <w:tabs>
                <w:tab w:val="clear" w:pos="480"/>
              </w:tabs>
              <w:autoSpaceDE w:val="0"/>
              <w:autoSpaceDN w:val="0"/>
              <w:adjustRightInd w:val="0"/>
              <w:snapToGrid w:val="0"/>
              <w:spacing w:line="240" w:lineRule="auto"/>
              <w:ind w:firstLine="0" w:firstLineChars="0"/>
              <w:jc w:val="center"/>
              <w:rPr>
                <w:rFonts w:ascii="Times New Roman" w:hAnsi="Times New Roman"/>
                <w:kern w:val="0"/>
                <w:sz w:val="21"/>
                <w:szCs w:val="22"/>
                <w:u w:val="single"/>
                <w:lang w:eastAsia="en-US"/>
              </w:rPr>
            </w:pPr>
          </w:p>
        </w:tc>
        <w:tc>
          <w:tcPr>
            <w:tcW w:w="1378" w:type="pct"/>
            <w:vAlign w:val="center"/>
          </w:tcPr>
          <w:p>
            <w:pPr>
              <w:tabs>
                <w:tab w:val="clear" w:pos="480"/>
              </w:tabs>
              <w:autoSpaceDE w:val="0"/>
              <w:autoSpaceDN w:val="0"/>
              <w:adjustRightInd w:val="0"/>
              <w:snapToGrid w:val="0"/>
              <w:spacing w:line="240" w:lineRule="auto"/>
              <w:ind w:firstLine="0" w:firstLineChars="0"/>
              <w:jc w:val="center"/>
              <w:rPr>
                <w:rFonts w:hint="default" w:ascii="Times New Roman" w:hAnsi="Times New Roman" w:eastAsia="宋体"/>
                <w:kern w:val="0"/>
                <w:sz w:val="21"/>
                <w:szCs w:val="22"/>
                <w:lang w:val="en-US" w:eastAsia="zh-CN"/>
              </w:rPr>
            </w:pPr>
            <w:r>
              <w:rPr>
                <w:rFonts w:hint="eastAsia" w:ascii="Times New Roman" w:hAnsi="Times New Roman"/>
                <w:kern w:val="0"/>
                <w:sz w:val="21"/>
                <w:szCs w:val="22"/>
                <w:lang w:val="en-US" w:eastAsia="zh-CN"/>
              </w:rPr>
              <w:t>0.04643</w:t>
            </w:r>
          </w:p>
        </w:tc>
      </w:tr>
    </w:tbl>
    <w:p>
      <w:pPr>
        <w:tabs>
          <w:tab w:val="clear" w:pos="480"/>
        </w:tabs>
        <w:adjustRightInd w:val="0"/>
        <w:snapToGrid w:val="0"/>
        <w:ind w:firstLine="480"/>
      </w:pPr>
      <w:r>
        <w:t>根据上表可知，</w:t>
      </w:r>
      <w:r>
        <w:rPr>
          <w:rFonts w:hint="eastAsia"/>
        </w:rPr>
        <w:t>本项目</w:t>
      </w:r>
      <w:r>
        <w:t xml:space="preserve">Q= </w:t>
      </w:r>
      <w:r>
        <w:rPr>
          <w:kern w:val="0"/>
        </w:rPr>
        <w:t>0</w:t>
      </w:r>
      <w:r>
        <w:rPr>
          <w:rFonts w:hint="eastAsia"/>
          <w:kern w:val="0"/>
          <w:lang w:val="en-US" w:eastAsia="zh-CN"/>
        </w:rPr>
        <w:t>.04643</w:t>
      </w:r>
      <w:r>
        <w:t>（</w:t>
      </w:r>
      <w:r>
        <w:rPr>
          <w:rFonts w:hint="eastAsia"/>
        </w:rPr>
        <w:t>Q＜1</w:t>
      </w:r>
      <w:r>
        <w:t>）。</w:t>
      </w:r>
      <w:r>
        <w:rPr>
          <w:rFonts w:hint="eastAsia"/>
        </w:rPr>
        <w:t>因此，本项目</w:t>
      </w:r>
      <w:r>
        <w:t>环境风险潜势为Ⅰ</w:t>
      </w:r>
      <w:r>
        <w:rPr>
          <w:rFonts w:hint="eastAsia"/>
        </w:rPr>
        <w:t>。</w:t>
      </w:r>
    </w:p>
    <w:p>
      <w:pPr>
        <w:pStyle w:val="5"/>
        <w:keepNext/>
        <w:keepLines/>
        <w:pageBreakBefore w:val="0"/>
        <w:widowControl w:val="0"/>
        <w:kinsoku/>
        <w:wordWrap/>
        <w:overflowPunct/>
        <w:topLinePunct w:val="0"/>
        <w:autoSpaceDE/>
        <w:autoSpaceDN/>
        <w:bidi w:val="0"/>
        <w:adjustRightInd/>
        <w:snapToGrid w:val="0"/>
        <w:spacing w:before="0" w:after="0"/>
        <w:textAlignment w:val="auto"/>
        <w:outlineLvl w:val="3"/>
        <w:rPr>
          <w:rFonts w:hint="eastAsia" w:ascii="宋体" w:hAnsi="宋体" w:eastAsia="宋体" w:cs="宋体"/>
          <w:u w:val="none" w:color="auto"/>
          <w:lang w:val="en-US"/>
        </w:rPr>
      </w:pPr>
      <w:r>
        <w:rPr>
          <w:rFonts w:hint="eastAsia" w:ascii="宋体" w:hAnsi="宋体" w:eastAsia="宋体" w:cs="宋体"/>
          <w:u w:val="none" w:color="auto"/>
          <w:lang w:val="en-US"/>
        </w:rPr>
        <w:t>评价工作等级判定</w:t>
      </w:r>
    </w:p>
    <w:p>
      <w:pPr>
        <w:tabs>
          <w:tab w:val="clear" w:pos="480"/>
        </w:tabs>
        <w:adjustRightInd w:val="0"/>
        <w:snapToGrid w:val="0"/>
        <w:ind w:firstLine="480"/>
      </w:pPr>
      <w:r>
        <w:rPr>
          <w:rFonts w:hint="eastAsia"/>
        </w:rPr>
        <w:t>根据《建设项目环境风险评价技术导则》(HJ/T169-2018)，环境风险评价工作等级划分为一级、二级、三级。本项目环境风险评价等级判定结果见下表。</w:t>
      </w:r>
    </w:p>
    <w:p>
      <w:pPr>
        <w:pStyle w:val="3590"/>
        <w:bidi w:val="0"/>
        <w:rPr>
          <w:b/>
          <w:bCs/>
          <w:sz w:val="21"/>
          <w:szCs w:val="21"/>
        </w:rPr>
      </w:pPr>
      <w:r>
        <w:rPr>
          <w:rFonts w:hint="eastAsia"/>
          <w:b/>
          <w:bCs/>
          <w:sz w:val="21"/>
          <w:szCs w:val="21"/>
        </w:rPr>
        <w:t>环境</w:t>
      </w:r>
      <w:r>
        <w:rPr>
          <w:rFonts w:hint="eastAsia" w:ascii="Times New Roman" w:hAnsi="Times New Roman" w:eastAsia="宋体" w:cs="Times New Roman"/>
          <w:u w:val="none" w:color="auto"/>
          <w:lang w:val="en-US" w:eastAsia="zh-CN"/>
        </w:rPr>
        <w:t>风险</w:t>
      </w:r>
      <w:r>
        <w:rPr>
          <w:rFonts w:hint="eastAsia"/>
          <w:b/>
          <w:bCs/>
          <w:sz w:val="21"/>
          <w:szCs w:val="21"/>
        </w:rPr>
        <w:t>评价等级划分依据</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038"/>
        <w:gridCol w:w="1904"/>
        <w:gridCol w:w="874"/>
        <w:gridCol w:w="877"/>
        <w:gridCol w:w="240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669" w:type="pct"/>
            <w:vAlign w:val="center"/>
          </w:tcPr>
          <w:p>
            <w:pPr>
              <w:tabs>
                <w:tab w:val="clear" w:pos="480"/>
              </w:tabs>
              <w:adjustRightInd w:val="0"/>
              <w:snapToGrid w:val="0"/>
              <w:spacing w:line="240" w:lineRule="auto"/>
              <w:ind w:firstLine="0" w:firstLineChars="0"/>
              <w:jc w:val="center"/>
              <w:rPr>
                <w:kern w:val="0"/>
                <w:sz w:val="21"/>
                <w:szCs w:val="21"/>
                <w:lang w:eastAsia="en-US"/>
              </w:rPr>
            </w:pPr>
            <w:r>
              <w:rPr>
                <w:kern w:val="0"/>
                <w:sz w:val="21"/>
                <w:szCs w:val="21"/>
                <w:lang w:eastAsia="en-US"/>
              </w:rPr>
              <w:t>环境风险潜势</w:t>
            </w:r>
          </w:p>
        </w:tc>
        <w:tc>
          <w:tcPr>
            <w:tcW w:w="1046" w:type="pct"/>
            <w:vAlign w:val="center"/>
          </w:tcPr>
          <w:p>
            <w:pPr>
              <w:tabs>
                <w:tab w:val="clear" w:pos="480"/>
              </w:tabs>
              <w:adjustRightInd w:val="0"/>
              <w:snapToGrid w:val="0"/>
              <w:spacing w:line="240" w:lineRule="auto"/>
              <w:ind w:firstLine="0" w:firstLineChars="0"/>
              <w:jc w:val="center"/>
              <w:rPr>
                <w:kern w:val="0"/>
                <w:sz w:val="21"/>
                <w:szCs w:val="21"/>
                <w:lang w:eastAsia="en-US"/>
              </w:rPr>
            </w:pPr>
            <w:r>
              <w:rPr>
                <w:kern w:val="0"/>
                <w:sz w:val="21"/>
                <w:szCs w:val="21"/>
              </w:rPr>
              <w:t>IV</w:t>
            </w:r>
            <w:r>
              <w:rPr>
                <w:kern w:val="0"/>
                <w:sz w:val="21"/>
                <w:szCs w:val="21"/>
                <w:lang w:eastAsia="en-US"/>
              </w:rPr>
              <w:t>、</w:t>
            </w:r>
            <w:r>
              <w:rPr>
                <w:kern w:val="0"/>
                <w:sz w:val="21"/>
                <w:szCs w:val="21"/>
              </w:rPr>
              <w:t>IV+</w:t>
            </w:r>
          </w:p>
        </w:tc>
        <w:tc>
          <w:tcPr>
            <w:tcW w:w="480" w:type="pct"/>
            <w:vAlign w:val="center"/>
          </w:tcPr>
          <w:p>
            <w:pPr>
              <w:tabs>
                <w:tab w:val="clear" w:pos="480"/>
              </w:tabs>
              <w:adjustRightInd w:val="0"/>
              <w:snapToGrid w:val="0"/>
              <w:spacing w:line="240" w:lineRule="auto"/>
              <w:ind w:firstLine="0" w:firstLineChars="0"/>
              <w:jc w:val="center"/>
              <w:rPr>
                <w:kern w:val="0"/>
                <w:sz w:val="21"/>
                <w:szCs w:val="21"/>
                <w:lang w:eastAsia="en-US"/>
              </w:rPr>
            </w:pPr>
            <w:r>
              <w:rPr>
                <w:kern w:val="0"/>
                <w:sz w:val="21"/>
                <w:szCs w:val="21"/>
              </w:rPr>
              <w:t>III</w:t>
            </w:r>
          </w:p>
        </w:tc>
        <w:tc>
          <w:tcPr>
            <w:tcW w:w="482" w:type="pct"/>
            <w:vAlign w:val="center"/>
          </w:tcPr>
          <w:p>
            <w:pPr>
              <w:tabs>
                <w:tab w:val="clear" w:pos="480"/>
              </w:tabs>
              <w:adjustRightInd w:val="0"/>
              <w:snapToGrid w:val="0"/>
              <w:spacing w:line="240" w:lineRule="auto"/>
              <w:ind w:firstLine="0" w:firstLineChars="0"/>
              <w:jc w:val="center"/>
              <w:rPr>
                <w:kern w:val="0"/>
                <w:sz w:val="21"/>
                <w:szCs w:val="21"/>
                <w:lang w:eastAsia="en-US"/>
              </w:rPr>
            </w:pPr>
            <w:r>
              <w:rPr>
                <w:kern w:val="0"/>
                <w:sz w:val="21"/>
                <w:szCs w:val="21"/>
              </w:rPr>
              <w:t>II</w:t>
            </w:r>
          </w:p>
        </w:tc>
        <w:tc>
          <w:tcPr>
            <w:tcW w:w="1323" w:type="pct"/>
            <w:vAlign w:val="center"/>
          </w:tcPr>
          <w:p>
            <w:pPr>
              <w:tabs>
                <w:tab w:val="clear" w:pos="480"/>
              </w:tabs>
              <w:adjustRightInd w:val="0"/>
              <w:snapToGrid w:val="0"/>
              <w:spacing w:line="240" w:lineRule="auto"/>
              <w:ind w:firstLine="0" w:firstLineChars="0"/>
              <w:jc w:val="center"/>
              <w:rPr>
                <w:kern w:val="0"/>
                <w:sz w:val="21"/>
                <w:szCs w:val="21"/>
                <w:lang w:eastAsia="en-US"/>
              </w:rPr>
            </w:pPr>
            <w:r>
              <w:rPr>
                <w:kern w:val="0"/>
                <w:sz w:val="21"/>
                <w:szCs w:val="21"/>
              </w:rPr>
              <w:t>I</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669" w:type="pct"/>
            <w:vAlign w:val="center"/>
          </w:tcPr>
          <w:p>
            <w:pPr>
              <w:tabs>
                <w:tab w:val="clear" w:pos="480"/>
              </w:tabs>
              <w:adjustRightInd w:val="0"/>
              <w:snapToGrid w:val="0"/>
              <w:spacing w:line="240" w:lineRule="auto"/>
              <w:ind w:firstLine="0" w:firstLineChars="0"/>
              <w:jc w:val="center"/>
              <w:rPr>
                <w:kern w:val="0"/>
                <w:sz w:val="21"/>
                <w:szCs w:val="21"/>
                <w:lang w:eastAsia="en-US"/>
              </w:rPr>
            </w:pPr>
            <w:r>
              <w:rPr>
                <w:kern w:val="0"/>
                <w:sz w:val="21"/>
                <w:szCs w:val="21"/>
                <w:lang w:eastAsia="en-US"/>
              </w:rPr>
              <w:t>评价工作等级</w:t>
            </w:r>
          </w:p>
        </w:tc>
        <w:tc>
          <w:tcPr>
            <w:tcW w:w="1046" w:type="pct"/>
            <w:vAlign w:val="center"/>
          </w:tcPr>
          <w:p>
            <w:pPr>
              <w:tabs>
                <w:tab w:val="clear" w:pos="480"/>
              </w:tabs>
              <w:adjustRightInd w:val="0"/>
              <w:snapToGrid w:val="0"/>
              <w:spacing w:line="240" w:lineRule="auto"/>
              <w:ind w:firstLine="0" w:firstLineChars="0"/>
              <w:jc w:val="center"/>
              <w:rPr>
                <w:b/>
                <w:kern w:val="0"/>
                <w:sz w:val="21"/>
                <w:szCs w:val="21"/>
                <w:lang w:eastAsia="en-US"/>
              </w:rPr>
            </w:pPr>
            <w:r>
              <w:rPr>
                <w:b/>
                <w:kern w:val="0"/>
                <w:sz w:val="21"/>
                <w:szCs w:val="21"/>
                <w:lang w:eastAsia="en-US"/>
              </w:rPr>
              <w:t>一</w:t>
            </w:r>
          </w:p>
        </w:tc>
        <w:tc>
          <w:tcPr>
            <w:tcW w:w="480" w:type="pct"/>
            <w:vAlign w:val="center"/>
          </w:tcPr>
          <w:p>
            <w:pPr>
              <w:tabs>
                <w:tab w:val="clear" w:pos="480"/>
              </w:tabs>
              <w:adjustRightInd w:val="0"/>
              <w:snapToGrid w:val="0"/>
              <w:spacing w:line="240" w:lineRule="auto"/>
              <w:ind w:firstLine="0" w:firstLineChars="0"/>
              <w:jc w:val="center"/>
              <w:rPr>
                <w:b/>
                <w:kern w:val="0"/>
                <w:sz w:val="21"/>
                <w:szCs w:val="21"/>
                <w:lang w:eastAsia="en-US"/>
              </w:rPr>
            </w:pPr>
            <w:r>
              <w:rPr>
                <w:b/>
                <w:kern w:val="0"/>
                <w:sz w:val="21"/>
                <w:szCs w:val="21"/>
                <w:lang w:eastAsia="en-US"/>
              </w:rPr>
              <w:t>二</w:t>
            </w:r>
          </w:p>
        </w:tc>
        <w:tc>
          <w:tcPr>
            <w:tcW w:w="482" w:type="pct"/>
            <w:vAlign w:val="center"/>
          </w:tcPr>
          <w:p>
            <w:pPr>
              <w:tabs>
                <w:tab w:val="clear" w:pos="480"/>
              </w:tabs>
              <w:adjustRightInd w:val="0"/>
              <w:snapToGrid w:val="0"/>
              <w:spacing w:line="240" w:lineRule="auto"/>
              <w:ind w:firstLine="0" w:firstLineChars="0"/>
              <w:jc w:val="center"/>
              <w:rPr>
                <w:b/>
                <w:kern w:val="0"/>
                <w:sz w:val="21"/>
                <w:szCs w:val="21"/>
                <w:lang w:eastAsia="en-US"/>
              </w:rPr>
            </w:pPr>
            <w:r>
              <w:rPr>
                <w:b/>
                <w:kern w:val="0"/>
                <w:sz w:val="21"/>
                <w:szCs w:val="21"/>
                <w:lang w:eastAsia="en-US"/>
              </w:rPr>
              <w:t>三</w:t>
            </w:r>
          </w:p>
        </w:tc>
        <w:tc>
          <w:tcPr>
            <w:tcW w:w="1323" w:type="pct"/>
            <w:vAlign w:val="center"/>
          </w:tcPr>
          <w:p>
            <w:pPr>
              <w:tabs>
                <w:tab w:val="clear" w:pos="480"/>
              </w:tabs>
              <w:adjustRightInd w:val="0"/>
              <w:snapToGrid w:val="0"/>
              <w:spacing w:line="240" w:lineRule="auto"/>
              <w:ind w:firstLine="0" w:firstLineChars="0"/>
              <w:jc w:val="center"/>
              <w:rPr>
                <w:kern w:val="0"/>
                <w:sz w:val="21"/>
                <w:szCs w:val="21"/>
                <w:lang w:eastAsia="en-US"/>
              </w:rPr>
            </w:pPr>
            <w:r>
              <w:rPr>
                <w:kern w:val="0"/>
                <w:sz w:val="21"/>
                <w:szCs w:val="21"/>
                <w:lang w:eastAsia="en-US"/>
              </w:rPr>
              <w:t>简单分析</w:t>
            </w:r>
            <w:r>
              <w:rPr>
                <w:kern w:val="0"/>
                <w:position w:val="7"/>
                <w:sz w:val="21"/>
                <w:szCs w:val="21"/>
                <w:lang w:eastAsia="en-US"/>
              </w:rPr>
              <w: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0" w:type="pct"/>
            <w:gridSpan w:val="5"/>
            <w:vAlign w:val="center"/>
          </w:tcPr>
          <w:p>
            <w:pPr>
              <w:tabs>
                <w:tab w:val="clear" w:pos="480"/>
              </w:tabs>
              <w:adjustRightInd w:val="0"/>
              <w:snapToGrid w:val="0"/>
              <w:spacing w:line="240" w:lineRule="auto"/>
              <w:ind w:firstLine="0" w:firstLineChars="0"/>
              <w:jc w:val="center"/>
              <w:rPr>
                <w:kern w:val="0"/>
                <w:sz w:val="21"/>
                <w:szCs w:val="21"/>
              </w:rPr>
            </w:pPr>
            <w:r>
              <w:rPr>
                <w:kern w:val="0"/>
                <w:sz w:val="21"/>
                <w:szCs w:val="21"/>
              </w:rPr>
              <w:t>a是</w:t>
            </w:r>
            <w:r>
              <w:rPr>
                <w:spacing w:val="-3"/>
                <w:kern w:val="0"/>
                <w:sz w:val="21"/>
                <w:szCs w:val="21"/>
              </w:rPr>
              <w:t>相</w:t>
            </w:r>
            <w:r>
              <w:rPr>
                <w:kern w:val="0"/>
                <w:sz w:val="21"/>
                <w:szCs w:val="21"/>
              </w:rPr>
              <w:t>对</w:t>
            </w:r>
            <w:r>
              <w:rPr>
                <w:spacing w:val="-3"/>
                <w:kern w:val="0"/>
                <w:sz w:val="21"/>
                <w:szCs w:val="21"/>
              </w:rPr>
              <w:t>于</w:t>
            </w:r>
            <w:r>
              <w:rPr>
                <w:kern w:val="0"/>
                <w:sz w:val="21"/>
                <w:szCs w:val="21"/>
              </w:rPr>
              <w:t>详</w:t>
            </w:r>
            <w:r>
              <w:rPr>
                <w:spacing w:val="-3"/>
                <w:kern w:val="0"/>
                <w:sz w:val="21"/>
                <w:szCs w:val="21"/>
              </w:rPr>
              <w:t>细</w:t>
            </w:r>
            <w:r>
              <w:rPr>
                <w:kern w:val="0"/>
                <w:sz w:val="21"/>
                <w:szCs w:val="21"/>
              </w:rPr>
              <w:t>评</w:t>
            </w:r>
            <w:r>
              <w:rPr>
                <w:spacing w:val="-3"/>
                <w:kern w:val="0"/>
                <w:sz w:val="21"/>
                <w:szCs w:val="21"/>
              </w:rPr>
              <w:t>价</w:t>
            </w:r>
            <w:r>
              <w:rPr>
                <w:kern w:val="0"/>
                <w:sz w:val="21"/>
                <w:szCs w:val="21"/>
              </w:rPr>
              <w:t>工</w:t>
            </w:r>
            <w:r>
              <w:rPr>
                <w:spacing w:val="-3"/>
                <w:kern w:val="0"/>
                <w:sz w:val="21"/>
                <w:szCs w:val="21"/>
              </w:rPr>
              <w:t>作</w:t>
            </w:r>
            <w:r>
              <w:rPr>
                <w:kern w:val="0"/>
                <w:sz w:val="21"/>
                <w:szCs w:val="21"/>
              </w:rPr>
              <w:t>内容</w:t>
            </w:r>
            <w:r>
              <w:rPr>
                <w:spacing w:val="-3"/>
                <w:kern w:val="0"/>
                <w:sz w:val="21"/>
                <w:szCs w:val="21"/>
              </w:rPr>
              <w:t>而</w:t>
            </w:r>
            <w:r>
              <w:rPr>
                <w:kern w:val="0"/>
                <w:sz w:val="21"/>
                <w:szCs w:val="21"/>
              </w:rPr>
              <w:t>言</w:t>
            </w:r>
            <w:r>
              <w:rPr>
                <w:spacing w:val="-3"/>
                <w:kern w:val="0"/>
                <w:sz w:val="21"/>
                <w:szCs w:val="21"/>
              </w:rPr>
              <w:t>，</w:t>
            </w:r>
            <w:r>
              <w:rPr>
                <w:kern w:val="0"/>
                <w:sz w:val="21"/>
                <w:szCs w:val="21"/>
              </w:rPr>
              <w:t>在</w:t>
            </w:r>
            <w:r>
              <w:rPr>
                <w:spacing w:val="-3"/>
                <w:kern w:val="0"/>
                <w:sz w:val="21"/>
                <w:szCs w:val="21"/>
              </w:rPr>
              <w:t>描</w:t>
            </w:r>
            <w:r>
              <w:rPr>
                <w:kern w:val="0"/>
                <w:sz w:val="21"/>
                <w:szCs w:val="21"/>
              </w:rPr>
              <w:t>述</w:t>
            </w:r>
            <w:r>
              <w:rPr>
                <w:spacing w:val="-3"/>
                <w:kern w:val="0"/>
                <w:sz w:val="21"/>
                <w:szCs w:val="21"/>
              </w:rPr>
              <w:t>危</w:t>
            </w:r>
            <w:r>
              <w:rPr>
                <w:kern w:val="0"/>
                <w:sz w:val="21"/>
                <w:szCs w:val="21"/>
              </w:rPr>
              <w:t>险</w:t>
            </w:r>
            <w:r>
              <w:rPr>
                <w:spacing w:val="-3"/>
                <w:kern w:val="0"/>
                <w:sz w:val="21"/>
                <w:szCs w:val="21"/>
              </w:rPr>
              <w:t>物</w:t>
            </w:r>
            <w:r>
              <w:rPr>
                <w:kern w:val="0"/>
                <w:sz w:val="21"/>
                <w:szCs w:val="21"/>
              </w:rPr>
              <w:t>质、</w:t>
            </w:r>
            <w:r>
              <w:rPr>
                <w:spacing w:val="-3"/>
                <w:kern w:val="0"/>
                <w:sz w:val="21"/>
                <w:szCs w:val="21"/>
              </w:rPr>
              <w:t>环</w:t>
            </w:r>
            <w:r>
              <w:rPr>
                <w:kern w:val="0"/>
                <w:sz w:val="21"/>
                <w:szCs w:val="21"/>
              </w:rPr>
              <w:t>境</w:t>
            </w:r>
            <w:r>
              <w:rPr>
                <w:spacing w:val="-3"/>
                <w:kern w:val="0"/>
                <w:sz w:val="21"/>
                <w:szCs w:val="21"/>
              </w:rPr>
              <w:t>影</w:t>
            </w:r>
            <w:r>
              <w:rPr>
                <w:kern w:val="0"/>
                <w:sz w:val="21"/>
                <w:szCs w:val="21"/>
              </w:rPr>
              <w:t>响</w:t>
            </w:r>
            <w:r>
              <w:rPr>
                <w:spacing w:val="-3"/>
                <w:kern w:val="0"/>
                <w:sz w:val="21"/>
                <w:szCs w:val="21"/>
              </w:rPr>
              <w:t>途</w:t>
            </w:r>
            <w:r>
              <w:rPr>
                <w:kern w:val="0"/>
                <w:sz w:val="21"/>
                <w:szCs w:val="21"/>
              </w:rPr>
              <w:t>径</w:t>
            </w:r>
            <w:r>
              <w:rPr>
                <w:spacing w:val="-3"/>
                <w:kern w:val="0"/>
                <w:sz w:val="21"/>
                <w:szCs w:val="21"/>
              </w:rPr>
              <w:t>、</w:t>
            </w:r>
            <w:r>
              <w:rPr>
                <w:kern w:val="0"/>
                <w:sz w:val="21"/>
                <w:szCs w:val="21"/>
              </w:rPr>
              <w:t>环</w:t>
            </w:r>
            <w:r>
              <w:rPr>
                <w:spacing w:val="-3"/>
                <w:kern w:val="0"/>
                <w:sz w:val="21"/>
                <w:szCs w:val="21"/>
              </w:rPr>
              <w:t>境</w:t>
            </w:r>
            <w:r>
              <w:rPr>
                <w:kern w:val="0"/>
                <w:sz w:val="21"/>
                <w:szCs w:val="21"/>
              </w:rPr>
              <w:t>危害</w:t>
            </w:r>
            <w:r>
              <w:rPr>
                <w:spacing w:val="-3"/>
                <w:kern w:val="0"/>
                <w:sz w:val="21"/>
                <w:szCs w:val="21"/>
              </w:rPr>
              <w:t>后</w:t>
            </w:r>
            <w:r>
              <w:rPr>
                <w:kern w:val="0"/>
                <w:sz w:val="21"/>
                <w:szCs w:val="21"/>
              </w:rPr>
              <w:t>果</w:t>
            </w:r>
            <w:r>
              <w:rPr>
                <w:spacing w:val="-3"/>
                <w:kern w:val="0"/>
                <w:sz w:val="21"/>
                <w:szCs w:val="21"/>
              </w:rPr>
              <w:t>、风险</w:t>
            </w:r>
            <w:r>
              <w:rPr>
                <w:kern w:val="0"/>
                <w:sz w:val="21"/>
                <w:szCs w:val="21"/>
              </w:rPr>
              <w:t>防范措</w:t>
            </w:r>
            <w:r>
              <w:rPr>
                <w:spacing w:val="-3"/>
                <w:kern w:val="0"/>
                <w:sz w:val="21"/>
                <w:szCs w:val="21"/>
              </w:rPr>
              <w:t>施</w:t>
            </w:r>
            <w:r>
              <w:rPr>
                <w:kern w:val="0"/>
                <w:sz w:val="21"/>
                <w:szCs w:val="21"/>
              </w:rPr>
              <w:t>等</w:t>
            </w:r>
            <w:r>
              <w:rPr>
                <w:spacing w:val="-3"/>
                <w:kern w:val="0"/>
                <w:sz w:val="21"/>
                <w:szCs w:val="21"/>
              </w:rPr>
              <w:t>方</w:t>
            </w:r>
            <w:r>
              <w:rPr>
                <w:kern w:val="0"/>
                <w:sz w:val="21"/>
                <w:szCs w:val="21"/>
              </w:rPr>
              <w:t>面</w:t>
            </w:r>
            <w:r>
              <w:rPr>
                <w:spacing w:val="-3"/>
                <w:kern w:val="0"/>
                <w:sz w:val="21"/>
                <w:szCs w:val="21"/>
              </w:rPr>
              <w:t>给</w:t>
            </w:r>
            <w:r>
              <w:rPr>
                <w:kern w:val="0"/>
                <w:sz w:val="21"/>
                <w:szCs w:val="21"/>
              </w:rPr>
              <w:t>出</w:t>
            </w:r>
            <w:r>
              <w:rPr>
                <w:spacing w:val="-3"/>
                <w:kern w:val="0"/>
                <w:sz w:val="21"/>
                <w:szCs w:val="21"/>
              </w:rPr>
              <w:t>定</w:t>
            </w:r>
            <w:r>
              <w:rPr>
                <w:kern w:val="0"/>
                <w:sz w:val="21"/>
                <w:szCs w:val="21"/>
              </w:rPr>
              <w:t>性</w:t>
            </w:r>
            <w:r>
              <w:rPr>
                <w:spacing w:val="-3"/>
                <w:kern w:val="0"/>
                <w:sz w:val="21"/>
                <w:szCs w:val="21"/>
              </w:rPr>
              <w:t>的</w:t>
            </w:r>
            <w:r>
              <w:rPr>
                <w:kern w:val="0"/>
                <w:sz w:val="21"/>
                <w:szCs w:val="21"/>
              </w:rPr>
              <w:t>说明</w:t>
            </w:r>
            <w:r>
              <w:rPr>
                <w:spacing w:val="-3"/>
                <w:kern w:val="0"/>
                <w:sz w:val="21"/>
                <w:szCs w:val="21"/>
              </w:rPr>
              <w:t>。</w:t>
            </w:r>
            <w:r>
              <w:rPr>
                <w:kern w:val="0"/>
                <w:sz w:val="21"/>
                <w:szCs w:val="21"/>
              </w:rPr>
              <w:t>见</w:t>
            </w:r>
            <w:r>
              <w:rPr>
                <w:spacing w:val="-3"/>
                <w:kern w:val="0"/>
                <w:sz w:val="21"/>
                <w:szCs w:val="21"/>
              </w:rPr>
              <w:t>附</w:t>
            </w:r>
            <w:r>
              <w:rPr>
                <w:spacing w:val="50"/>
                <w:kern w:val="0"/>
                <w:sz w:val="21"/>
                <w:szCs w:val="21"/>
              </w:rPr>
              <w:t>录</w:t>
            </w:r>
            <w:r>
              <w:rPr>
                <w:spacing w:val="1"/>
                <w:kern w:val="0"/>
                <w:sz w:val="21"/>
                <w:szCs w:val="21"/>
              </w:rPr>
              <w:t>A</w:t>
            </w:r>
            <w:r>
              <w:rPr>
                <w:kern w:val="0"/>
                <w:sz w:val="21"/>
                <w:szCs w:val="21"/>
              </w:rPr>
              <w:t>。</w:t>
            </w:r>
          </w:p>
        </w:tc>
      </w:tr>
    </w:tbl>
    <w:p>
      <w:pPr>
        <w:tabs>
          <w:tab w:val="clear" w:pos="480"/>
        </w:tabs>
        <w:adjustRightInd w:val="0"/>
        <w:snapToGrid w:val="0"/>
        <w:ind w:firstLine="480"/>
      </w:pPr>
      <w:r>
        <w:rPr>
          <w:rFonts w:hint="eastAsia"/>
        </w:rPr>
        <w:t>根据前述分析可知，本项目</w:t>
      </w:r>
      <w:r>
        <w:t>环境风险潜势为Ⅰ</w:t>
      </w:r>
      <w:r>
        <w:rPr>
          <w:rFonts w:hint="eastAsia"/>
        </w:rPr>
        <w:t>。</w:t>
      </w:r>
      <w:r>
        <w:t>由上表可知，本项目环境风险评价等级为</w:t>
      </w:r>
      <w:r>
        <w:rPr>
          <w:rFonts w:hint="eastAsia"/>
        </w:rPr>
        <w:t>“简单分析”。</w:t>
      </w:r>
    </w:p>
    <w:p>
      <w:pPr>
        <w:pStyle w:val="4"/>
        <w:tabs>
          <w:tab w:val="clear" w:pos="480"/>
          <w:tab w:val="clear" w:pos="840"/>
        </w:tabs>
        <w:adjustRightInd w:val="0"/>
        <w:snapToGrid w:val="0"/>
        <w:spacing w:before="0" w:after="0" w:line="360" w:lineRule="auto"/>
        <w:rPr>
          <w:rFonts w:hint="eastAsia" w:ascii="Times New Roman" w:eastAsia="宋体"/>
          <w:sz w:val="28"/>
          <w:szCs w:val="28"/>
          <w:lang w:val="en-US"/>
        </w:rPr>
      </w:pPr>
      <w:bookmarkStart w:id="146" w:name="_Toc116978008"/>
      <w:bookmarkStart w:id="147" w:name="_Toc181802678"/>
      <w:r>
        <w:rPr>
          <w:rFonts w:hint="eastAsia" w:ascii="Times New Roman" w:eastAsia="宋体"/>
          <w:sz w:val="28"/>
          <w:szCs w:val="28"/>
          <w:lang w:val="en-US"/>
        </w:rPr>
        <w:t>环境风险分析及风险防范措施</w:t>
      </w:r>
      <w:bookmarkEnd w:id="146"/>
      <w:bookmarkEnd w:id="147"/>
    </w:p>
    <w:p>
      <w:pPr>
        <w:pStyle w:val="5"/>
        <w:keepNext/>
        <w:keepLines/>
        <w:pageBreakBefore w:val="0"/>
        <w:widowControl w:val="0"/>
        <w:kinsoku/>
        <w:wordWrap/>
        <w:overflowPunct/>
        <w:topLinePunct w:val="0"/>
        <w:autoSpaceDE/>
        <w:autoSpaceDN/>
        <w:bidi w:val="0"/>
        <w:adjustRightInd/>
        <w:snapToGrid w:val="0"/>
        <w:spacing w:before="0" w:after="0"/>
        <w:textAlignment w:val="auto"/>
        <w:outlineLvl w:val="3"/>
        <w:rPr>
          <w:rFonts w:hint="eastAsia" w:ascii="宋体" w:hAnsi="宋体" w:eastAsia="宋体" w:cs="宋体"/>
          <w:u w:val="none" w:color="auto"/>
          <w:lang w:val="en-US"/>
        </w:rPr>
      </w:pPr>
      <w:r>
        <w:rPr>
          <w:rFonts w:hint="eastAsia" w:ascii="宋体" w:hAnsi="宋体" w:eastAsia="宋体" w:cs="宋体"/>
          <w:u w:val="none" w:color="auto"/>
          <w:lang w:val="en-US"/>
        </w:rPr>
        <w:t>变压器油风险分析及防范措施</w:t>
      </w:r>
    </w:p>
    <w:p>
      <w:pPr>
        <w:bidi w:val="0"/>
        <w:rPr>
          <w:rFonts w:hint="eastAsia"/>
          <w:lang w:val="en-US"/>
        </w:rPr>
      </w:pPr>
      <w:r>
        <w:rPr>
          <w:rFonts w:hint="eastAsia"/>
          <w:lang w:val="en-US"/>
        </w:rPr>
        <w:t>（1）环境风险分析</w:t>
      </w:r>
    </w:p>
    <w:p>
      <w:pPr>
        <w:bidi w:val="0"/>
      </w:pPr>
      <w:r>
        <w:t>变压器为了绝缘和冷却的需要，其外壳内装有大量变压器油，一般只有发生事故时才会排油。变压器油是天然石油中经过蒸馏、精炼而获得的一种矿物油，是石油中的润滑油馏份经酸碱精制处理得到纯净稳定、粘度小、绝缘性好、冷却性好的液体天然碳氢化合物的混合物，俗称方棚油，浅黄色透明液体，相对密度 0.895。凝固点&lt;- 45℃。主要由三种烃类组成，主要成分为环烷烃（约占 80%），其它的为芳香烃和烷烃。</w:t>
      </w:r>
    </w:p>
    <w:p>
      <w:pPr>
        <w:bidi w:val="0"/>
      </w:pPr>
      <w:r>
        <w:t>随着技术的进步和管理的科学化，升压站变压器发生故障的可能性越来越小（全国每年发生的概率不到 1%），在采取严格管理措施的情况下，即使发生事故也能得到及时处理，对环境的影响很小。</w:t>
      </w:r>
    </w:p>
    <w:p>
      <w:pPr>
        <w:bidi w:val="0"/>
      </w:pPr>
      <w:r>
        <w:t>本工程在</w:t>
      </w:r>
      <w:r>
        <w:rPr>
          <w:rFonts w:hint="eastAsia"/>
          <w:lang w:val="en-US" w:eastAsia="zh-CN"/>
        </w:rPr>
        <w:t>汇集</w:t>
      </w:r>
      <w:r>
        <w:t>站内设置一个事故油池，有效容积为</w:t>
      </w:r>
      <w:r>
        <w:rPr>
          <w:rFonts w:hint="eastAsia"/>
          <w:lang w:val="en-US" w:eastAsia="zh-CN"/>
        </w:rPr>
        <w:t>90</w:t>
      </w:r>
      <w:r>
        <w:t>m</w:t>
      </w:r>
      <w:r>
        <w:rPr>
          <w:vertAlign w:val="superscript"/>
        </w:rPr>
        <w:t>3</w:t>
      </w:r>
      <w:r>
        <w:t>，用于存放事故废油。事故油池防渗漏措施不当，可能导致油品渗漏。变压器油一旦泄漏进入环境中，将会进入周边土壤造成土壤污染，如遇降雨还将随地表径流进入周边发河流内，存在污染地表水环境的风险。变压器事故排油发生废油外溢，遇火源易引发火灾事故，对周边居民点环境空气质量产生一定的影响。</w:t>
      </w:r>
    </w:p>
    <w:p>
      <w:pPr>
        <w:bidi w:val="0"/>
      </w:pPr>
      <w:r>
        <w:t>由于事故油池废油及其挥发的蒸汽本身属于低毒类物质，正常情况下对附近工作人员生命安全不会产生毒害作用，废油外溢的情况下不会产生畸形毒害作用，在事故处理结束后一定时间内就会消除。废油在外溢发生火灾燃烧事故后，对事故油池下风向的环境空气会造成一定的影响，事故发生后到结束前这一时段内污染程度最大，但在火灾燃烧事故结束后短时间内这种环境风险影响可基本消除。</w:t>
      </w:r>
    </w:p>
    <w:p>
      <w:pPr>
        <w:bidi w:val="0"/>
      </w:pPr>
      <w:r>
        <w:rPr>
          <w:rFonts w:hint="eastAsia"/>
          <w:lang w:val="en-US" w:eastAsia="zh-CN"/>
        </w:rPr>
        <w:t>汇集</w:t>
      </w:r>
      <w:r>
        <w:t>站运行期有严格的检修操作规程，同时主变都配备有油压监控设备和主变保护装置，在发生事故排油时会发出警告声，通知站内值守人员及时进行应急处理；根据以往风电场升压站主变运行管理的经验，主变发生事故排油的情况极少出现，在配备建设有事故油池时发生废油渗漏事故概率非常小，因此在做好严格的监控、防范措施的前提下，升压站主变油品泄漏造成环境污染的风险极小。</w:t>
      </w:r>
    </w:p>
    <w:p>
      <w:pPr>
        <w:bidi w:val="0"/>
        <w:rPr>
          <w:rFonts w:hint="eastAsia"/>
        </w:rPr>
      </w:pPr>
      <w:r>
        <w:rPr>
          <w:rFonts w:hint="eastAsia"/>
        </w:rPr>
        <w:t>（2）防范措施</w:t>
      </w:r>
    </w:p>
    <w:p>
      <w:pPr>
        <w:bidi w:val="0"/>
      </w:pPr>
      <w:r>
        <w:rPr>
          <w:rFonts w:hint="eastAsia"/>
        </w:rPr>
        <w:t>①</w:t>
      </w:r>
      <w:r>
        <w:t>主变压器底部设有贮油坑，贮油坑的四周设挡油坎，坑底设有排油管，能将主变事故排油排至事故油池中。当主变压器发生事故排油时，</w:t>
      </w:r>
      <w:r>
        <w:rPr>
          <w:rFonts w:hint="eastAsia"/>
        </w:rPr>
        <w:t>事故油</w:t>
      </w:r>
      <w:r>
        <w:t>交由有危险废物处置资质的单位回收处置，并严格执行危险废物转移联单制度，按规定进行分类管理、存放、运输和处理处置。</w:t>
      </w:r>
    </w:p>
    <w:p>
      <w:pPr>
        <w:bidi w:val="0"/>
      </w:pPr>
      <w:r>
        <w:rPr>
          <w:rFonts w:hint="eastAsia"/>
        </w:rPr>
        <w:t>②</w:t>
      </w:r>
      <w:r>
        <w:t>本工程</w:t>
      </w:r>
      <w:r>
        <w:rPr>
          <w:rFonts w:hint="eastAsia"/>
          <w:lang w:val="en-US" w:eastAsia="zh-CN"/>
        </w:rPr>
        <w:t>汇集</w:t>
      </w:r>
      <w:r>
        <w:t>站四周设置围墙，站内</w:t>
      </w:r>
      <w:r>
        <w:rPr>
          <w:rFonts w:hint="eastAsia"/>
          <w:lang w:val="en-US" w:eastAsia="zh-CN"/>
        </w:rPr>
        <w:t>设置</w:t>
      </w:r>
      <w:r>
        <w:t>事故油池，完全能保证事故排油不外排；而且事故油池不与雨水系统相通，不会对周边水环境产生的不良影响。事故油池有耐腐蚀的硬化地面和基础防渗层，地面无裂隙；设施底部必须高于地下水最高水位。同时加强</w:t>
      </w:r>
      <w:r>
        <w:rPr>
          <w:rFonts w:hint="eastAsia"/>
          <w:lang w:val="en-US" w:eastAsia="zh-CN"/>
        </w:rPr>
        <w:t>汇集</w:t>
      </w:r>
      <w:r>
        <w:t>站场地内用油管理，制定环境风险防范措施和应急预案，严防升压站漏油事故影响区域水体。</w:t>
      </w:r>
    </w:p>
    <w:p>
      <w:pPr>
        <w:bidi w:val="0"/>
        <w:rPr>
          <w:u w:val="none"/>
        </w:rPr>
      </w:pPr>
      <w:r>
        <w:rPr>
          <w:rFonts w:hint="eastAsia"/>
        </w:rPr>
        <w:t>③</w:t>
      </w:r>
      <w:r>
        <w:t>站区设置了监控系统，本站设一套遥视系统，对站内的电气设备及运行环境进行图像监视，并能向各级调度传送遥信、遥测、遥控、遥调等信息。因此，可及时发现问题，避免事故发生，并按相关规定建立了事故应急预案。</w:t>
      </w:r>
    </w:p>
    <w:p>
      <w:pPr>
        <w:pStyle w:val="5"/>
        <w:keepNext/>
        <w:keepLines/>
        <w:pageBreakBefore w:val="0"/>
        <w:widowControl w:val="0"/>
        <w:kinsoku/>
        <w:wordWrap/>
        <w:overflowPunct/>
        <w:topLinePunct w:val="0"/>
        <w:autoSpaceDE/>
        <w:autoSpaceDN/>
        <w:bidi w:val="0"/>
        <w:adjustRightInd/>
        <w:snapToGrid w:val="0"/>
        <w:spacing w:before="0" w:after="0"/>
        <w:textAlignment w:val="auto"/>
        <w:outlineLvl w:val="3"/>
        <w:rPr>
          <w:rFonts w:hint="eastAsia" w:ascii="宋体" w:hAnsi="宋体" w:eastAsia="宋体" w:cs="宋体"/>
          <w:u w:val="none" w:color="auto"/>
          <w:lang w:val="en-US"/>
        </w:rPr>
      </w:pPr>
      <w:r>
        <w:rPr>
          <w:rFonts w:hint="eastAsia" w:ascii="宋体" w:hAnsi="宋体" w:eastAsia="宋体" w:cs="宋体"/>
          <w:u w:val="none" w:color="auto"/>
          <w:lang w:val="en-US"/>
        </w:rPr>
        <w:t>风机维修与运行期润滑油风险防范措施</w:t>
      </w:r>
    </w:p>
    <w:p>
      <w:pPr>
        <w:tabs>
          <w:tab w:val="clear" w:pos="480"/>
        </w:tabs>
        <w:adjustRightInd w:val="0"/>
        <w:snapToGrid w:val="0"/>
        <w:ind w:firstLine="480"/>
        <w:rPr>
          <w:u w:val="none"/>
        </w:rPr>
      </w:pPr>
      <w:r>
        <w:rPr>
          <w:u w:val="none"/>
        </w:rPr>
        <w:t>（1）环境风险分析</w:t>
      </w:r>
    </w:p>
    <w:p>
      <w:pPr>
        <w:tabs>
          <w:tab w:val="clear" w:pos="480"/>
        </w:tabs>
        <w:adjustRightInd w:val="0"/>
        <w:snapToGrid w:val="0"/>
        <w:ind w:firstLine="480"/>
        <w:rPr>
          <w:u w:val="none"/>
        </w:rPr>
      </w:pPr>
      <w:r>
        <w:rPr>
          <w:u w:val="none"/>
        </w:rPr>
        <w:t>风机运行期维修和保养使用的润滑油主要包括变桨偏航轴承用油脂、齿轮箱（增速箱）油脂、变桨偏航驱动用齿轮油、发电机润滑油脂、主轴承润滑脂、液压油等。</w:t>
      </w:r>
    </w:p>
    <w:p>
      <w:pPr>
        <w:tabs>
          <w:tab w:val="clear" w:pos="480"/>
        </w:tabs>
        <w:adjustRightInd w:val="0"/>
        <w:snapToGrid w:val="0"/>
        <w:ind w:firstLine="480"/>
        <w:rPr>
          <w:u w:val="none"/>
        </w:rPr>
      </w:pPr>
      <w:r>
        <w:rPr>
          <w:u w:val="none"/>
        </w:rPr>
        <w:t>风机润滑油统一储存于升压站内油品仓库，油品仓库地面进行硬化处理，并在仓库四周设置截排水沟，截排水沟采取防渗处理。因此，风机润滑油若发生泄漏不会渗入地下，亦不会污染周边水体。同时，本工程风机润滑油的临时储存量较小，风电设备检修委托有资质的电力运营维护专业公司进行，由其将维修产生的废</w:t>
      </w:r>
      <w:r>
        <w:rPr>
          <w:rFonts w:hint="eastAsia"/>
          <w:u w:val="none"/>
        </w:rPr>
        <w:t>机</w:t>
      </w:r>
      <w:r>
        <w:rPr>
          <w:u w:val="none"/>
        </w:rPr>
        <w:t>油、废液压油等统一带走并负责交由有危险废物处置资质的单位进行处置，存在的环境风险也较小。</w:t>
      </w:r>
    </w:p>
    <w:p>
      <w:pPr>
        <w:tabs>
          <w:tab w:val="clear" w:pos="480"/>
        </w:tabs>
        <w:adjustRightInd w:val="0"/>
        <w:snapToGrid w:val="0"/>
        <w:ind w:firstLine="480"/>
        <w:rPr>
          <w:u w:val="none"/>
        </w:rPr>
      </w:pPr>
      <w:r>
        <w:rPr>
          <w:u w:val="none"/>
        </w:rPr>
        <w:t>（2）防范措施</w:t>
      </w:r>
    </w:p>
    <w:p>
      <w:pPr>
        <w:tabs>
          <w:tab w:val="clear" w:pos="480"/>
        </w:tabs>
        <w:adjustRightInd w:val="0"/>
        <w:snapToGrid w:val="0"/>
        <w:ind w:firstLine="480"/>
        <w:rPr>
          <w:u w:val="none"/>
        </w:rPr>
      </w:pPr>
      <w:r>
        <w:rPr>
          <w:rFonts w:hint="eastAsia" w:ascii="宋体" w:hAnsi="宋体" w:cs="宋体"/>
          <w:u w:val="none"/>
        </w:rPr>
        <w:t>①</w:t>
      </w:r>
      <w:r>
        <w:rPr>
          <w:u w:val="none"/>
        </w:rPr>
        <w:t>运行期值班维护人员对设备进行定期检查，防止发生滴、漏现象。</w:t>
      </w:r>
    </w:p>
    <w:p>
      <w:pPr>
        <w:tabs>
          <w:tab w:val="clear" w:pos="480"/>
        </w:tabs>
        <w:adjustRightInd w:val="0"/>
        <w:snapToGrid w:val="0"/>
        <w:ind w:firstLine="480"/>
        <w:rPr>
          <w:u w:val="none"/>
        </w:rPr>
      </w:pPr>
      <w:r>
        <w:rPr>
          <w:rFonts w:hint="eastAsia" w:ascii="宋体" w:hAnsi="宋体" w:cs="宋体"/>
          <w:u w:val="none"/>
        </w:rPr>
        <w:t>②</w:t>
      </w:r>
      <w:r>
        <w:rPr>
          <w:u w:val="none"/>
        </w:rPr>
        <w:t>风机齿轮箱配有带高效油过滤器和油冷却器的强制稀油润滑系统，能防止润滑油、废液压油跑冒滴漏，从而减少了风机维修与运行期润滑油、液压油对环境的影响。</w:t>
      </w:r>
    </w:p>
    <w:p>
      <w:pPr>
        <w:tabs>
          <w:tab w:val="clear" w:pos="480"/>
        </w:tabs>
        <w:adjustRightInd w:val="0"/>
        <w:snapToGrid w:val="0"/>
        <w:ind w:firstLine="480"/>
        <w:rPr>
          <w:u w:val="none"/>
        </w:rPr>
      </w:pPr>
      <w:r>
        <w:rPr>
          <w:rFonts w:ascii="宋体" w:hAnsi="宋体" w:cs="宋体"/>
          <w:u w:val="none"/>
        </w:rPr>
        <w:fldChar w:fldCharType="begin"/>
      </w:r>
      <w:r>
        <w:rPr>
          <w:rFonts w:ascii="宋体" w:hAnsi="宋体" w:cs="宋体"/>
          <w:u w:val="none"/>
        </w:rPr>
        <w:instrText xml:space="preserve"> </w:instrText>
      </w:r>
      <w:r>
        <w:rPr>
          <w:rFonts w:hint="eastAsia" w:ascii="宋体" w:hAnsi="宋体" w:cs="宋体"/>
          <w:u w:val="none"/>
        </w:rPr>
        <w:instrText xml:space="preserve">= 3 \* GB3</w:instrText>
      </w:r>
      <w:r>
        <w:rPr>
          <w:rFonts w:ascii="宋体" w:hAnsi="宋体" w:cs="宋体"/>
          <w:u w:val="none"/>
        </w:rPr>
        <w:instrText xml:space="preserve"> </w:instrText>
      </w:r>
      <w:r>
        <w:rPr>
          <w:rFonts w:ascii="宋体" w:hAnsi="宋体" w:cs="宋体"/>
          <w:u w:val="none"/>
        </w:rPr>
        <w:fldChar w:fldCharType="separate"/>
      </w:r>
      <w:r>
        <w:rPr>
          <w:rFonts w:hint="eastAsia" w:ascii="宋体" w:hAnsi="宋体" w:cs="宋体"/>
          <w:u w:val="none"/>
        </w:rPr>
        <w:t>③</w:t>
      </w:r>
      <w:r>
        <w:rPr>
          <w:rFonts w:ascii="宋体" w:hAnsi="宋体" w:cs="宋体"/>
          <w:u w:val="none"/>
        </w:rPr>
        <w:fldChar w:fldCharType="end"/>
      </w:r>
      <w:r>
        <w:rPr>
          <w:u w:val="none"/>
        </w:rPr>
        <w:t>风电机组为密闭系统，运营期正常运转时无废旧机油产生。工程检修委托有资质的电力运行维护专业公司进行，检修期间产生的少量废旧机油（主要滴落在风机塔筒内）由其收集带走并负责交由有危险废弃物处置资质的单位进行处置。</w:t>
      </w:r>
    </w:p>
    <w:p>
      <w:pPr>
        <w:tabs>
          <w:tab w:val="clear" w:pos="480"/>
        </w:tabs>
        <w:adjustRightInd w:val="0"/>
        <w:snapToGrid w:val="0"/>
        <w:ind w:firstLine="480"/>
        <w:rPr>
          <w:u w:val="none"/>
        </w:rPr>
      </w:pPr>
      <w:r>
        <w:rPr>
          <w:rFonts w:hint="eastAsia" w:ascii="宋体" w:hAnsi="宋体" w:cs="宋体"/>
          <w:u w:val="none"/>
        </w:rPr>
        <w:t>④</w:t>
      </w:r>
      <w:r>
        <w:rPr>
          <w:u w:val="none"/>
        </w:rPr>
        <w:t>危险废物的容器和包装以及收集、贮存、运输、处置危险废物的设施、场所，必须设置危险废物识别标志；必须按照国家有关规定申报登记。</w:t>
      </w:r>
    </w:p>
    <w:p>
      <w:pPr>
        <w:tabs>
          <w:tab w:val="clear" w:pos="480"/>
        </w:tabs>
        <w:adjustRightInd w:val="0"/>
        <w:snapToGrid w:val="0"/>
        <w:ind w:firstLine="480"/>
        <w:rPr>
          <w:u w:val="none"/>
        </w:rPr>
      </w:pPr>
      <w:r>
        <w:rPr>
          <w:rFonts w:hint="eastAsia" w:ascii="宋体" w:hAnsi="宋体" w:cs="宋体"/>
          <w:u w:val="none"/>
        </w:rPr>
        <w:t>⑤</w:t>
      </w:r>
      <w:r>
        <w:rPr>
          <w:u w:val="none"/>
        </w:rPr>
        <w:t>危险废物应存放于专门的收集容器，设置独立的存放空间场所避免于其他废旧物资混杂存放。各种危险废物应严格按照《危险废物贮存污染控制标准》（GB18597- 2023）贮存，且在厂区内的贮存时间不得超过一年。</w:t>
      </w:r>
    </w:p>
    <w:p>
      <w:pPr>
        <w:tabs>
          <w:tab w:val="clear" w:pos="480"/>
        </w:tabs>
        <w:adjustRightInd w:val="0"/>
        <w:snapToGrid w:val="0"/>
        <w:ind w:firstLine="480"/>
        <w:rPr>
          <w:u w:val="none"/>
        </w:rPr>
      </w:pPr>
      <w:r>
        <w:rPr>
          <w:rFonts w:hint="eastAsia" w:ascii="宋体" w:hAnsi="宋体" w:cs="宋体"/>
          <w:u w:val="none"/>
        </w:rPr>
        <w:t>⑥</w:t>
      </w:r>
      <w:r>
        <w:rPr>
          <w:rFonts w:hint="eastAsia"/>
          <w:u w:val="none"/>
        </w:rPr>
        <w:t>事故油池</w:t>
      </w:r>
      <w:r>
        <w:rPr>
          <w:u w:val="none"/>
        </w:rPr>
        <w:t>和危废暂存间应满足《危险废物贮存污染控制标准》（GB18597-2023）及其修改单要求有关规定：</w:t>
      </w:r>
    </w:p>
    <w:p>
      <w:pPr>
        <w:tabs>
          <w:tab w:val="clear" w:pos="480"/>
        </w:tabs>
        <w:adjustRightInd w:val="0"/>
        <w:snapToGrid w:val="0"/>
        <w:ind w:firstLine="480"/>
        <w:rPr>
          <w:u w:val="none"/>
        </w:rPr>
      </w:pPr>
      <w:r>
        <w:rPr>
          <w:u w:val="none"/>
        </w:rPr>
        <w:t>a)按《环境保护图形标识—固体废物贮存（处置）场》（GB15562.2）设置警示标志。</w:t>
      </w:r>
    </w:p>
    <w:p>
      <w:pPr>
        <w:tabs>
          <w:tab w:val="clear" w:pos="480"/>
        </w:tabs>
        <w:adjustRightInd w:val="0"/>
        <w:snapToGrid w:val="0"/>
        <w:ind w:firstLine="480"/>
        <w:rPr>
          <w:u w:val="none"/>
        </w:rPr>
      </w:pPr>
      <w:r>
        <w:rPr>
          <w:u w:val="none"/>
        </w:rPr>
        <w:t>b)仓库必须有耐腐蚀的硬化地面和基础防渗层，地面无裂隙；设施底部必须高于地下水最高水位。</w:t>
      </w:r>
    </w:p>
    <w:p>
      <w:pPr>
        <w:tabs>
          <w:tab w:val="clear" w:pos="480"/>
        </w:tabs>
        <w:adjustRightInd w:val="0"/>
        <w:snapToGrid w:val="0"/>
        <w:ind w:firstLine="480"/>
        <w:rPr>
          <w:u w:val="none"/>
        </w:rPr>
      </w:pPr>
      <w:r>
        <w:rPr>
          <w:u w:val="none"/>
        </w:rPr>
        <w:t>c)要有必要的防风、防雨、防晒措施。</w:t>
      </w:r>
    </w:p>
    <w:p>
      <w:pPr>
        <w:tabs>
          <w:tab w:val="clear" w:pos="480"/>
        </w:tabs>
        <w:adjustRightInd w:val="0"/>
        <w:snapToGrid w:val="0"/>
        <w:ind w:firstLine="480"/>
        <w:rPr>
          <w:u w:val="none"/>
        </w:rPr>
      </w:pPr>
      <w:r>
        <w:rPr>
          <w:u w:val="none"/>
        </w:rPr>
        <w:t>d)要有隔离设施或其它防护栅栏。</w:t>
      </w:r>
    </w:p>
    <w:p>
      <w:pPr>
        <w:pStyle w:val="5"/>
        <w:keepNext/>
        <w:keepLines/>
        <w:pageBreakBefore w:val="0"/>
        <w:widowControl w:val="0"/>
        <w:kinsoku/>
        <w:wordWrap/>
        <w:overflowPunct/>
        <w:topLinePunct w:val="0"/>
        <w:autoSpaceDE/>
        <w:autoSpaceDN/>
        <w:bidi w:val="0"/>
        <w:adjustRightInd/>
        <w:snapToGrid w:val="0"/>
        <w:spacing w:before="0" w:after="0"/>
        <w:textAlignment w:val="auto"/>
        <w:outlineLvl w:val="3"/>
        <w:rPr>
          <w:rFonts w:hint="eastAsia" w:ascii="宋体" w:hAnsi="宋体" w:eastAsia="宋体" w:cs="宋体"/>
          <w:u w:val="none" w:color="auto"/>
          <w:lang w:val="en-US"/>
        </w:rPr>
      </w:pPr>
      <w:r>
        <w:rPr>
          <w:rFonts w:hint="eastAsia" w:ascii="宋体" w:hAnsi="宋体" w:eastAsia="宋体" w:cs="宋体"/>
          <w:u w:val="none" w:color="auto"/>
          <w:lang w:val="en-US"/>
        </w:rPr>
        <w:t>废旧蓄电池处置风险影响分析及风险防范措施</w:t>
      </w:r>
    </w:p>
    <w:p>
      <w:pPr>
        <w:tabs>
          <w:tab w:val="clear" w:pos="480"/>
        </w:tabs>
        <w:adjustRightInd w:val="0"/>
        <w:snapToGrid w:val="0"/>
        <w:ind w:firstLine="480"/>
        <w:rPr>
          <w:u w:val="none"/>
        </w:rPr>
      </w:pPr>
      <w:r>
        <w:rPr>
          <w:u w:val="none"/>
        </w:rPr>
        <w:t>（1）环境风险分析</w:t>
      </w:r>
    </w:p>
    <w:p>
      <w:pPr>
        <w:tabs>
          <w:tab w:val="clear" w:pos="480"/>
        </w:tabs>
        <w:adjustRightInd w:val="0"/>
        <w:snapToGrid w:val="0"/>
        <w:ind w:firstLine="480"/>
        <w:rPr>
          <w:u w:val="none"/>
        </w:rPr>
      </w:pPr>
      <w:r>
        <w:rPr>
          <w:rFonts w:hint="eastAsia"/>
          <w:lang w:val="en-US" w:eastAsia="zh-CN"/>
        </w:rPr>
        <w:t>汇集</w:t>
      </w:r>
      <w:r>
        <w:rPr>
          <w:u w:val="none"/>
        </w:rPr>
        <w:t>站和风机箱变蓄电池主要采用铅酸蓄电池，主要作为事故停电电源，使用寿命较长，可达 5～8年。废旧蓄电池更换下来后，主要由厂家或有资质的收集处理单位回收，不在现场进行拆解处理，因此不会对周边环境造成影响。</w:t>
      </w:r>
    </w:p>
    <w:p>
      <w:pPr>
        <w:tabs>
          <w:tab w:val="clear" w:pos="480"/>
        </w:tabs>
        <w:adjustRightInd w:val="0"/>
        <w:snapToGrid w:val="0"/>
        <w:ind w:firstLine="480"/>
        <w:rPr>
          <w:u w:val="none"/>
        </w:rPr>
      </w:pPr>
      <w:r>
        <w:rPr>
          <w:u w:val="none"/>
        </w:rPr>
        <w:t>（2）防护措施</w:t>
      </w:r>
    </w:p>
    <w:p>
      <w:pPr>
        <w:tabs>
          <w:tab w:val="clear" w:pos="480"/>
        </w:tabs>
        <w:adjustRightInd w:val="0"/>
        <w:snapToGrid w:val="0"/>
        <w:ind w:firstLine="480"/>
        <w:rPr>
          <w:u w:val="none"/>
        </w:rPr>
      </w:pPr>
      <w:r>
        <w:rPr>
          <w:u w:val="none"/>
        </w:rPr>
        <w:t>本评价建议</w:t>
      </w:r>
      <w:r>
        <w:rPr>
          <w:rFonts w:hint="eastAsia"/>
          <w:lang w:val="en-US" w:eastAsia="zh-CN"/>
        </w:rPr>
        <w:t>汇集</w:t>
      </w:r>
      <w:r>
        <w:rPr>
          <w:u w:val="none"/>
        </w:rPr>
        <w:t>站内按照《废铅酸蓄电池处理污染控制技术规范》（HJ519-2009）、《危险废物贮存污染控制标准》（GB18597-2023）的要求设置危废暂存间对退役的蓄电池进行临时贮存，同时对暂存间采取防雨淋、防渗、防火以及防盗等相应工程措施，防止意外事故和环境污染，并设置危险废物标志。</w:t>
      </w:r>
    </w:p>
    <w:p>
      <w:pPr>
        <w:pStyle w:val="5"/>
        <w:keepNext/>
        <w:keepLines/>
        <w:pageBreakBefore w:val="0"/>
        <w:widowControl w:val="0"/>
        <w:kinsoku/>
        <w:wordWrap/>
        <w:overflowPunct/>
        <w:topLinePunct w:val="0"/>
        <w:autoSpaceDE/>
        <w:autoSpaceDN/>
        <w:bidi w:val="0"/>
        <w:adjustRightInd/>
        <w:snapToGrid w:val="0"/>
        <w:spacing w:before="0" w:after="0"/>
        <w:textAlignment w:val="auto"/>
        <w:outlineLvl w:val="3"/>
        <w:rPr>
          <w:rFonts w:hint="eastAsia" w:ascii="宋体" w:hAnsi="宋体" w:eastAsia="宋体" w:cs="宋体"/>
          <w:u w:val="none" w:color="auto"/>
          <w:lang w:val="en-US"/>
        </w:rPr>
      </w:pPr>
      <w:r>
        <w:rPr>
          <w:rFonts w:hint="eastAsia" w:ascii="宋体" w:hAnsi="宋体" w:eastAsia="宋体" w:cs="宋体"/>
          <w:u w:val="none" w:color="auto"/>
          <w:lang w:val="en-US"/>
        </w:rPr>
        <w:t>饮用水水源保护区风险分析</w:t>
      </w:r>
      <w:bookmarkStart w:id="148" w:name="_Hlk155793079"/>
      <w:r>
        <w:rPr>
          <w:rFonts w:hint="eastAsia" w:ascii="宋体" w:hAnsi="宋体" w:eastAsia="宋体" w:cs="宋体"/>
          <w:u w:val="none" w:color="auto"/>
          <w:lang w:val="en-US"/>
        </w:rPr>
        <w:t>及风险防范措施</w:t>
      </w:r>
      <w:bookmarkEnd w:id="148"/>
    </w:p>
    <w:p>
      <w:pPr>
        <w:tabs>
          <w:tab w:val="clear" w:pos="480"/>
        </w:tabs>
        <w:adjustRightInd w:val="0"/>
        <w:snapToGrid w:val="0"/>
        <w:ind w:firstLine="480"/>
        <w:rPr>
          <w:spacing w:val="-4"/>
          <w:u w:val="none"/>
        </w:rPr>
      </w:pPr>
      <w:r>
        <w:rPr>
          <w:rFonts w:hint="eastAsia"/>
          <w:u w:val="none"/>
        </w:rPr>
        <w:t>（1）环境</w:t>
      </w:r>
      <w:r>
        <w:rPr>
          <w:rFonts w:hint="eastAsia"/>
          <w:spacing w:val="-4"/>
          <w:u w:val="none"/>
        </w:rPr>
        <w:t>风险分析</w:t>
      </w:r>
    </w:p>
    <w:p>
      <w:pPr>
        <w:tabs>
          <w:tab w:val="clear" w:pos="480"/>
        </w:tabs>
        <w:adjustRightInd w:val="0"/>
        <w:snapToGrid w:val="0"/>
        <w:ind w:firstLine="472"/>
        <w:rPr>
          <w:u w:val="none"/>
        </w:rPr>
      </w:pPr>
      <w:r>
        <w:rPr>
          <w:rFonts w:hint="eastAsia" w:cs="Times New Roman"/>
          <w:lang w:val="en-US" w:eastAsia="zh-CN"/>
        </w:rPr>
        <w:t>本项目依托的</w:t>
      </w:r>
      <w:r>
        <w:rPr>
          <w:rFonts w:hint="eastAsia" w:ascii="Times New Roman" w:hAnsi="Times New Roman" w:eastAsia="宋体" w:cs="Times New Roman"/>
          <w:lang w:val="en-US" w:eastAsia="zh-CN"/>
        </w:rPr>
        <w:t>进场道路中有7.9km长度位于两江口水库饮用水水源保护区二级陆域保护区，15号风机平台距离新田湾河饮用水水源保护区二级陆域保护区最近10m，12、13号风机之间场内道路中有40m长度</w:t>
      </w:r>
      <w:r>
        <w:rPr>
          <w:rFonts w:hint="eastAsia" w:cs="Times New Roman"/>
          <w:lang w:val="en-US" w:eastAsia="zh-CN"/>
        </w:rPr>
        <w:t>紧邻</w:t>
      </w:r>
      <w:r>
        <w:rPr>
          <w:rFonts w:hint="default" w:ascii="Times New Roman" w:hAnsi="Times New Roman" w:eastAsia="宋体" w:cs="Times New Roman"/>
          <w:lang w:val="en-US" w:eastAsia="zh-CN"/>
        </w:rPr>
        <w:t>岭脚村山溪水饮用水水源保护区</w:t>
      </w:r>
      <w:r>
        <w:rPr>
          <w:rFonts w:hint="eastAsia" w:ascii="Times New Roman" w:hAnsi="Times New Roman" w:eastAsia="宋体" w:cs="Times New Roman"/>
          <w:lang w:val="en-US" w:eastAsia="zh-CN"/>
        </w:rPr>
        <w:t>二级陆域保护区</w:t>
      </w:r>
      <w:r>
        <w:rPr>
          <w:rFonts w:hint="eastAsia"/>
          <w:spacing w:val="-4"/>
          <w:u w:val="none"/>
          <w:lang w:eastAsia="zh-CN"/>
        </w:rPr>
        <w:t>。</w:t>
      </w:r>
      <w:r>
        <w:rPr>
          <w:rFonts w:hint="eastAsia"/>
          <w:spacing w:val="-4"/>
          <w:u w:val="none"/>
        </w:rPr>
        <w:t>目前</w:t>
      </w:r>
      <w:r>
        <w:rPr>
          <w:rFonts w:hint="eastAsia"/>
          <w:spacing w:val="-4"/>
          <w:u w:val="none"/>
          <w:lang w:val="en-US" w:eastAsia="zh-CN"/>
        </w:rPr>
        <w:t>进场</w:t>
      </w:r>
      <w:r>
        <w:rPr>
          <w:rFonts w:hint="eastAsia"/>
          <w:spacing w:val="-4"/>
          <w:u w:val="none"/>
        </w:rPr>
        <w:t>道路及风机安装平台已建设完成，施工期环境影响已发生，随着施工结束及后期绿化的恢复，项目对水源地的影响将随之消失</w:t>
      </w:r>
      <w:r>
        <w:rPr>
          <w:rFonts w:hint="eastAsia"/>
          <w:spacing w:val="-4"/>
          <w:u w:val="none"/>
          <w:lang w:eastAsia="zh-CN"/>
        </w:rPr>
        <w:t>。</w:t>
      </w:r>
      <w:r>
        <w:rPr>
          <w:rFonts w:hint="eastAsia"/>
        </w:rPr>
        <w:t>根据本次</w:t>
      </w:r>
      <w:r>
        <w:rPr>
          <w:rFonts w:hint="eastAsia"/>
          <w:lang w:val="en-US" w:eastAsia="zh-CN"/>
        </w:rPr>
        <w:t>环评</w:t>
      </w:r>
      <w:r>
        <w:rPr>
          <w:rFonts w:hint="eastAsia"/>
        </w:rPr>
        <w:t>对</w:t>
      </w:r>
      <w:r>
        <w:rPr>
          <w:rFonts w:hint="eastAsia"/>
          <w:lang w:val="en-US" w:eastAsia="zh-CN"/>
        </w:rPr>
        <w:t>两江口水库水质</w:t>
      </w:r>
      <w:r>
        <w:rPr>
          <w:rFonts w:hint="eastAsia"/>
        </w:rPr>
        <w:t>监测结果可知，</w:t>
      </w:r>
      <w:r>
        <w:rPr>
          <w:rFonts w:hint="eastAsia"/>
          <w:lang w:val="en-US" w:eastAsia="zh-CN"/>
        </w:rPr>
        <w:t>两江口水库取水口水质能达到II类，</w:t>
      </w:r>
      <w:r>
        <w:rPr>
          <w:rFonts w:hint="eastAsia"/>
        </w:rPr>
        <w:t>本项目</w:t>
      </w:r>
      <w:r>
        <w:rPr>
          <w:rFonts w:hint="eastAsia"/>
          <w:lang w:val="en-US" w:eastAsia="zh-CN"/>
        </w:rPr>
        <w:t>进场道路</w:t>
      </w:r>
      <w:r>
        <w:rPr>
          <w:rFonts w:hint="eastAsia"/>
        </w:rPr>
        <w:t>施工未造成饮用水水源水质下降</w:t>
      </w:r>
      <w:r>
        <w:rPr>
          <w:rFonts w:hint="eastAsia"/>
          <w:lang w:eastAsia="zh-CN"/>
        </w:rPr>
        <w:t>。</w:t>
      </w:r>
      <w:r>
        <w:rPr>
          <w:rFonts w:hint="eastAsia"/>
          <w:lang w:val="en-US" w:eastAsia="zh-CN"/>
        </w:rPr>
        <w:t>根据地表水现状调查，</w:t>
      </w:r>
      <w:r>
        <w:rPr>
          <w:rFonts w:hint="eastAsia"/>
          <w:lang w:eastAsia="zh-CN"/>
        </w:rPr>
        <w:t>舜水河取水口（岭脚村段）、</w:t>
      </w:r>
      <w:r>
        <w:rPr>
          <w:rFonts w:hint="eastAsia"/>
          <w:lang w:eastAsia="zh-CN"/>
        </w:rPr>
        <w:tab/>
      </w:r>
      <w:r>
        <w:rPr>
          <w:rFonts w:hint="eastAsia"/>
          <w:lang w:eastAsia="zh-CN"/>
        </w:rPr>
        <w:t>新田湾河取水口（汇源源峰村段）</w:t>
      </w:r>
      <w:r>
        <w:rPr>
          <w:rFonts w:hint="eastAsia"/>
          <w:lang w:val="en-US" w:eastAsia="zh-CN"/>
        </w:rPr>
        <w:t>水质能达到II类</w:t>
      </w:r>
      <w:r>
        <w:rPr>
          <w:rFonts w:hint="eastAsia"/>
          <w:lang w:eastAsia="zh-CN"/>
        </w:rPr>
        <w:t>，</w:t>
      </w:r>
      <w:r>
        <w:rPr>
          <w:rFonts w:hint="eastAsia"/>
          <w:lang w:val="en-US" w:eastAsia="zh-CN"/>
        </w:rPr>
        <w:t>饮用水源</w:t>
      </w:r>
      <w:r>
        <w:rPr>
          <w:rFonts w:hint="eastAsia"/>
        </w:rPr>
        <w:t>保护区</w:t>
      </w:r>
      <w:r>
        <w:rPr>
          <w:rFonts w:hint="eastAsia"/>
          <w:spacing w:val="-4"/>
          <w:u w:val="none"/>
        </w:rPr>
        <w:t>未受到污染影响</w:t>
      </w:r>
      <w:r>
        <w:rPr>
          <w:rFonts w:hint="eastAsia"/>
          <w:u w:val="none"/>
        </w:rPr>
        <w:t>。</w:t>
      </w:r>
    </w:p>
    <w:p>
      <w:pPr>
        <w:tabs>
          <w:tab w:val="clear" w:pos="480"/>
        </w:tabs>
        <w:adjustRightInd w:val="0"/>
        <w:snapToGrid w:val="0"/>
        <w:ind w:firstLine="480"/>
        <w:rPr>
          <w:u w:val="none"/>
        </w:rPr>
      </w:pPr>
      <w:r>
        <w:rPr>
          <w:rFonts w:hint="eastAsia"/>
          <w:u w:val="none"/>
        </w:rPr>
        <w:t>（2）风险防范措施</w:t>
      </w:r>
    </w:p>
    <w:p>
      <w:pPr>
        <w:tabs>
          <w:tab w:val="clear" w:pos="480"/>
        </w:tabs>
        <w:adjustRightInd w:val="0"/>
        <w:snapToGrid w:val="0"/>
        <w:ind w:firstLine="480"/>
        <w:rPr>
          <w:spacing w:val="-4"/>
          <w:u w:val="none"/>
        </w:rPr>
      </w:pPr>
      <w:r>
        <w:rPr>
          <w:rFonts w:hint="eastAsia"/>
          <w:u w:val="none"/>
        </w:rPr>
        <w:t>为了防止项目营运期对饮用水水源保护区的影响，本报告</w:t>
      </w:r>
      <w:r>
        <w:rPr>
          <w:rFonts w:hint="eastAsia"/>
          <w:spacing w:val="-4"/>
          <w:u w:val="none"/>
        </w:rPr>
        <w:t>提出如下措施建议：</w:t>
      </w:r>
    </w:p>
    <w:p>
      <w:pPr>
        <w:tabs>
          <w:tab w:val="clear" w:pos="480"/>
        </w:tabs>
        <w:adjustRightInd w:val="0"/>
        <w:snapToGrid w:val="0"/>
        <w:ind w:firstLine="472"/>
        <w:rPr>
          <w:spacing w:val="-4"/>
          <w:u w:val="none"/>
        </w:rPr>
      </w:pPr>
      <w:r>
        <w:rPr>
          <w:rFonts w:hint="eastAsia"/>
          <w:spacing w:val="-4"/>
          <w:u w:val="none"/>
        </w:rPr>
        <w:t>①</w:t>
      </w:r>
      <w:r>
        <w:rPr>
          <w:spacing w:val="-4"/>
          <w:u w:val="none"/>
        </w:rPr>
        <w:t>对于裸露地表需及时用</w:t>
      </w:r>
      <w:r>
        <w:rPr>
          <w:rFonts w:hint="eastAsia"/>
          <w:spacing w:val="-4"/>
          <w:u w:val="none"/>
        </w:rPr>
        <w:t>薄膜</w:t>
      </w:r>
      <w:r>
        <w:rPr>
          <w:spacing w:val="-4"/>
          <w:u w:val="none"/>
        </w:rPr>
        <w:t>进行覆盖，及时</w:t>
      </w:r>
      <w:r>
        <w:rPr>
          <w:rFonts w:hint="eastAsia"/>
          <w:spacing w:val="-4"/>
          <w:u w:val="none"/>
        </w:rPr>
        <w:t>进行植被恢复（撒播草籽、种植树木、挂网种植等）</w:t>
      </w:r>
      <w:r>
        <w:rPr>
          <w:spacing w:val="-4"/>
          <w:u w:val="none"/>
        </w:rPr>
        <w:t>，以恢复其原有的水土保持功能</w:t>
      </w:r>
      <w:r>
        <w:rPr>
          <w:rFonts w:hint="eastAsia"/>
          <w:spacing w:val="-4"/>
          <w:u w:val="none"/>
        </w:rPr>
        <w:t>；</w:t>
      </w:r>
    </w:p>
    <w:p>
      <w:pPr>
        <w:tabs>
          <w:tab w:val="clear" w:pos="480"/>
        </w:tabs>
        <w:adjustRightInd w:val="0"/>
        <w:snapToGrid w:val="0"/>
        <w:ind w:firstLine="472"/>
        <w:rPr>
          <w:spacing w:val="-4"/>
          <w:u w:val="none"/>
        </w:rPr>
      </w:pPr>
      <w:r>
        <w:rPr>
          <w:rFonts w:hint="eastAsia"/>
          <w:spacing w:val="-4"/>
          <w:u w:val="none"/>
        </w:rPr>
        <w:t>②在</w:t>
      </w:r>
      <w:r>
        <w:rPr>
          <w:rFonts w:hint="eastAsia"/>
          <w:spacing w:val="-4"/>
          <w:u w:val="none"/>
          <w:lang w:val="en-US" w:eastAsia="zh-CN"/>
        </w:rPr>
        <w:t>进场道路邻近</w:t>
      </w:r>
      <w:r>
        <w:rPr>
          <w:rFonts w:hint="eastAsia" w:ascii="Times New Roman" w:hAnsi="Times New Roman" w:eastAsia="宋体" w:cs="Times New Roman"/>
          <w:lang w:val="en-US" w:eastAsia="zh-CN"/>
        </w:rPr>
        <w:t>两江口水库</w:t>
      </w:r>
      <w:r>
        <w:rPr>
          <w:rFonts w:hint="eastAsia"/>
          <w:spacing w:val="-4"/>
          <w:u w:val="none"/>
        </w:rPr>
        <w:t>饮用水源保护区</w:t>
      </w:r>
      <w:r>
        <w:rPr>
          <w:rFonts w:hint="eastAsia"/>
          <w:spacing w:val="-4"/>
          <w:u w:val="none"/>
          <w:lang w:eastAsia="zh-CN"/>
        </w:rPr>
        <w:t>的</w:t>
      </w:r>
      <w:r>
        <w:rPr>
          <w:rFonts w:hint="eastAsia"/>
          <w:spacing w:val="-4"/>
          <w:u w:val="none"/>
          <w:lang w:val="en-US" w:eastAsia="zh-CN"/>
        </w:rPr>
        <w:t>一侧</w:t>
      </w:r>
      <w:r>
        <w:rPr>
          <w:rFonts w:hint="eastAsia"/>
          <w:spacing w:val="-4"/>
          <w:u w:val="none"/>
        </w:rPr>
        <w:t>设置防撞护栏</w:t>
      </w:r>
      <w:r>
        <w:rPr>
          <w:rFonts w:hint="eastAsia"/>
          <w:spacing w:val="-4"/>
          <w:u w:val="none"/>
          <w:lang w:eastAsia="zh-CN"/>
        </w:rPr>
        <w:t>，在</w:t>
      </w:r>
      <w:r>
        <w:rPr>
          <w:rFonts w:hint="eastAsia" w:ascii="Times New Roman" w:hAnsi="Times New Roman" w:eastAsia="宋体" w:cs="Times New Roman"/>
          <w:lang w:val="en-US" w:eastAsia="zh-CN"/>
        </w:rPr>
        <w:t>12、13号风机之间场内道路</w:t>
      </w:r>
      <w:r>
        <w:rPr>
          <w:rFonts w:hint="eastAsia" w:cs="Times New Roman"/>
          <w:lang w:val="en-US" w:eastAsia="zh-CN"/>
        </w:rPr>
        <w:t>邻近</w:t>
      </w:r>
      <w:r>
        <w:rPr>
          <w:rFonts w:hint="default" w:ascii="Times New Roman" w:hAnsi="Times New Roman" w:eastAsia="宋体" w:cs="Times New Roman"/>
          <w:lang w:val="en-US" w:eastAsia="zh-CN"/>
        </w:rPr>
        <w:t>岭脚村山溪水饮用水水源保护区</w:t>
      </w:r>
      <w:r>
        <w:rPr>
          <w:rFonts w:hint="eastAsia"/>
          <w:spacing w:val="-4"/>
          <w:u w:val="none"/>
        </w:rPr>
        <w:t>的</w:t>
      </w:r>
      <w:r>
        <w:rPr>
          <w:rFonts w:hint="eastAsia"/>
          <w:spacing w:val="-4"/>
          <w:u w:val="none"/>
          <w:lang w:val="en-US" w:eastAsia="zh-CN"/>
        </w:rPr>
        <w:t>一侧</w:t>
      </w:r>
      <w:r>
        <w:rPr>
          <w:rFonts w:hint="eastAsia"/>
          <w:spacing w:val="-4"/>
          <w:u w:val="none"/>
        </w:rPr>
        <w:t>设置防撞护栏，防止事故状况下车辆侧翻入水源保护区；设置饮用水源保护区标识标牌。</w:t>
      </w:r>
    </w:p>
    <w:p>
      <w:pPr>
        <w:tabs>
          <w:tab w:val="clear" w:pos="480"/>
        </w:tabs>
        <w:adjustRightInd w:val="0"/>
        <w:snapToGrid w:val="0"/>
        <w:ind w:firstLine="472"/>
        <w:rPr>
          <w:spacing w:val="-4"/>
          <w:u w:val="none"/>
        </w:rPr>
      </w:pPr>
      <w:r>
        <w:rPr>
          <w:rFonts w:hint="eastAsia"/>
          <w:spacing w:val="-4"/>
          <w:u w:val="none"/>
        </w:rPr>
        <w:t>③制定突发环境事件应急预案，应急预案中明确指出发生风险事故情况下的应急措施；</w:t>
      </w:r>
    </w:p>
    <w:p>
      <w:pPr>
        <w:tabs>
          <w:tab w:val="clear" w:pos="480"/>
        </w:tabs>
        <w:adjustRightInd w:val="0"/>
        <w:snapToGrid w:val="0"/>
        <w:ind w:firstLine="472"/>
        <w:rPr>
          <w:spacing w:val="-4"/>
          <w:u w:val="single"/>
        </w:rPr>
      </w:pPr>
      <w:r>
        <w:rPr>
          <w:rFonts w:hint="eastAsia"/>
          <w:spacing w:val="-4"/>
          <w:u w:val="none"/>
        </w:rPr>
        <w:t>在采取上述措施的情况下，本项目对饮用水水源保护区造成影响的概率较小。</w:t>
      </w:r>
    </w:p>
    <w:p>
      <w:pPr>
        <w:pStyle w:val="5"/>
        <w:keepNext/>
        <w:keepLines/>
        <w:pageBreakBefore w:val="0"/>
        <w:widowControl w:val="0"/>
        <w:kinsoku/>
        <w:wordWrap/>
        <w:overflowPunct/>
        <w:topLinePunct w:val="0"/>
        <w:autoSpaceDE/>
        <w:autoSpaceDN/>
        <w:bidi w:val="0"/>
        <w:adjustRightInd/>
        <w:snapToGrid w:val="0"/>
        <w:spacing w:before="0" w:after="0"/>
        <w:textAlignment w:val="auto"/>
        <w:outlineLvl w:val="3"/>
        <w:rPr>
          <w:rFonts w:hint="eastAsia" w:ascii="宋体" w:hAnsi="宋体" w:eastAsia="宋体" w:cs="宋体"/>
          <w:u w:val="none" w:color="auto"/>
          <w:lang w:val="en-US"/>
        </w:rPr>
      </w:pPr>
      <w:r>
        <w:rPr>
          <w:rFonts w:hint="eastAsia" w:ascii="宋体" w:hAnsi="宋体" w:eastAsia="宋体" w:cs="宋体"/>
          <w:u w:val="none" w:color="auto"/>
          <w:lang w:val="en-US"/>
        </w:rPr>
        <w:t>施工期环境风险分析及风险防范措施</w:t>
      </w:r>
    </w:p>
    <w:p>
      <w:pPr>
        <w:adjustRightInd w:val="0"/>
        <w:snapToGrid w:val="0"/>
        <w:ind w:firstLine="480"/>
      </w:pPr>
      <w:r>
        <w:rPr>
          <w:rFonts w:hint="eastAsia"/>
        </w:rPr>
        <w:t>（1）火灾风险分析</w:t>
      </w:r>
    </w:p>
    <w:p>
      <w:pPr>
        <w:adjustRightInd w:val="0"/>
        <w:snapToGrid w:val="0"/>
        <w:ind w:firstLine="480"/>
      </w:pPr>
      <w:r>
        <w:rPr>
          <w:rFonts w:hint="eastAsia"/>
        </w:rPr>
        <w:t>施工阶段由于进山施工物资及人员增多，使得人为导致火灾的风险增大，森林火灾是危害森林的大敌，一场火灾在旦夕之间就能把大片森林化为灰烬。由于森林被毁，林地失去覆盖，引起水土流失，殃及水利和农业。且火灾次生</w:t>
      </w:r>
      <w:r>
        <w:t>CO</w:t>
      </w:r>
      <w:r>
        <w:rPr>
          <w:rFonts w:hint="eastAsia"/>
        </w:rPr>
        <w:t>、烟尘及消防废水，对大气环境及地表水体产生污染影响。</w:t>
      </w:r>
    </w:p>
    <w:p>
      <w:pPr>
        <w:adjustRightInd w:val="0"/>
        <w:snapToGrid w:val="0"/>
        <w:ind w:firstLine="480"/>
      </w:pPr>
      <w:r>
        <w:rPr>
          <w:rFonts w:hint="eastAsia"/>
        </w:rPr>
        <w:t>森林火灾是森林资源毁灭性的灾害。引起森林火灾有三个因素：可燃物、氧气和火源。而造成森林火灾的重要原因是火源。发生森林火灾的火源一般有自然火源与人为火源两类，其中主要是人为火源。据统计，因人为火源引起的森林火灾占99%，因此，在施工过程中必须认真贯彻“预防为主、积极消灭”的防火方针，从预防和控制山区林地防火能力入手，防患于未然：①加强防火宣传，设置护林防火宣传牌，提高施工人员的防火意识。②加强组织领导，建立健全防火组织机构。③营造生物防火隔离带，构建防火通道、防火通信网络，配备相应数量的灭火器材。</w:t>
      </w:r>
    </w:p>
    <w:p>
      <w:pPr>
        <w:pStyle w:val="4"/>
        <w:tabs>
          <w:tab w:val="clear" w:pos="480"/>
          <w:tab w:val="clear" w:pos="840"/>
        </w:tabs>
        <w:adjustRightInd w:val="0"/>
        <w:snapToGrid w:val="0"/>
        <w:spacing w:before="0" w:after="0" w:line="360" w:lineRule="auto"/>
        <w:rPr>
          <w:rFonts w:hint="eastAsia" w:ascii="Times New Roman" w:eastAsia="宋体"/>
          <w:sz w:val="28"/>
          <w:szCs w:val="28"/>
          <w:lang w:val="en-US"/>
        </w:rPr>
      </w:pPr>
      <w:bookmarkStart w:id="149" w:name="_Toc181802679"/>
      <w:bookmarkStart w:id="150" w:name="_Toc116978009"/>
      <w:r>
        <w:rPr>
          <w:rFonts w:hint="eastAsia" w:ascii="Times New Roman" w:eastAsia="宋体"/>
          <w:sz w:val="28"/>
          <w:szCs w:val="28"/>
          <w:lang w:val="en-US"/>
        </w:rPr>
        <w:t>突发环境事件应急预案</w:t>
      </w:r>
      <w:bookmarkEnd w:id="149"/>
      <w:bookmarkEnd w:id="150"/>
    </w:p>
    <w:p>
      <w:pPr>
        <w:tabs>
          <w:tab w:val="clear" w:pos="480"/>
        </w:tabs>
        <w:adjustRightInd w:val="0"/>
        <w:snapToGrid w:val="0"/>
        <w:ind w:firstLine="480"/>
      </w:pPr>
      <w:r>
        <w:t>本工程可能发生的环境风险事故为</w:t>
      </w:r>
      <w:r>
        <w:rPr>
          <w:rFonts w:hint="eastAsia"/>
        </w:rPr>
        <w:t>：</w:t>
      </w:r>
      <w:r>
        <w:t>主变压器事故排油泄漏事故以及风机维修与运行期润滑油的滴漏跑冒，油品、危废运输在进场或场内道路发生泄漏。根据《建设项目环境风险评价技术导则》（HJ169-2018）和《突发环境事件应急管理办法》中应急预案要求，本项目应急预案内容具体见</w:t>
      </w:r>
      <w:r>
        <w:rPr>
          <w:rFonts w:hint="eastAsia"/>
        </w:rPr>
        <w:t>下表</w:t>
      </w:r>
      <w:r>
        <w:t>。</w:t>
      </w:r>
    </w:p>
    <w:p>
      <w:pPr>
        <w:pStyle w:val="3590"/>
        <w:bidi w:val="0"/>
        <w:rPr>
          <w:b/>
          <w:bCs/>
          <w:sz w:val="21"/>
          <w:szCs w:val="21"/>
        </w:rPr>
      </w:pPr>
      <w:r>
        <w:rPr>
          <w:b/>
          <w:bCs/>
          <w:sz w:val="21"/>
          <w:szCs w:val="21"/>
        </w:rPr>
        <w:t>环境</w:t>
      </w:r>
      <w:r>
        <w:rPr>
          <w:rFonts w:hint="eastAsia" w:ascii="Times New Roman" w:hAnsi="Times New Roman" w:eastAsia="宋体" w:cs="Times New Roman"/>
          <w:u w:val="none" w:color="auto"/>
          <w:lang w:val="en-US" w:eastAsia="zh-CN"/>
        </w:rPr>
        <w:t>污染</w:t>
      </w:r>
      <w:r>
        <w:rPr>
          <w:b/>
          <w:bCs/>
          <w:sz w:val="21"/>
          <w:szCs w:val="21"/>
        </w:rPr>
        <w:t>应急预案内容</w:t>
      </w:r>
    </w:p>
    <w:tbl>
      <w:tblPr>
        <w:tblStyle w:val="36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90"/>
        <w:gridCol w:w="2475"/>
        <w:gridCol w:w="58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4"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序号</w:t>
            </w:r>
          </w:p>
        </w:tc>
        <w:tc>
          <w:tcPr>
            <w:tcW w:w="1360"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项目</w:t>
            </w:r>
          </w:p>
        </w:tc>
        <w:tc>
          <w:tcPr>
            <w:tcW w:w="3206"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内容及要求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4"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1</w:t>
            </w:r>
          </w:p>
        </w:tc>
        <w:tc>
          <w:tcPr>
            <w:tcW w:w="1360"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应急计划区</w:t>
            </w:r>
          </w:p>
        </w:tc>
        <w:tc>
          <w:tcPr>
            <w:tcW w:w="3206"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lang w:eastAsia="zh-CN"/>
              </w:rPr>
            </w:pPr>
            <w:r>
              <w:rPr>
                <w:rFonts w:ascii="Times New Roman" w:hAnsi="Times New Roman"/>
                <w:position w:val="2"/>
                <w:sz w:val="21"/>
                <w:szCs w:val="21"/>
                <w:lang w:eastAsia="zh-CN"/>
              </w:rPr>
              <w:t>危险目标：</w:t>
            </w:r>
            <w:r>
              <w:rPr>
                <w:rFonts w:hint="eastAsia" w:ascii="Times New Roman" w:hAnsi="Times New Roman"/>
                <w:position w:val="2"/>
                <w:sz w:val="21"/>
                <w:szCs w:val="21"/>
                <w:lang w:val="en-US" w:eastAsia="zh-CN"/>
              </w:rPr>
              <w:t>汇集</w:t>
            </w:r>
            <w:r>
              <w:rPr>
                <w:rFonts w:hint="eastAsia" w:ascii="Times New Roman" w:hAnsi="Times New Roman"/>
                <w:position w:val="2"/>
                <w:sz w:val="21"/>
                <w:szCs w:val="21"/>
                <w:lang w:eastAsia="zh-CN"/>
              </w:rPr>
              <w:t>站</w:t>
            </w:r>
            <w:r>
              <w:rPr>
                <w:rFonts w:ascii="Times New Roman" w:hAnsi="Times New Roman"/>
                <w:position w:val="2"/>
                <w:sz w:val="21"/>
                <w:szCs w:val="21"/>
                <w:lang w:eastAsia="zh-CN"/>
              </w:rPr>
              <w:t>内事故排油池及风</w:t>
            </w:r>
            <w:r>
              <w:rPr>
                <w:rFonts w:ascii="Times New Roman" w:hAnsi="Times New Roman"/>
                <w:sz w:val="21"/>
                <w:szCs w:val="21"/>
                <w:lang w:eastAsia="zh-CN"/>
              </w:rPr>
              <w:t>机设备润滑油所在部位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4"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2</w:t>
            </w:r>
          </w:p>
        </w:tc>
        <w:tc>
          <w:tcPr>
            <w:tcW w:w="1360"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应急组织机构、人员</w:t>
            </w:r>
          </w:p>
        </w:tc>
        <w:tc>
          <w:tcPr>
            <w:tcW w:w="3206"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lang w:eastAsia="zh-CN"/>
              </w:rPr>
            </w:pPr>
            <w:r>
              <w:rPr>
                <w:rFonts w:hint="eastAsia" w:ascii="Times New Roman" w:hAnsi="Times New Roman"/>
                <w:position w:val="2"/>
                <w:sz w:val="21"/>
                <w:szCs w:val="21"/>
                <w:lang w:val="en-US" w:eastAsia="zh-CN"/>
              </w:rPr>
              <w:t>汇集</w:t>
            </w:r>
            <w:r>
              <w:rPr>
                <w:rFonts w:ascii="Times New Roman" w:hAnsi="Times New Roman"/>
                <w:sz w:val="21"/>
                <w:szCs w:val="21"/>
                <w:lang w:eastAsia="zh-CN"/>
              </w:rPr>
              <w:t>站内运行维护人员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4"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3</w:t>
            </w:r>
          </w:p>
        </w:tc>
        <w:tc>
          <w:tcPr>
            <w:tcW w:w="1360"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预案分级响应条件</w:t>
            </w:r>
          </w:p>
        </w:tc>
        <w:tc>
          <w:tcPr>
            <w:tcW w:w="3206"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规定预案的级别及分级响应程序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4"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4</w:t>
            </w:r>
          </w:p>
        </w:tc>
        <w:tc>
          <w:tcPr>
            <w:tcW w:w="1360"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应急救援保障</w:t>
            </w:r>
          </w:p>
        </w:tc>
        <w:tc>
          <w:tcPr>
            <w:tcW w:w="3206"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应急设施，设备与器材等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4"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5</w:t>
            </w:r>
          </w:p>
        </w:tc>
        <w:tc>
          <w:tcPr>
            <w:tcW w:w="1360"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报警、通讯联络方式</w:t>
            </w:r>
          </w:p>
        </w:tc>
        <w:tc>
          <w:tcPr>
            <w:tcW w:w="3206"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规定应急状态下的报警通讯方式、通知方式和交通保障、管制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4"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6</w:t>
            </w:r>
          </w:p>
        </w:tc>
        <w:tc>
          <w:tcPr>
            <w:tcW w:w="1360"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应急环境监测</w:t>
            </w:r>
          </w:p>
        </w:tc>
        <w:tc>
          <w:tcPr>
            <w:tcW w:w="3206"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由专业队伍负责对事故现场进行侦察监测，对事故性质、参数与后果进行评估，为指挥部门提供决策依据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4"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7</w:t>
            </w:r>
          </w:p>
        </w:tc>
        <w:tc>
          <w:tcPr>
            <w:tcW w:w="1360"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应急防护措施、清除泄漏措施和器材</w:t>
            </w:r>
          </w:p>
        </w:tc>
        <w:tc>
          <w:tcPr>
            <w:tcW w:w="3206"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严格规定事故现场、邻近区域、控制防火区域设置控制和清除污染措施及相应设备的数量、使用方法、使用人员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4"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8</w:t>
            </w:r>
          </w:p>
        </w:tc>
        <w:tc>
          <w:tcPr>
            <w:tcW w:w="1360"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人员救助及疏散组织计划</w:t>
            </w:r>
          </w:p>
        </w:tc>
        <w:tc>
          <w:tcPr>
            <w:tcW w:w="3206"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事故现场、受事故影响的区域人员救护与公众健康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4"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9</w:t>
            </w:r>
          </w:p>
        </w:tc>
        <w:tc>
          <w:tcPr>
            <w:tcW w:w="1360"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事故应急救援关闭程序与恢复措施</w:t>
            </w:r>
          </w:p>
        </w:tc>
        <w:tc>
          <w:tcPr>
            <w:tcW w:w="3206"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规定应急状态终止程序；事故现场、受影响范围内的善后处理、恢复措施，邻近区域解除事故警戒及善后恢复措施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4"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10</w:t>
            </w:r>
          </w:p>
        </w:tc>
        <w:tc>
          <w:tcPr>
            <w:tcW w:w="1360"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事故恢复措施</w:t>
            </w:r>
          </w:p>
        </w:tc>
        <w:tc>
          <w:tcPr>
            <w:tcW w:w="3206"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lang w:eastAsia="zh-CN"/>
              </w:rPr>
            </w:pPr>
            <w:r>
              <w:rPr>
                <w:rFonts w:ascii="Times New Roman" w:hAnsi="Times New Roman"/>
                <w:spacing w:val="6"/>
                <w:sz w:val="21"/>
                <w:szCs w:val="21"/>
                <w:lang w:eastAsia="zh-CN"/>
              </w:rPr>
              <w:t>制</w:t>
            </w:r>
            <w:r>
              <w:rPr>
                <w:rFonts w:ascii="Times New Roman" w:hAnsi="Times New Roman"/>
                <w:spacing w:val="4"/>
                <w:sz w:val="21"/>
                <w:szCs w:val="21"/>
                <w:lang w:eastAsia="zh-CN"/>
              </w:rPr>
              <w:t>定有关</w:t>
            </w:r>
            <w:r>
              <w:rPr>
                <w:rFonts w:ascii="Times New Roman" w:hAnsi="Times New Roman"/>
                <w:spacing w:val="6"/>
                <w:sz w:val="21"/>
                <w:szCs w:val="21"/>
                <w:lang w:eastAsia="zh-CN"/>
              </w:rPr>
              <w:t>的</w:t>
            </w:r>
            <w:r>
              <w:rPr>
                <w:rFonts w:ascii="Times New Roman" w:hAnsi="Times New Roman"/>
                <w:spacing w:val="4"/>
                <w:sz w:val="21"/>
                <w:szCs w:val="21"/>
                <w:lang w:eastAsia="zh-CN"/>
              </w:rPr>
              <w:t>环境恢</w:t>
            </w:r>
            <w:r>
              <w:rPr>
                <w:rFonts w:ascii="Times New Roman" w:hAnsi="Times New Roman"/>
                <w:spacing w:val="6"/>
                <w:sz w:val="21"/>
                <w:szCs w:val="21"/>
                <w:lang w:eastAsia="zh-CN"/>
              </w:rPr>
              <w:t>复</w:t>
            </w:r>
            <w:r>
              <w:rPr>
                <w:rFonts w:ascii="Times New Roman" w:hAnsi="Times New Roman"/>
                <w:spacing w:val="4"/>
                <w:sz w:val="21"/>
                <w:szCs w:val="21"/>
                <w:lang w:eastAsia="zh-CN"/>
              </w:rPr>
              <w:t>措施</w:t>
            </w:r>
            <w:r>
              <w:rPr>
                <w:rFonts w:ascii="Times New Roman" w:hAnsi="Times New Roman"/>
                <w:spacing w:val="6"/>
                <w:sz w:val="21"/>
                <w:szCs w:val="21"/>
                <w:lang w:eastAsia="zh-CN"/>
              </w:rPr>
              <w:t>（</w:t>
            </w:r>
            <w:r>
              <w:rPr>
                <w:rFonts w:ascii="Times New Roman" w:hAnsi="Times New Roman"/>
                <w:spacing w:val="4"/>
                <w:sz w:val="21"/>
                <w:szCs w:val="21"/>
                <w:lang w:eastAsia="zh-CN"/>
              </w:rPr>
              <w:t>包括生</w:t>
            </w:r>
            <w:r>
              <w:rPr>
                <w:rFonts w:ascii="Times New Roman" w:hAnsi="Times New Roman"/>
                <w:spacing w:val="6"/>
                <w:sz w:val="21"/>
                <w:szCs w:val="21"/>
                <w:lang w:eastAsia="zh-CN"/>
              </w:rPr>
              <w:t>态</w:t>
            </w:r>
            <w:r>
              <w:rPr>
                <w:rFonts w:ascii="Times New Roman" w:hAnsi="Times New Roman"/>
                <w:spacing w:val="4"/>
                <w:sz w:val="21"/>
                <w:szCs w:val="21"/>
                <w:lang w:eastAsia="zh-CN"/>
              </w:rPr>
              <w:t>环境、</w:t>
            </w:r>
            <w:r>
              <w:rPr>
                <w:rFonts w:ascii="Times New Roman" w:hAnsi="Times New Roman"/>
                <w:spacing w:val="6"/>
                <w:sz w:val="21"/>
                <w:szCs w:val="21"/>
                <w:lang w:eastAsia="zh-CN"/>
              </w:rPr>
              <w:t>土</w:t>
            </w:r>
            <w:r>
              <w:rPr>
                <w:rFonts w:ascii="Times New Roman" w:hAnsi="Times New Roman"/>
                <w:spacing w:val="4"/>
                <w:sz w:val="21"/>
                <w:szCs w:val="21"/>
                <w:lang w:eastAsia="zh-CN"/>
              </w:rPr>
              <w:t>壤、</w:t>
            </w:r>
            <w:r>
              <w:rPr>
                <w:rFonts w:ascii="Times New Roman" w:hAnsi="Times New Roman"/>
                <w:spacing w:val="6"/>
                <w:sz w:val="21"/>
                <w:szCs w:val="21"/>
                <w:lang w:eastAsia="zh-CN"/>
              </w:rPr>
              <w:t>水</w:t>
            </w:r>
            <w:r>
              <w:rPr>
                <w:rFonts w:ascii="Times New Roman" w:hAnsi="Times New Roman"/>
                <w:spacing w:val="4"/>
                <w:sz w:val="21"/>
                <w:szCs w:val="21"/>
                <w:lang w:eastAsia="zh-CN"/>
              </w:rPr>
              <w:t>体等</w:t>
            </w:r>
            <w:r>
              <w:rPr>
                <w:rFonts w:ascii="Times New Roman" w:hAnsi="Times New Roman"/>
                <w:spacing w:val="-99"/>
                <w:sz w:val="21"/>
                <w:szCs w:val="21"/>
                <w:lang w:eastAsia="zh-CN"/>
              </w:rPr>
              <w:t>）</w:t>
            </w:r>
            <w:r>
              <w:rPr>
                <w:rFonts w:ascii="Times New Roman" w:hAnsi="Times New Roman"/>
                <w:sz w:val="21"/>
                <w:szCs w:val="21"/>
                <w:lang w:eastAsia="zh-CN"/>
              </w:rPr>
              <w:t>，</w:t>
            </w:r>
            <w:r>
              <w:rPr>
                <w:rFonts w:ascii="Times New Roman" w:hAnsi="Times New Roman"/>
                <w:spacing w:val="2"/>
                <w:sz w:val="21"/>
                <w:szCs w:val="21"/>
                <w:lang w:eastAsia="zh-CN"/>
              </w:rPr>
              <w:t>组织</w:t>
            </w:r>
            <w:r>
              <w:rPr>
                <w:rFonts w:ascii="Times New Roman" w:hAnsi="Times New Roman"/>
                <w:sz w:val="21"/>
                <w:szCs w:val="21"/>
                <w:lang w:eastAsia="zh-CN"/>
              </w:rPr>
              <w:t>专</w:t>
            </w:r>
            <w:r>
              <w:rPr>
                <w:rFonts w:ascii="Times New Roman" w:hAnsi="Times New Roman"/>
                <w:spacing w:val="2"/>
                <w:sz w:val="21"/>
                <w:szCs w:val="21"/>
                <w:lang w:eastAsia="zh-CN"/>
              </w:rPr>
              <w:t>业</w:t>
            </w:r>
            <w:r>
              <w:rPr>
                <w:rFonts w:ascii="Times New Roman" w:hAnsi="Times New Roman"/>
                <w:sz w:val="21"/>
                <w:szCs w:val="21"/>
                <w:lang w:eastAsia="zh-CN"/>
              </w:rPr>
              <w:t>人</w:t>
            </w:r>
            <w:r>
              <w:rPr>
                <w:rFonts w:ascii="Times New Roman" w:hAnsi="Times New Roman"/>
                <w:spacing w:val="2"/>
                <w:sz w:val="21"/>
                <w:szCs w:val="21"/>
                <w:lang w:eastAsia="zh-CN"/>
              </w:rPr>
              <w:t>员对</w:t>
            </w:r>
            <w:r>
              <w:rPr>
                <w:rFonts w:ascii="Times New Roman" w:hAnsi="Times New Roman"/>
                <w:sz w:val="21"/>
                <w:szCs w:val="21"/>
                <w:lang w:eastAsia="zh-CN"/>
              </w:rPr>
              <w:t>事</w:t>
            </w:r>
            <w:r>
              <w:rPr>
                <w:rFonts w:ascii="Times New Roman" w:hAnsi="Times New Roman"/>
                <w:spacing w:val="2"/>
                <w:sz w:val="21"/>
                <w:szCs w:val="21"/>
                <w:lang w:eastAsia="zh-CN"/>
              </w:rPr>
              <w:t>故</w:t>
            </w:r>
            <w:r>
              <w:rPr>
                <w:rFonts w:ascii="Times New Roman" w:hAnsi="Times New Roman"/>
                <w:sz w:val="21"/>
                <w:szCs w:val="21"/>
                <w:lang w:eastAsia="zh-CN"/>
              </w:rPr>
              <w:t>后的</w:t>
            </w:r>
            <w:r>
              <w:rPr>
                <w:rFonts w:ascii="Times New Roman" w:hAnsi="Times New Roman"/>
                <w:spacing w:val="2"/>
                <w:sz w:val="21"/>
                <w:szCs w:val="21"/>
                <w:lang w:eastAsia="zh-CN"/>
              </w:rPr>
              <w:t>环境</w:t>
            </w:r>
            <w:r>
              <w:rPr>
                <w:rFonts w:ascii="Times New Roman" w:hAnsi="Times New Roman"/>
                <w:sz w:val="21"/>
                <w:szCs w:val="21"/>
                <w:lang w:eastAsia="zh-CN"/>
              </w:rPr>
              <w:t>变</w:t>
            </w:r>
            <w:r>
              <w:rPr>
                <w:rFonts w:ascii="Times New Roman" w:hAnsi="Times New Roman"/>
                <w:spacing w:val="2"/>
                <w:sz w:val="21"/>
                <w:szCs w:val="21"/>
                <w:lang w:eastAsia="zh-CN"/>
              </w:rPr>
              <w:t>化</w:t>
            </w:r>
            <w:r>
              <w:rPr>
                <w:rFonts w:ascii="Times New Roman" w:hAnsi="Times New Roman"/>
                <w:sz w:val="21"/>
                <w:szCs w:val="21"/>
                <w:lang w:eastAsia="zh-CN"/>
              </w:rPr>
              <w:t>进</w:t>
            </w:r>
            <w:r>
              <w:rPr>
                <w:rFonts w:ascii="Times New Roman" w:hAnsi="Times New Roman"/>
                <w:spacing w:val="2"/>
                <w:sz w:val="21"/>
                <w:szCs w:val="21"/>
                <w:lang w:eastAsia="zh-CN"/>
              </w:rPr>
              <w:t>行监</w:t>
            </w:r>
            <w:r>
              <w:rPr>
                <w:rFonts w:ascii="Times New Roman" w:hAnsi="Times New Roman"/>
                <w:sz w:val="21"/>
                <w:szCs w:val="21"/>
                <w:lang w:eastAsia="zh-CN"/>
              </w:rPr>
              <w:t>测</w:t>
            </w:r>
            <w:r>
              <w:rPr>
                <w:rFonts w:ascii="Times New Roman" w:hAnsi="Times New Roman"/>
                <w:spacing w:val="2"/>
                <w:sz w:val="21"/>
                <w:szCs w:val="21"/>
                <w:lang w:eastAsia="zh-CN"/>
              </w:rPr>
              <w:t>，</w:t>
            </w:r>
            <w:r>
              <w:rPr>
                <w:rFonts w:ascii="Times New Roman" w:hAnsi="Times New Roman"/>
                <w:sz w:val="21"/>
                <w:szCs w:val="21"/>
                <w:lang w:eastAsia="zh-CN"/>
              </w:rPr>
              <w:t>对事</w:t>
            </w:r>
            <w:r>
              <w:rPr>
                <w:rFonts w:ascii="Times New Roman" w:hAnsi="Times New Roman"/>
                <w:spacing w:val="2"/>
                <w:sz w:val="21"/>
                <w:szCs w:val="21"/>
                <w:lang w:eastAsia="zh-CN"/>
              </w:rPr>
              <w:t>故应</w:t>
            </w:r>
            <w:r>
              <w:rPr>
                <w:rFonts w:ascii="Times New Roman" w:hAnsi="Times New Roman"/>
                <w:sz w:val="21"/>
                <w:szCs w:val="21"/>
                <w:lang w:eastAsia="zh-CN"/>
              </w:rPr>
              <w:t>急</w:t>
            </w:r>
            <w:r>
              <w:rPr>
                <w:rFonts w:ascii="Times New Roman" w:hAnsi="Times New Roman"/>
                <w:spacing w:val="2"/>
                <w:sz w:val="21"/>
                <w:szCs w:val="21"/>
                <w:lang w:eastAsia="zh-CN"/>
              </w:rPr>
              <w:t>措</w:t>
            </w:r>
            <w:r>
              <w:rPr>
                <w:rFonts w:ascii="Times New Roman" w:hAnsi="Times New Roman"/>
                <w:sz w:val="21"/>
                <w:szCs w:val="21"/>
                <w:lang w:eastAsia="zh-CN"/>
              </w:rPr>
              <w:t>施的环</w:t>
            </w:r>
            <w:r>
              <w:rPr>
                <w:rFonts w:ascii="Times New Roman" w:hAnsi="Times New Roman"/>
                <w:spacing w:val="-3"/>
                <w:sz w:val="21"/>
                <w:szCs w:val="21"/>
                <w:lang w:eastAsia="zh-CN"/>
              </w:rPr>
              <w:t>境</w:t>
            </w:r>
            <w:r>
              <w:rPr>
                <w:rFonts w:ascii="Times New Roman" w:hAnsi="Times New Roman"/>
                <w:sz w:val="21"/>
                <w:szCs w:val="21"/>
                <w:lang w:eastAsia="zh-CN"/>
              </w:rPr>
              <w:t>可</w:t>
            </w:r>
            <w:r>
              <w:rPr>
                <w:rFonts w:ascii="Times New Roman" w:hAnsi="Times New Roman"/>
                <w:spacing w:val="-3"/>
                <w:sz w:val="21"/>
                <w:szCs w:val="21"/>
                <w:lang w:eastAsia="zh-CN"/>
              </w:rPr>
              <w:t>行</w:t>
            </w:r>
            <w:r>
              <w:rPr>
                <w:rFonts w:ascii="Times New Roman" w:hAnsi="Times New Roman"/>
                <w:sz w:val="21"/>
                <w:szCs w:val="21"/>
                <w:lang w:eastAsia="zh-CN"/>
              </w:rPr>
              <w:t>性</w:t>
            </w:r>
            <w:r>
              <w:rPr>
                <w:rFonts w:ascii="Times New Roman" w:hAnsi="Times New Roman"/>
                <w:spacing w:val="-3"/>
                <w:sz w:val="21"/>
                <w:szCs w:val="21"/>
                <w:lang w:eastAsia="zh-CN"/>
              </w:rPr>
              <w:t>进</w:t>
            </w:r>
            <w:r>
              <w:rPr>
                <w:rFonts w:ascii="Times New Roman" w:hAnsi="Times New Roman"/>
                <w:sz w:val="21"/>
                <w:szCs w:val="21"/>
                <w:lang w:eastAsia="zh-CN"/>
              </w:rPr>
              <w:t>行</w:t>
            </w:r>
            <w:r>
              <w:rPr>
                <w:rFonts w:ascii="Times New Roman" w:hAnsi="Times New Roman"/>
                <w:spacing w:val="-3"/>
                <w:sz w:val="21"/>
                <w:szCs w:val="21"/>
                <w:lang w:eastAsia="zh-CN"/>
              </w:rPr>
              <w:t>后</w:t>
            </w:r>
            <w:r>
              <w:rPr>
                <w:rFonts w:ascii="Times New Roman" w:hAnsi="Times New Roman"/>
                <w:sz w:val="21"/>
                <w:szCs w:val="21"/>
                <w:lang w:eastAsia="zh-CN"/>
              </w:rPr>
              <w:t>影</w:t>
            </w:r>
            <w:r>
              <w:rPr>
                <w:rFonts w:ascii="Times New Roman" w:hAnsi="Times New Roman"/>
                <w:spacing w:val="-3"/>
                <w:sz w:val="21"/>
                <w:szCs w:val="21"/>
                <w:lang w:eastAsia="zh-CN"/>
              </w:rPr>
              <w:t>响</w:t>
            </w:r>
            <w:r>
              <w:rPr>
                <w:rFonts w:ascii="Times New Roman" w:hAnsi="Times New Roman"/>
                <w:sz w:val="21"/>
                <w:szCs w:val="21"/>
                <w:lang w:eastAsia="zh-CN"/>
              </w:rPr>
              <w:t>评价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34"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11</w:t>
            </w:r>
          </w:p>
        </w:tc>
        <w:tc>
          <w:tcPr>
            <w:tcW w:w="1360"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rPr>
            </w:pPr>
            <w:r>
              <w:rPr>
                <w:rFonts w:ascii="Times New Roman" w:hAnsi="Times New Roman"/>
                <w:sz w:val="21"/>
                <w:szCs w:val="21"/>
              </w:rPr>
              <w:t>应急培训及巡视计划</w:t>
            </w:r>
          </w:p>
        </w:tc>
        <w:tc>
          <w:tcPr>
            <w:tcW w:w="3206" w:type="pct"/>
            <w:tcBorders>
              <w:tl2br w:val="nil"/>
              <w:tr2bl w:val="nil"/>
            </w:tcBorders>
            <w:vAlign w:val="center"/>
          </w:tcPr>
          <w:p>
            <w:pPr>
              <w:pStyle w:val="3329"/>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应急计划制定后，定期安排有关人员进行培训与演练，定期安排人员对风险源进行巡视</w:t>
            </w:r>
          </w:p>
        </w:tc>
      </w:tr>
    </w:tbl>
    <w:p>
      <w:pPr>
        <w:pStyle w:val="4"/>
        <w:tabs>
          <w:tab w:val="clear" w:pos="480"/>
          <w:tab w:val="clear" w:pos="840"/>
        </w:tabs>
        <w:adjustRightInd w:val="0"/>
        <w:snapToGrid w:val="0"/>
        <w:spacing w:before="0" w:after="0" w:line="360" w:lineRule="auto"/>
        <w:rPr>
          <w:rFonts w:hint="eastAsia" w:ascii="Times New Roman" w:eastAsia="宋体"/>
          <w:sz w:val="28"/>
          <w:szCs w:val="28"/>
          <w:lang w:val="en-US"/>
        </w:rPr>
      </w:pPr>
      <w:bookmarkStart w:id="151" w:name="_Toc116978010"/>
      <w:bookmarkStart w:id="152" w:name="_Toc181802680"/>
      <w:r>
        <w:rPr>
          <w:rFonts w:hint="eastAsia" w:ascii="Times New Roman" w:eastAsia="宋体"/>
          <w:sz w:val="28"/>
          <w:szCs w:val="28"/>
          <w:lang w:val="en-US"/>
        </w:rPr>
        <w:t>小结</w:t>
      </w:r>
      <w:bookmarkEnd w:id="151"/>
      <w:bookmarkEnd w:id="152"/>
    </w:p>
    <w:p>
      <w:pPr>
        <w:tabs>
          <w:tab w:val="clear" w:pos="480"/>
        </w:tabs>
        <w:adjustRightInd w:val="0"/>
        <w:snapToGrid w:val="0"/>
        <w:ind w:firstLine="480"/>
      </w:pPr>
      <w:r>
        <w:t>本项目评价重点为预测和防护事故引起的对</w:t>
      </w:r>
      <w:r>
        <w:rPr>
          <w:rFonts w:hint="eastAsia"/>
        </w:rPr>
        <w:t>场</w:t>
      </w:r>
      <w:r>
        <w:t>界外人群的伤害和环境质量的恶化影响。根据《危险化学品重大危险源辨识》（GB18218-2009），项目无重大危险源。经分析，本项目可能发生的环境风险事故为：变压器事故排油泄漏事故以及风机维修与运行期润滑油的滴漏跑冒，可能会对周围环境产生影响。</w:t>
      </w:r>
    </w:p>
    <w:p>
      <w:pPr>
        <w:tabs>
          <w:tab w:val="clear" w:pos="480"/>
        </w:tabs>
        <w:adjustRightInd w:val="0"/>
        <w:snapToGrid w:val="0"/>
        <w:ind w:firstLine="480"/>
      </w:pPr>
      <w:r>
        <w:t>通过采取以上各项风险防范措施及应急救援措施，可降低各种事故的发生，降低对周围环境的不利影响，本项目环境风险在可接受范围内。</w:t>
      </w:r>
    </w:p>
    <w:p>
      <w:pPr>
        <w:pStyle w:val="3590"/>
        <w:bidi w:val="0"/>
        <w:rPr>
          <w:rFonts w:hint="eastAsia" w:ascii="Times New Roman" w:hAnsi="Times New Roman" w:eastAsia="宋体" w:cs="Times New Roman"/>
          <w:u w:val="none" w:color="auto"/>
          <w:lang w:val="zh-CN" w:eastAsia="zh-CN"/>
        </w:rPr>
      </w:pPr>
      <w:r>
        <w:rPr>
          <w:rFonts w:hint="eastAsia" w:ascii="Times New Roman" w:hAnsi="Times New Roman" w:eastAsia="宋体" w:cs="Times New Roman"/>
          <w:u w:val="none" w:color="auto"/>
          <w:lang w:val="en-US" w:eastAsia="zh-CN"/>
        </w:rPr>
        <w:t xml:space="preserve"> 建设项目环境风险简单分析内容表</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14"/>
        <w:gridCol w:w="426"/>
        <w:gridCol w:w="721"/>
        <w:gridCol w:w="1753"/>
        <w:gridCol w:w="1116"/>
        <w:gridCol w:w="257"/>
        <w:gridCol w:w="169"/>
        <w:gridCol w:w="2223"/>
        <w:gridCol w:w="13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75" w:type="pct"/>
            <w:tcBorders>
              <w:tl2br w:val="nil"/>
              <w:tr2bl w:val="nil"/>
            </w:tcBorders>
            <w:vAlign w:val="center"/>
          </w:tcPr>
          <w:p>
            <w:pPr>
              <w:spacing w:line="240" w:lineRule="auto"/>
              <w:ind w:firstLine="0" w:firstLineChars="0"/>
              <w:jc w:val="center"/>
              <w:rPr>
                <w:b/>
                <w:bCs/>
                <w:sz w:val="21"/>
                <w:szCs w:val="21"/>
              </w:rPr>
            </w:pPr>
            <w:r>
              <w:rPr>
                <w:rFonts w:hint="eastAsia"/>
                <w:b/>
                <w:bCs/>
                <w:sz w:val="21"/>
                <w:szCs w:val="21"/>
              </w:rPr>
              <w:t>建设项目名称</w:t>
            </w:r>
          </w:p>
        </w:tc>
        <w:tc>
          <w:tcPr>
            <w:tcW w:w="3725" w:type="pct"/>
            <w:gridSpan w:val="8"/>
            <w:tcBorders>
              <w:tl2br w:val="nil"/>
              <w:tr2bl w:val="nil"/>
            </w:tcBorders>
            <w:vAlign w:val="center"/>
          </w:tcPr>
          <w:p>
            <w:pPr>
              <w:spacing w:line="240" w:lineRule="auto"/>
              <w:ind w:firstLine="0" w:firstLineChars="0"/>
              <w:jc w:val="center"/>
              <w:rPr>
                <w:sz w:val="21"/>
                <w:szCs w:val="21"/>
                <w:highlight w:val="yellow"/>
              </w:rPr>
            </w:pPr>
            <w:r>
              <w:rPr>
                <w:rFonts w:hint="eastAsia"/>
                <w:sz w:val="21"/>
                <w:szCs w:val="16"/>
              </w:rPr>
              <w:t>湖南华电永州蓝山大源风电项目</w:t>
            </w:r>
            <w:r>
              <w:rPr>
                <w:rFonts w:hint="eastAsia"/>
                <w:sz w:val="21"/>
                <w:szCs w:val="16"/>
                <w:lang w:val="en-US" w:eastAsia="zh-CN"/>
              </w:rPr>
              <w:t>变更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75" w:type="pct"/>
            <w:tcBorders>
              <w:tl2br w:val="nil"/>
              <w:tr2bl w:val="nil"/>
            </w:tcBorders>
            <w:vAlign w:val="center"/>
          </w:tcPr>
          <w:p>
            <w:pPr>
              <w:spacing w:line="240" w:lineRule="auto"/>
              <w:ind w:firstLine="0" w:firstLineChars="0"/>
              <w:jc w:val="center"/>
              <w:rPr>
                <w:b/>
                <w:bCs/>
                <w:sz w:val="21"/>
                <w:szCs w:val="21"/>
              </w:rPr>
            </w:pPr>
            <w:r>
              <w:rPr>
                <w:rFonts w:hint="eastAsia"/>
                <w:b/>
                <w:bCs/>
                <w:sz w:val="21"/>
                <w:szCs w:val="21"/>
              </w:rPr>
              <w:t>建设地点</w:t>
            </w:r>
          </w:p>
        </w:tc>
        <w:tc>
          <w:tcPr>
            <w:tcW w:w="744" w:type="pct"/>
            <w:gridSpan w:val="2"/>
            <w:tcBorders>
              <w:tl2br w:val="nil"/>
              <w:tr2bl w:val="nil"/>
            </w:tcBorders>
            <w:vAlign w:val="center"/>
          </w:tcPr>
          <w:p>
            <w:pPr>
              <w:spacing w:line="240" w:lineRule="auto"/>
              <w:ind w:firstLine="0" w:firstLineChars="0"/>
              <w:jc w:val="center"/>
              <w:rPr>
                <w:sz w:val="21"/>
                <w:szCs w:val="21"/>
              </w:rPr>
            </w:pPr>
            <w:r>
              <w:rPr>
                <w:rFonts w:hint="eastAsia"/>
                <w:sz w:val="21"/>
                <w:szCs w:val="21"/>
              </w:rPr>
              <w:t>湖南省</w:t>
            </w:r>
          </w:p>
        </w:tc>
        <w:tc>
          <w:tcPr>
            <w:tcW w:w="744" w:type="pct"/>
            <w:tcBorders>
              <w:tl2br w:val="nil"/>
              <w:tr2bl w:val="nil"/>
            </w:tcBorders>
            <w:vAlign w:val="center"/>
          </w:tcPr>
          <w:p>
            <w:pPr>
              <w:spacing w:line="240" w:lineRule="auto"/>
              <w:ind w:firstLine="0" w:firstLineChars="0"/>
              <w:jc w:val="center"/>
              <w:rPr>
                <w:sz w:val="21"/>
                <w:szCs w:val="21"/>
              </w:rPr>
            </w:pPr>
            <w:r>
              <w:rPr>
                <w:rFonts w:hint="eastAsia"/>
                <w:sz w:val="21"/>
                <w:szCs w:val="21"/>
              </w:rPr>
              <w:t>永州市</w:t>
            </w:r>
          </w:p>
        </w:tc>
        <w:tc>
          <w:tcPr>
            <w:tcW w:w="744" w:type="pct"/>
            <w:gridSpan w:val="2"/>
            <w:tcBorders>
              <w:tl2br w:val="nil"/>
              <w:tr2bl w:val="nil"/>
            </w:tcBorders>
            <w:vAlign w:val="center"/>
          </w:tcPr>
          <w:p>
            <w:pPr>
              <w:spacing w:line="240" w:lineRule="auto"/>
              <w:ind w:firstLine="0" w:firstLineChars="0"/>
              <w:jc w:val="center"/>
              <w:rPr>
                <w:sz w:val="21"/>
                <w:szCs w:val="21"/>
              </w:rPr>
            </w:pPr>
            <w:r>
              <w:rPr>
                <w:rFonts w:hint="eastAsia"/>
                <w:sz w:val="21"/>
                <w:szCs w:val="21"/>
                <w:lang w:val="en-US" w:eastAsia="zh-CN"/>
              </w:rPr>
              <w:t>蓝山</w:t>
            </w:r>
            <w:r>
              <w:rPr>
                <w:rFonts w:hint="eastAsia"/>
                <w:sz w:val="21"/>
                <w:szCs w:val="21"/>
              </w:rPr>
              <w:t>县</w:t>
            </w:r>
          </w:p>
        </w:tc>
        <w:tc>
          <w:tcPr>
            <w:tcW w:w="1006" w:type="pct"/>
            <w:gridSpan w:val="2"/>
            <w:tcBorders>
              <w:tl2br w:val="nil"/>
              <w:tr2bl w:val="nil"/>
            </w:tcBorders>
            <w:vAlign w:val="center"/>
          </w:tcPr>
          <w:p>
            <w:pPr>
              <w:spacing w:line="240" w:lineRule="auto"/>
              <w:ind w:firstLine="0" w:firstLineChars="0"/>
              <w:rPr>
                <w:sz w:val="21"/>
                <w:szCs w:val="21"/>
              </w:rPr>
            </w:pPr>
          </w:p>
        </w:tc>
        <w:tc>
          <w:tcPr>
            <w:tcW w:w="487" w:type="pct"/>
            <w:tcBorders>
              <w:tl2br w:val="nil"/>
              <w:tr2bl w:val="nil"/>
            </w:tcBorders>
            <w:vAlign w:val="center"/>
          </w:tcPr>
          <w:p>
            <w:pPr>
              <w:spacing w:line="240" w:lineRule="auto"/>
              <w:ind w:firstLine="480" w:firstLineChars="0"/>
              <w:jc w:val="center"/>
              <w:rPr>
                <w:sz w:val="21"/>
                <w:szCs w:val="21"/>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75" w:type="pct"/>
            <w:tcBorders>
              <w:tl2br w:val="nil"/>
              <w:tr2bl w:val="nil"/>
            </w:tcBorders>
            <w:vAlign w:val="center"/>
          </w:tcPr>
          <w:p>
            <w:pPr>
              <w:spacing w:line="240" w:lineRule="auto"/>
              <w:ind w:firstLine="0" w:firstLineChars="0"/>
              <w:jc w:val="center"/>
              <w:rPr>
                <w:b/>
                <w:bCs/>
                <w:sz w:val="21"/>
                <w:szCs w:val="21"/>
              </w:rPr>
            </w:pPr>
            <w:r>
              <w:rPr>
                <w:rFonts w:hint="eastAsia"/>
                <w:b/>
                <w:bCs/>
                <w:sz w:val="21"/>
                <w:szCs w:val="21"/>
              </w:rPr>
              <w:t>地理坐标</w:t>
            </w:r>
          </w:p>
        </w:tc>
        <w:tc>
          <w:tcPr>
            <w:tcW w:w="438" w:type="pct"/>
            <w:tcBorders>
              <w:tl2br w:val="nil"/>
              <w:tr2bl w:val="nil"/>
            </w:tcBorders>
            <w:vAlign w:val="center"/>
          </w:tcPr>
          <w:p>
            <w:pPr>
              <w:spacing w:line="240" w:lineRule="auto"/>
              <w:ind w:firstLine="0" w:firstLineChars="0"/>
              <w:rPr>
                <w:sz w:val="21"/>
                <w:szCs w:val="21"/>
              </w:rPr>
            </w:pPr>
            <w:r>
              <w:rPr>
                <w:rFonts w:hint="eastAsia"/>
                <w:sz w:val="21"/>
                <w:szCs w:val="21"/>
              </w:rPr>
              <w:t>经度</w:t>
            </w:r>
          </w:p>
        </w:tc>
        <w:tc>
          <w:tcPr>
            <w:tcW w:w="1524" w:type="pct"/>
            <w:gridSpan w:val="3"/>
            <w:tcBorders>
              <w:tl2br w:val="nil"/>
              <w:tr2bl w:val="nil"/>
            </w:tcBorders>
            <w:vAlign w:val="center"/>
          </w:tcPr>
          <w:p>
            <w:pPr>
              <w:spacing w:line="240" w:lineRule="auto"/>
              <w:ind w:firstLine="0" w:firstLineChars="0"/>
              <w:jc w:val="center"/>
              <w:rPr>
                <w:sz w:val="21"/>
                <w:szCs w:val="21"/>
              </w:rPr>
            </w:pPr>
            <w:r>
              <w:rPr>
                <w:rFonts w:hint="eastAsia"/>
                <w:color w:val="auto"/>
                <w:sz w:val="21"/>
                <w:szCs w:val="21"/>
              </w:rPr>
              <w:t>E</w:t>
            </w:r>
            <w:r>
              <w:rPr>
                <w:color w:val="auto"/>
                <w:sz w:val="21"/>
                <w:szCs w:val="21"/>
              </w:rPr>
              <w:t>11</w:t>
            </w:r>
            <w:r>
              <w:rPr>
                <w:rFonts w:hint="eastAsia"/>
                <w:color w:val="auto"/>
                <w:sz w:val="21"/>
                <w:szCs w:val="21"/>
              </w:rPr>
              <w:t>2</w:t>
            </w:r>
            <w:r>
              <w:rPr>
                <w:color w:val="auto"/>
                <w:sz w:val="21"/>
                <w:szCs w:val="21"/>
              </w:rPr>
              <w:t>°</w:t>
            </w:r>
            <w:r>
              <w:rPr>
                <w:rFonts w:hint="eastAsia"/>
                <w:color w:val="auto"/>
                <w:sz w:val="21"/>
                <w:szCs w:val="21"/>
              </w:rPr>
              <w:t>4</w:t>
            </w:r>
            <w:r>
              <w:rPr>
                <w:color w:val="auto"/>
                <w:sz w:val="21"/>
                <w:szCs w:val="21"/>
              </w:rPr>
              <w:t>′</w:t>
            </w:r>
            <w:r>
              <w:rPr>
                <w:rFonts w:hint="eastAsia"/>
                <w:color w:val="auto"/>
                <w:sz w:val="21"/>
                <w:szCs w:val="21"/>
              </w:rPr>
              <w:t>42.583</w:t>
            </w:r>
            <w:r>
              <w:rPr>
                <w:color w:val="auto"/>
                <w:sz w:val="21"/>
                <w:szCs w:val="21"/>
              </w:rPr>
              <w:t>″~</w:t>
            </w:r>
            <w:r>
              <w:rPr>
                <w:rFonts w:hint="eastAsia"/>
                <w:color w:val="auto"/>
                <w:sz w:val="21"/>
                <w:szCs w:val="21"/>
              </w:rPr>
              <w:t>E</w:t>
            </w:r>
            <w:r>
              <w:rPr>
                <w:color w:val="auto"/>
                <w:sz w:val="21"/>
                <w:szCs w:val="21"/>
              </w:rPr>
              <w:t>11</w:t>
            </w:r>
            <w:r>
              <w:rPr>
                <w:rFonts w:hint="eastAsia"/>
                <w:color w:val="auto"/>
                <w:sz w:val="21"/>
                <w:szCs w:val="21"/>
              </w:rPr>
              <w:t>2</w:t>
            </w:r>
            <w:r>
              <w:rPr>
                <w:color w:val="auto"/>
                <w:sz w:val="21"/>
                <w:szCs w:val="21"/>
              </w:rPr>
              <w:t>°</w:t>
            </w:r>
            <w:r>
              <w:rPr>
                <w:rFonts w:hint="eastAsia"/>
                <w:color w:val="auto"/>
                <w:sz w:val="21"/>
                <w:szCs w:val="21"/>
              </w:rPr>
              <w:t>7</w:t>
            </w:r>
            <w:r>
              <w:rPr>
                <w:color w:val="auto"/>
                <w:sz w:val="21"/>
                <w:szCs w:val="21"/>
              </w:rPr>
              <w:t>′</w:t>
            </w:r>
            <w:r>
              <w:rPr>
                <w:rFonts w:hint="eastAsia"/>
                <w:color w:val="auto"/>
                <w:sz w:val="21"/>
                <w:szCs w:val="21"/>
              </w:rPr>
              <w:t>53.539</w:t>
            </w:r>
            <w:r>
              <w:rPr>
                <w:color w:val="auto"/>
                <w:sz w:val="21"/>
                <w:szCs w:val="21"/>
              </w:rPr>
              <w:t>″</w:t>
            </w:r>
          </w:p>
        </w:tc>
        <w:tc>
          <w:tcPr>
            <w:tcW w:w="448" w:type="pct"/>
            <w:gridSpan w:val="2"/>
            <w:tcBorders>
              <w:tl2br w:val="nil"/>
              <w:tr2bl w:val="nil"/>
            </w:tcBorders>
            <w:vAlign w:val="center"/>
          </w:tcPr>
          <w:p>
            <w:pPr>
              <w:spacing w:line="240" w:lineRule="auto"/>
              <w:ind w:firstLine="0" w:firstLineChars="0"/>
              <w:jc w:val="center"/>
              <w:rPr>
                <w:sz w:val="21"/>
                <w:szCs w:val="21"/>
              </w:rPr>
            </w:pPr>
            <w:r>
              <w:rPr>
                <w:rFonts w:hint="eastAsia"/>
                <w:sz w:val="21"/>
                <w:szCs w:val="21"/>
              </w:rPr>
              <w:t>纬度</w:t>
            </w:r>
          </w:p>
        </w:tc>
        <w:tc>
          <w:tcPr>
            <w:tcW w:w="1315" w:type="pct"/>
            <w:gridSpan w:val="2"/>
            <w:tcBorders>
              <w:tl2br w:val="nil"/>
              <w:tr2bl w:val="nil"/>
            </w:tcBorders>
            <w:vAlign w:val="center"/>
          </w:tcPr>
          <w:p>
            <w:pPr>
              <w:spacing w:line="240" w:lineRule="auto"/>
              <w:ind w:firstLine="0" w:firstLineChars="0"/>
              <w:jc w:val="center"/>
              <w:rPr>
                <w:sz w:val="21"/>
                <w:szCs w:val="21"/>
              </w:rPr>
            </w:pPr>
            <w:r>
              <w:rPr>
                <w:rFonts w:hint="eastAsia"/>
                <w:color w:val="auto"/>
                <w:sz w:val="21"/>
                <w:szCs w:val="21"/>
              </w:rPr>
              <w:t>N25</w:t>
            </w:r>
            <w:r>
              <w:rPr>
                <w:color w:val="auto"/>
                <w:sz w:val="21"/>
                <w:szCs w:val="21"/>
              </w:rPr>
              <w:t>°</w:t>
            </w:r>
            <w:r>
              <w:rPr>
                <w:rFonts w:hint="eastAsia"/>
                <w:color w:val="auto"/>
                <w:sz w:val="21"/>
                <w:szCs w:val="21"/>
              </w:rPr>
              <w:t>18</w:t>
            </w:r>
            <w:r>
              <w:rPr>
                <w:color w:val="auto"/>
                <w:sz w:val="21"/>
                <w:szCs w:val="21"/>
              </w:rPr>
              <w:t>′</w:t>
            </w:r>
            <w:r>
              <w:rPr>
                <w:rFonts w:hint="eastAsia"/>
                <w:color w:val="auto"/>
                <w:sz w:val="21"/>
                <w:szCs w:val="21"/>
              </w:rPr>
              <w:t>3.934</w:t>
            </w:r>
            <w:r>
              <w:rPr>
                <w:color w:val="auto"/>
                <w:sz w:val="21"/>
                <w:szCs w:val="21"/>
              </w:rPr>
              <w:t>″~</w:t>
            </w:r>
            <w:r>
              <w:rPr>
                <w:rFonts w:hint="eastAsia"/>
                <w:color w:val="auto"/>
                <w:sz w:val="21"/>
                <w:szCs w:val="21"/>
              </w:rPr>
              <w:t>N</w:t>
            </w:r>
            <w:r>
              <w:rPr>
                <w:color w:val="auto"/>
                <w:sz w:val="21"/>
                <w:szCs w:val="21"/>
              </w:rPr>
              <w:t>2</w:t>
            </w:r>
            <w:r>
              <w:rPr>
                <w:rFonts w:hint="eastAsia"/>
                <w:color w:val="auto"/>
                <w:sz w:val="21"/>
                <w:szCs w:val="21"/>
              </w:rPr>
              <w:t>5</w:t>
            </w:r>
            <w:r>
              <w:rPr>
                <w:color w:val="auto"/>
                <w:sz w:val="21"/>
                <w:szCs w:val="21"/>
              </w:rPr>
              <w:t>°</w:t>
            </w:r>
            <w:r>
              <w:rPr>
                <w:rFonts w:hint="eastAsia"/>
                <w:color w:val="auto"/>
                <w:sz w:val="21"/>
                <w:szCs w:val="21"/>
              </w:rPr>
              <w:t>21</w:t>
            </w:r>
            <w:r>
              <w:rPr>
                <w:color w:val="auto"/>
                <w:sz w:val="21"/>
                <w:szCs w:val="21"/>
              </w:rPr>
              <w:t>′</w:t>
            </w:r>
            <w:r>
              <w:rPr>
                <w:rFonts w:hint="eastAsia"/>
                <w:color w:val="auto"/>
                <w:sz w:val="21"/>
                <w:szCs w:val="21"/>
              </w:rPr>
              <w:t>22.370</w:t>
            </w:r>
            <w:r>
              <w:rPr>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75" w:type="pct"/>
            <w:tcBorders>
              <w:tl2br w:val="nil"/>
              <w:tr2bl w:val="nil"/>
            </w:tcBorders>
            <w:vAlign w:val="center"/>
          </w:tcPr>
          <w:p>
            <w:pPr>
              <w:spacing w:line="240" w:lineRule="auto"/>
              <w:ind w:firstLine="0" w:firstLineChars="0"/>
              <w:jc w:val="center"/>
              <w:rPr>
                <w:b/>
                <w:bCs/>
                <w:sz w:val="21"/>
                <w:szCs w:val="21"/>
              </w:rPr>
            </w:pPr>
            <w:r>
              <w:rPr>
                <w:rFonts w:hint="eastAsia"/>
                <w:b/>
                <w:bCs/>
                <w:sz w:val="21"/>
                <w:szCs w:val="21"/>
              </w:rPr>
              <w:t>主要危险物质及分布</w:t>
            </w:r>
          </w:p>
        </w:tc>
        <w:tc>
          <w:tcPr>
            <w:tcW w:w="3725" w:type="pct"/>
            <w:gridSpan w:val="8"/>
            <w:tcBorders>
              <w:tl2br w:val="nil"/>
              <w:tr2bl w:val="nil"/>
            </w:tcBorders>
            <w:vAlign w:val="center"/>
          </w:tcPr>
          <w:p>
            <w:pPr>
              <w:spacing w:line="240" w:lineRule="auto"/>
              <w:ind w:firstLine="0" w:firstLineChars="0"/>
              <w:rPr>
                <w:sz w:val="21"/>
                <w:szCs w:val="21"/>
              </w:rPr>
            </w:pPr>
            <w:r>
              <w:rPr>
                <w:sz w:val="21"/>
                <w:szCs w:val="21"/>
              </w:rPr>
              <w:t>（1）</w:t>
            </w:r>
            <w:r>
              <w:rPr>
                <w:rFonts w:hint="eastAsia"/>
                <w:sz w:val="21"/>
                <w:szCs w:val="21"/>
                <w:lang w:val="en-US" w:eastAsia="zh-CN"/>
              </w:rPr>
              <w:t>汇集</w:t>
            </w:r>
            <w:r>
              <w:rPr>
                <w:rFonts w:hint="eastAsia"/>
                <w:sz w:val="21"/>
                <w:szCs w:val="21"/>
              </w:rPr>
              <w:t>站内变压器油</w:t>
            </w:r>
            <w:r>
              <w:rPr>
                <w:rFonts w:hint="eastAsia"/>
                <w:sz w:val="21"/>
                <w:szCs w:val="21"/>
                <w:lang w:val="en-US" w:eastAsia="zh-CN"/>
              </w:rPr>
              <w:t>和风机箱变事故油</w:t>
            </w:r>
            <w:r>
              <w:rPr>
                <w:rFonts w:hint="eastAsia"/>
                <w:sz w:val="21"/>
                <w:szCs w:val="21"/>
              </w:rPr>
              <w:t>，最大量约</w:t>
            </w:r>
            <w:r>
              <w:rPr>
                <w:rFonts w:hint="eastAsia"/>
                <w:sz w:val="21"/>
                <w:szCs w:val="21"/>
                <w:lang w:val="en-US" w:eastAsia="zh-CN"/>
              </w:rPr>
              <w:t>116t</w:t>
            </w:r>
            <w:r>
              <w:rPr>
                <w:rFonts w:hint="eastAsia"/>
                <w:sz w:val="21"/>
                <w:szCs w:val="21"/>
              </w:rPr>
              <w:t>；</w:t>
            </w:r>
          </w:p>
          <w:p>
            <w:pPr>
              <w:spacing w:line="240" w:lineRule="auto"/>
              <w:ind w:firstLine="0" w:firstLineChars="0"/>
              <w:rPr>
                <w:highlight w:val="yellow"/>
              </w:rPr>
            </w:pPr>
            <w:r>
              <w:rPr>
                <w:sz w:val="21"/>
                <w:szCs w:val="21"/>
              </w:rPr>
              <w:t>（2）</w:t>
            </w:r>
            <w:r>
              <w:rPr>
                <w:rFonts w:hint="eastAsia"/>
                <w:sz w:val="21"/>
                <w:szCs w:val="21"/>
              </w:rPr>
              <w:t>风机</w:t>
            </w:r>
            <w:r>
              <w:rPr>
                <w:sz w:val="21"/>
                <w:szCs w:val="21"/>
              </w:rPr>
              <w:t>维修与运行期润滑油、液压油等。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1275" w:type="pct"/>
            <w:tcBorders>
              <w:tl2br w:val="nil"/>
              <w:tr2bl w:val="nil"/>
            </w:tcBorders>
            <w:vAlign w:val="center"/>
          </w:tcPr>
          <w:p>
            <w:pPr>
              <w:spacing w:line="240" w:lineRule="auto"/>
              <w:ind w:firstLine="0" w:firstLineChars="0"/>
              <w:jc w:val="center"/>
              <w:rPr>
                <w:b/>
                <w:bCs/>
                <w:sz w:val="21"/>
                <w:szCs w:val="21"/>
              </w:rPr>
            </w:pPr>
            <w:r>
              <w:rPr>
                <w:rFonts w:hint="eastAsia"/>
                <w:b/>
                <w:bCs/>
                <w:sz w:val="21"/>
                <w:szCs w:val="21"/>
              </w:rPr>
              <w:t>环境影响途径及危害后果（地表水、地下水、大气等）</w:t>
            </w:r>
          </w:p>
        </w:tc>
        <w:tc>
          <w:tcPr>
            <w:tcW w:w="3725" w:type="pct"/>
            <w:gridSpan w:val="8"/>
            <w:tcBorders>
              <w:tl2br w:val="nil"/>
              <w:tr2bl w:val="nil"/>
            </w:tcBorders>
            <w:vAlign w:val="center"/>
          </w:tcPr>
          <w:p>
            <w:pPr>
              <w:spacing w:line="240" w:lineRule="auto"/>
              <w:ind w:firstLine="0" w:firstLineChars="0"/>
              <w:rPr>
                <w:sz w:val="21"/>
                <w:szCs w:val="21"/>
              </w:rPr>
            </w:pPr>
            <w:r>
              <w:rPr>
                <w:rFonts w:hint="eastAsia"/>
                <w:sz w:val="21"/>
                <w:szCs w:val="21"/>
              </w:rPr>
              <w:t>①</w:t>
            </w:r>
            <w:r>
              <w:rPr>
                <w:kern w:val="0"/>
                <w:sz w:val="21"/>
                <w:szCs w:val="21"/>
              </w:rPr>
              <w:t>变压器检修可能导致油品渗漏。变压器油一旦泄漏进入环境中，</w:t>
            </w:r>
            <w:r>
              <w:rPr>
                <w:spacing w:val="2"/>
                <w:kern w:val="0"/>
                <w:sz w:val="21"/>
                <w:szCs w:val="21"/>
              </w:rPr>
              <w:t>将会进入周边土壤</w:t>
            </w:r>
            <w:r>
              <w:rPr>
                <w:kern w:val="0"/>
                <w:sz w:val="21"/>
                <w:szCs w:val="21"/>
              </w:rPr>
              <w:t>造</w:t>
            </w:r>
            <w:r>
              <w:rPr>
                <w:spacing w:val="2"/>
                <w:kern w:val="0"/>
                <w:sz w:val="21"/>
                <w:szCs w:val="21"/>
              </w:rPr>
              <w:t>成</w:t>
            </w:r>
            <w:r>
              <w:rPr>
                <w:kern w:val="0"/>
                <w:sz w:val="21"/>
                <w:szCs w:val="21"/>
              </w:rPr>
              <w:t>土</w:t>
            </w:r>
            <w:r>
              <w:rPr>
                <w:spacing w:val="2"/>
                <w:kern w:val="0"/>
                <w:sz w:val="21"/>
                <w:szCs w:val="21"/>
              </w:rPr>
              <w:t>壤污染，如遇降雨</w:t>
            </w:r>
            <w:r>
              <w:rPr>
                <w:kern w:val="0"/>
                <w:sz w:val="21"/>
                <w:szCs w:val="21"/>
              </w:rPr>
              <w:t>还</w:t>
            </w:r>
            <w:r>
              <w:rPr>
                <w:spacing w:val="2"/>
                <w:kern w:val="0"/>
                <w:sz w:val="21"/>
                <w:szCs w:val="21"/>
              </w:rPr>
              <w:t>将</w:t>
            </w:r>
            <w:r>
              <w:rPr>
                <w:kern w:val="0"/>
                <w:sz w:val="21"/>
                <w:szCs w:val="21"/>
              </w:rPr>
              <w:t>随</w:t>
            </w:r>
            <w:r>
              <w:rPr>
                <w:spacing w:val="2"/>
                <w:kern w:val="0"/>
                <w:sz w:val="21"/>
                <w:szCs w:val="21"/>
              </w:rPr>
              <w:t>地表径流进入周</w:t>
            </w:r>
            <w:r>
              <w:rPr>
                <w:kern w:val="0"/>
                <w:sz w:val="21"/>
                <w:szCs w:val="21"/>
              </w:rPr>
              <w:t>边河流内</w:t>
            </w:r>
            <w:r>
              <w:rPr>
                <w:spacing w:val="-3"/>
                <w:kern w:val="0"/>
                <w:sz w:val="21"/>
                <w:szCs w:val="21"/>
              </w:rPr>
              <w:t>，</w:t>
            </w:r>
            <w:r>
              <w:rPr>
                <w:kern w:val="0"/>
                <w:sz w:val="21"/>
                <w:szCs w:val="21"/>
              </w:rPr>
              <w:t>存</w:t>
            </w:r>
            <w:r>
              <w:rPr>
                <w:spacing w:val="-3"/>
                <w:kern w:val="0"/>
                <w:sz w:val="21"/>
                <w:szCs w:val="21"/>
              </w:rPr>
              <w:t>在</w:t>
            </w:r>
            <w:r>
              <w:rPr>
                <w:kern w:val="0"/>
                <w:sz w:val="21"/>
                <w:szCs w:val="21"/>
              </w:rPr>
              <w:t>污</w:t>
            </w:r>
            <w:r>
              <w:rPr>
                <w:spacing w:val="-3"/>
                <w:kern w:val="0"/>
                <w:sz w:val="21"/>
                <w:szCs w:val="21"/>
              </w:rPr>
              <w:t>染</w:t>
            </w:r>
            <w:r>
              <w:rPr>
                <w:kern w:val="0"/>
                <w:sz w:val="21"/>
                <w:szCs w:val="21"/>
              </w:rPr>
              <w:t>地</w:t>
            </w:r>
            <w:r>
              <w:rPr>
                <w:spacing w:val="-3"/>
                <w:kern w:val="0"/>
                <w:sz w:val="21"/>
                <w:szCs w:val="21"/>
              </w:rPr>
              <w:t>表</w:t>
            </w:r>
            <w:r>
              <w:rPr>
                <w:kern w:val="0"/>
                <w:sz w:val="21"/>
                <w:szCs w:val="21"/>
              </w:rPr>
              <w:t>水</w:t>
            </w:r>
            <w:r>
              <w:rPr>
                <w:spacing w:val="-3"/>
                <w:kern w:val="0"/>
                <w:sz w:val="21"/>
                <w:szCs w:val="21"/>
              </w:rPr>
              <w:t>环</w:t>
            </w:r>
            <w:r>
              <w:rPr>
                <w:kern w:val="0"/>
                <w:sz w:val="21"/>
                <w:szCs w:val="21"/>
              </w:rPr>
              <w:t>境的</w:t>
            </w:r>
            <w:r>
              <w:rPr>
                <w:spacing w:val="-3"/>
                <w:kern w:val="0"/>
                <w:sz w:val="21"/>
                <w:szCs w:val="21"/>
              </w:rPr>
              <w:t>风</w:t>
            </w:r>
            <w:r>
              <w:rPr>
                <w:kern w:val="0"/>
                <w:sz w:val="21"/>
                <w:szCs w:val="21"/>
              </w:rPr>
              <w:t>险</w:t>
            </w:r>
            <w:r>
              <w:rPr>
                <w:rFonts w:hint="eastAsia"/>
                <w:sz w:val="21"/>
                <w:szCs w:val="21"/>
              </w:rPr>
              <w:t>；</w:t>
            </w:r>
          </w:p>
          <w:p>
            <w:pPr>
              <w:spacing w:line="240" w:lineRule="auto"/>
              <w:ind w:firstLine="0" w:firstLineChars="0"/>
              <w:rPr>
                <w:sz w:val="21"/>
                <w:szCs w:val="21"/>
                <w:highlight w:val="yellow"/>
              </w:rPr>
            </w:pPr>
            <w:r>
              <w:rPr>
                <w:rFonts w:hint="eastAsia"/>
                <w:sz w:val="21"/>
                <w:szCs w:val="21"/>
              </w:rPr>
              <w:t>②</w:t>
            </w:r>
            <w:r>
              <w:rPr>
                <w:kern w:val="0"/>
                <w:sz w:val="21"/>
                <w:szCs w:val="21"/>
              </w:rPr>
              <w:t>风机维修与运行期机油的泄漏存在污染地表水环境</w:t>
            </w:r>
            <w:r>
              <w:rPr>
                <w:rFonts w:hint="eastAsia"/>
                <w:kern w:val="0"/>
                <w:sz w:val="21"/>
                <w:szCs w:val="21"/>
              </w:rPr>
              <w:t>、土壤环境</w:t>
            </w:r>
            <w:r>
              <w:rPr>
                <w:kern w:val="0"/>
                <w:sz w:val="21"/>
                <w:szCs w:val="21"/>
              </w:rPr>
              <w:t>的风险。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75" w:type="pct"/>
            <w:tcBorders>
              <w:tl2br w:val="nil"/>
              <w:tr2bl w:val="nil"/>
            </w:tcBorders>
            <w:vAlign w:val="center"/>
          </w:tcPr>
          <w:p>
            <w:pPr>
              <w:spacing w:line="240" w:lineRule="auto"/>
              <w:ind w:firstLine="0" w:firstLineChars="0"/>
              <w:jc w:val="center"/>
              <w:rPr>
                <w:b/>
                <w:bCs/>
                <w:sz w:val="21"/>
                <w:szCs w:val="21"/>
                <w:highlight w:val="yellow"/>
              </w:rPr>
            </w:pPr>
            <w:r>
              <w:rPr>
                <w:rFonts w:hint="eastAsia"/>
                <w:b/>
                <w:bCs/>
                <w:sz w:val="21"/>
                <w:szCs w:val="21"/>
              </w:rPr>
              <w:t>风险防范措施要求</w:t>
            </w:r>
          </w:p>
        </w:tc>
        <w:tc>
          <w:tcPr>
            <w:tcW w:w="3725" w:type="pct"/>
            <w:gridSpan w:val="8"/>
            <w:tcBorders>
              <w:tl2br w:val="nil"/>
              <w:tr2bl w:val="nil"/>
            </w:tcBorders>
            <w:vAlign w:val="center"/>
          </w:tcPr>
          <w:p>
            <w:pPr>
              <w:spacing w:line="240" w:lineRule="auto"/>
              <w:ind w:firstLine="0" w:firstLineChars="0"/>
              <w:rPr>
                <w:sz w:val="21"/>
                <w:szCs w:val="21"/>
                <w:highlight w:val="yellow"/>
              </w:rPr>
            </w:pPr>
            <w:r>
              <w:rPr>
                <w:rFonts w:hint="eastAsia"/>
                <w:sz w:val="21"/>
                <w:szCs w:val="21"/>
              </w:rPr>
              <w:t>变压器的附近建立事故集油池，并在主变压器四周设置排油管，相关的管道、池壁和池底均进行水泥防渗处理；</w:t>
            </w:r>
            <w:r>
              <w:rPr>
                <w:sz w:val="21"/>
                <w:szCs w:val="21"/>
              </w:rPr>
              <w:t>箱变底部设置集油池</w:t>
            </w:r>
            <w:r>
              <w:rPr>
                <w:rFonts w:hint="eastAsia"/>
                <w:sz w:val="21"/>
                <w:szCs w:val="21"/>
              </w:rPr>
              <w:t>以免污染物下渗对周边区域地下水环境造成影响。</w:t>
            </w:r>
            <w:r>
              <w:rPr>
                <w:kern w:val="0"/>
                <w:sz w:val="21"/>
                <w:szCs w:val="21"/>
              </w:rPr>
              <w:t>运行期维护人员对设备进行定期检查，防止发生滴、漏现象</w:t>
            </w:r>
            <w:r>
              <w:rPr>
                <w:rFonts w:hint="eastAsia"/>
                <w:kern w:val="0"/>
                <w:sz w:val="21"/>
                <w:szCs w:val="21"/>
              </w:rPr>
              <w:t>；</w:t>
            </w:r>
            <w:r>
              <w:rPr>
                <w:kern w:val="0"/>
                <w:sz w:val="21"/>
                <w:szCs w:val="21"/>
              </w:rPr>
              <w:t>危险废物应存放于专门的收集容器，设置在升压站危险废物暂存间，避免与其他废旧物资混杂存放</w:t>
            </w:r>
            <w:r>
              <w:rPr>
                <w:rFonts w:hint="eastAsia"/>
                <w:kern w:val="0"/>
                <w:sz w:val="21"/>
                <w:szCs w:val="21"/>
              </w:rPr>
              <w:t>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9"/>
            <w:tcBorders>
              <w:tl2br w:val="nil"/>
              <w:tr2bl w:val="nil"/>
            </w:tcBorders>
            <w:vAlign w:val="center"/>
          </w:tcPr>
          <w:p>
            <w:pPr>
              <w:spacing w:line="240" w:lineRule="auto"/>
              <w:jc w:val="both"/>
              <w:rPr>
                <w:sz w:val="21"/>
                <w:szCs w:val="21"/>
              </w:rPr>
            </w:pPr>
            <w:r>
              <w:rPr>
                <w:rFonts w:hint="eastAsia"/>
                <w:sz w:val="21"/>
                <w:szCs w:val="21"/>
              </w:rPr>
              <w:t>填表说明（列出项目相关信息及评价说明）</w:t>
            </w:r>
          </w:p>
        </w:tc>
      </w:tr>
    </w:tbl>
    <w:p>
      <w:pPr>
        <w:pStyle w:val="458"/>
        <w:numPr>
          <w:ilvl w:val="2"/>
          <w:numId w:val="0"/>
        </w:numPr>
        <w:rPr>
          <w:rFonts w:hint="eastAsia" w:cs="Times New Roman"/>
          <w:u w:val="none" w:color="auto"/>
          <w:lang w:val="zh-CN" w:eastAsia="zh-CN"/>
        </w:rPr>
        <w:sectPr>
          <w:pgSz w:w="11905"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3" w:charSpace="0"/>
        </w:sectPr>
      </w:pPr>
    </w:p>
    <w:p>
      <w:pPr>
        <w:pStyle w:val="461"/>
        <w:bidi w:val="0"/>
        <w:rPr>
          <w:rFonts w:ascii="Times New Roman" w:hAnsi="Times New Roman" w:cs="Times New Roman"/>
          <w:color w:val="000000" w:themeColor="text1"/>
          <w:u w:val="none" w:color="auto"/>
          <w14:textFill>
            <w14:solidFill>
              <w14:schemeClr w14:val="tx1"/>
            </w14:solidFill>
          </w14:textFill>
        </w:rPr>
      </w:pPr>
      <w:r>
        <w:rPr>
          <w:rFonts w:hint="eastAsia" w:ascii="Times New Roman" w:hAnsi="Times New Roman" w:cs="Times New Roman"/>
          <w:color w:val="000000" w:themeColor="text1"/>
          <w:u w:val="none" w:color="auto"/>
          <w:lang w:val="en-US" w:eastAsia="zh-CN"/>
          <w14:textFill>
            <w14:solidFill>
              <w14:schemeClr w14:val="tx1"/>
            </w14:solidFill>
          </w14:textFill>
        </w:rPr>
        <w:t xml:space="preserve"> </w:t>
      </w:r>
      <w:bookmarkStart w:id="153" w:name="_Toc18252"/>
      <w:r>
        <w:rPr>
          <w:rFonts w:ascii="Times New Roman" w:hAnsi="Times New Roman" w:cs="Times New Roman"/>
          <w:color w:val="000000" w:themeColor="text1"/>
          <w:u w:val="none" w:color="auto"/>
          <w14:textFill>
            <w14:solidFill>
              <w14:schemeClr w14:val="tx1"/>
            </w14:solidFill>
          </w14:textFill>
        </w:rPr>
        <w:t>环境保护措施及其可行性论证</w:t>
      </w:r>
      <w:bookmarkEnd w:id="153"/>
    </w:p>
    <w:p>
      <w:pPr>
        <w:pStyle w:val="457"/>
        <w:ind w:firstLine="643"/>
        <w:rPr>
          <w:rFonts w:hint="eastAsia" w:ascii="Times New Roman" w:hAnsi="Times New Roman" w:eastAsia="宋体" w:cs="Times New Roman"/>
          <w:color w:val="000000" w:themeColor="text1"/>
          <w:u w:val="none" w:color="auto"/>
          <w:lang w:eastAsia="zh-CN"/>
          <w14:textFill>
            <w14:solidFill>
              <w14:schemeClr w14:val="tx1"/>
            </w14:solidFill>
          </w14:textFill>
        </w:rPr>
      </w:pPr>
      <w:bookmarkStart w:id="154" w:name="_Toc19290"/>
      <w:bookmarkStart w:id="155" w:name="_Toc20604"/>
      <w:r>
        <w:rPr>
          <w:rFonts w:hint="eastAsia" w:ascii="Times New Roman" w:hAnsi="Times New Roman" w:eastAsia="宋体" w:cs="Times New Roman"/>
          <w:color w:val="000000" w:themeColor="text1"/>
          <w:u w:val="none" w:color="auto"/>
          <w:lang w:eastAsia="zh-CN"/>
          <w14:textFill>
            <w14:solidFill>
              <w14:schemeClr w14:val="tx1"/>
            </w14:solidFill>
          </w14:textFill>
        </w:rPr>
        <w:t>施工期污染防治措施</w:t>
      </w:r>
      <w:bookmarkEnd w:id="154"/>
      <w:bookmarkEnd w:id="155"/>
    </w:p>
    <w:p>
      <w:pPr>
        <w:bidi w:val="0"/>
      </w:pPr>
      <w:r>
        <w:t>本项目</w:t>
      </w:r>
      <w:r>
        <w:rPr>
          <w:rFonts w:hint="eastAsia"/>
          <w:lang w:val="en-US" w:eastAsia="zh-CN"/>
        </w:rPr>
        <w:t>主体工程</w:t>
      </w:r>
      <w:r>
        <w:t>已经建成，</w:t>
      </w:r>
      <w:r>
        <w:rPr>
          <w:rFonts w:hint="eastAsia"/>
          <w:lang w:val="en-US" w:eastAsia="zh-CN"/>
        </w:rPr>
        <w:t>目前在进行后期的生态复绿及水土流失防治工作，</w:t>
      </w:r>
      <w:r>
        <w:rPr>
          <w:rFonts w:hint="eastAsia"/>
        </w:rPr>
        <w:t>建设单位在施工</w:t>
      </w:r>
      <w:r>
        <w:t>过程中</w:t>
      </w:r>
      <w:r>
        <w:rPr>
          <w:rFonts w:hint="eastAsia"/>
        </w:rPr>
        <w:t>采取了</w:t>
      </w:r>
      <w:r>
        <w:t>水</w:t>
      </w:r>
      <w:r>
        <w:rPr>
          <w:rFonts w:hint="eastAsia"/>
        </w:rPr>
        <w:t>、</w:t>
      </w:r>
      <w:r>
        <w:t>大气</w:t>
      </w:r>
      <w:r>
        <w:rPr>
          <w:rFonts w:hint="eastAsia"/>
        </w:rPr>
        <w:t>、</w:t>
      </w:r>
      <w:r>
        <w:t>噪声</w:t>
      </w:r>
      <w:r>
        <w:rPr>
          <w:rFonts w:hint="eastAsia"/>
        </w:rPr>
        <w:t>、</w:t>
      </w:r>
      <w:r>
        <w:t>固体废物污染防治措施</w:t>
      </w:r>
      <w:r>
        <w:rPr>
          <w:rFonts w:hint="eastAsia"/>
        </w:rPr>
        <w:t>和</w:t>
      </w:r>
      <w:r>
        <w:rPr>
          <w:rFonts w:hint="eastAsia"/>
          <w:lang w:val="en-US" w:eastAsia="zh-CN"/>
        </w:rPr>
        <w:t>相应</w:t>
      </w:r>
      <w:r>
        <w:t>生态影响</w:t>
      </w:r>
      <w:r>
        <w:rPr>
          <w:rFonts w:hint="eastAsia"/>
        </w:rPr>
        <w:t>减缓</w:t>
      </w:r>
      <w:r>
        <w:t>措施</w:t>
      </w:r>
      <w:r>
        <w:rPr>
          <w:rFonts w:hint="eastAsia"/>
        </w:rPr>
        <w:t>，</w:t>
      </w:r>
      <w:r>
        <w:rPr>
          <w:rFonts w:hint="eastAsia"/>
          <w:lang w:val="en-US" w:eastAsia="zh-CN"/>
        </w:rPr>
        <w:t>施工期</w:t>
      </w:r>
      <w:r>
        <w:rPr>
          <w:rFonts w:hint="eastAsia"/>
        </w:rPr>
        <w:t>没有发生</w:t>
      </w:r>
      <w:r>
        <w:t>生态环境</w:t>
      </w:r>
      <w:r>
        <w:rPr>
          <w:rFonts w:hint="eastAsia"/>
        </w:rPr>
        <w:t>破坏和</w:t>
      </w:r>
      <w:r>
        <w:t>地表水体污染事故</w:t>
      </w:r>
      <w:r>
        <w:rPr>
          <w:rFonts w:hint="eastAsia"/>
          <w:lang w:eastAsia="zh-CN"/>
        </w:rPr>
        <w:t>，</w:t>
      </w:r>
      <w:r>
        <w:rPr>
          <w:rFonts w:hint="eastAsia"/>
          <w:lang w:val="en-US" w:eastAsia="zh-CN"/>
        </w:rPr>
        <w:t>亦未接到关于本项目环境污染的相关投诉</w:t>
      </w:r>
      <w:r>
        <w:t>。</w:t>
      </w:r>
    </w:p>
    <w:p>
      <w:pPr>
        <w:pStyle w:val="457"/>
        <w:ind w:firstLine="643"/>
        <w:rPr>
          <w:rFonts w:hint="eastAsia" w:ascii="Times New Roman" w:hAnsi="Times New Roman" w:eastAsia="宋体" w:cs="Times New Roman"/>
          <w:color w:val="000000" w:themeColor="text1"/>
          <w:u w:val="none" w:color="auto"/>
          <w:lang w:eastAsia="zh-CN"/>
          <w14:textFill>
            <w14:solidFill>
              <w14:schemeClr w14:val="tx1"/>
            </w14:solidFill>
          </w14:textFill>
        </w:rPr>
      </w:pPr>
      <w:bookmarkStart w:id="156" w:name="_Toc32257"/>
      <w:r>
        <w:rPr>
          <w:rFonts w:hint="eastAsia" w:ascii="Times New Roman" w:hAnsi="Times New Roman" w:cs="Times New Roman"/>
          <w:color w:val="000000" w:themeColor="text1"/>
          <w:u w:val="none" w:color="auto"/>
          <w:lang w:eastAsia="zh-CN"/>
          <w14:textFill>
            <w14:solidFill>
              <w14:schemeClr w14:val="tx1"/>
            </w14:solidFill>
          </w14:textFill>
        </w:rPr>
        <w:t>运营</w:t>
      </w:r>
      <w:r>
        <w:rPr>
          <w:rFonts w:hint="eastAsia" w:ascii="Times New Roman" w:hAnsi="Times New Roman" w:eastAsia="宋体" w:cs="Times New Roman"/>
          <w:color w:val="000000" w:themeColor="text1"/>
          <w:u w:val="none" w:color="auto"/>
          <w:lang w:eastAsia="zh-CN"/>
          <w14:textFill>
            <w14:solidFill>
              <w14:schemeClr w14:val="tx1"/>
            </w14:solidFill>
          </w14:textFill>
        </w:rPr>
        <w:t>期污染防治措施</w:t>
      </w:r>
      <w:r>
        <w:rPr>
          <w:rFonts w:hint="eastAsia" w:ascii="Times New Roman" w:cs="Times New Roman"/>
          <w:color w:val="000000" w:themeColor="text1"/>
          <w:u w:val="none" w:color="auto"/>
          <w:lang w:eastAsia="zh-CN"/>
          <w14:textFill>
            <w14:solidFill>
              <w14:schemeClr w14:val="tx1"/>
            </w14:solidFill>
          </w14:textFill>
        </w:rPr>
        <w:t>及可行性论证</w:t>
      </w:r>
      <w:bookmarkEnd w:id="156"/>
    </w:p>
    <w:p>
      <w:pPr>
        <w:pStyle w:val="458"/>
        <w:ind w:firstLine="602"/>
        <w:rPr>
          <w:rFonts w:hint="eastAsia" w:ascii="Times New Roman" w:hAnsi="Times New Roman" w:eastAsia="宋体" w:cs="Times New Roman"/>
          <w:color w:val="000000" w:themeColor="text1"/>
          <w:u w:val="none" w:color="auto"/>
          <w:lang w:eastAsia="zh-CN"/>
          <w14:textFill>
            <w14:solidFill>
              <w14:schemeClr w14:val="tx1"/>
            </w14:solidFill>
          </w14:textFill>
        </w:rPr>
      </w:pPr>
      <w:r>
        <w:rPr>
          <w:rFonts w:hint="eastAsia" w:cs="Times New Roman"/>
          <w:color w:val="000000" w:themeColor="text1"/>
          <w:u w:val="none" w:color="auto"/>
          <w:lang w:eastAsia="zh-CN"/>
          <w14:textFill>
            <w14:solidFill>
              <w14:schemeClr w14:val="tx1"/>
            </w14:solidFill>
          </w14:textFill>
        </w:rPr>
        <w:t>大气污染防治措施</w:t>
      </w:r>
    </w:p>
    <w:p>
      <w:pPr>
        <w:ind w:firstLine="480"/>
        <w:jc w:val="left"/>
        <w:rPr>
          <w:rFonts w:hint="eastAsia" w:ascii="Times New Roman" w:hAnsi="Times New Roman" w:eastAsia="宋体" w:cs="Times New Roman"/>
          <w:color w:val="000000" w:themeColor="text1"/>
          <w:szCs w:val="24"/>
          <w:u w:val="none" w:color="auto"/>
          <w:lang w:val="zh-CN" w:eastAsia="zh-CN"/>
          <w14:textFill>
            <w14:solidFill>
              <w14:schemeClr w14:val="tx1"/>
            </w14:solidFill>
          </w14:textFill>
        </w:rPr>
      </w:pPr>
      <w:r>
        <w:rPr>
          <w:rFonts w:hint="default" w:ascii="Times New Roman" w:hAnsi="Times New Roman" w:eastAsia="宋体" w:cs="Times New Roman"/>
          <w:color w:val="000000" w:themeColor="text1"/>
          <w:szCs w:val="24"/>
          <w:u w:val="none" w:color="auto"/>
          <w:lang w:val="zh-CN" w:eastAsia="zh-CN"/>
          <w14:textFill>
            <w14:solidFill>
              <w14:schemeClr w14:val="tx1"/>
            </w14:solidFill>
          </w14:textFill>
        </w:rPr>
        <w:t>本项目运营期职工日常生活所需能源均采用电能，产生的大气污染物主要为食堂烹饪过程中产生的油烟，油烟经油烟净化器处理后引致屋顶达标排放</w:t>
      </w:r>
      <w:r>
        <w:rPr>
          <w:rFonts w:hint="eastAsia" w:ascii="Times New Roman" w:hAnsi="Times New Roman" w:eastAsia="宋体" w:cs="Times New Roman"/>
          <w:color w:val="000000" w:themeColor="text1"/>
          <w:szCs w:val="24"/>
          <w:u w:val="none" w:color="auto"/>
          <w:lang w:val="zh-CN" w:eastAsia="zh-CN"/>
          <w14:textFill>
            <w14:solidFill>
              <w14:schemeClr w14:val="tx1"/>
            </w14:solidFill>
          </w14:textFill>
        </w:rPr>
        <w:t>。</w:t>
      </w:r>
    </w:p>
    <w:p>
      <w:pPr>
        <w:pStyle w:val="458"/>
        <w:ind w:firstLine="602"/>
        <w:rPr>
          <w:rFonts w:hint="eastAsia" w:ascii="Times New Roman" w:hAnsi="Times New Roman" w:eastAsia="宋体" w:cs="Times New Roman"/>
          <w:color w:val="000000" w:themeColor="text1"/>
          <w:u w:val="none" w:color="auto"/>
          <w:lang w:eastAsia="zh-CN"/>
          <w14:textFill>
            <w14:solidFill>
              <w14:schemeClr w14:val="tx1"/>
            </w14:solidFill>
          </w14:textFill>
        </w:rPr>
      </w:pPr>
      <w:r>
        <w:rPr>
          <w:rFonts w:hint="eastAsia" w:cs="Times New Roman"/>
          <w:color w:val="000000" w:themeColor="text1"/>
          <w:u w:val="none" w:color="auto"/>
          <w:lang w:eastAsia="zh-CN"/>
          <w14:textFill>
            <w14:solidFill>
              <w14:schemeClr w14:val="tx1"/>
            </w14:solidFill>
          </w14:textFill>
        </w:rPr>
        <w:t>地表水</w:t>
      </w:r>
      <w:r>
        <w:rPr>
          <w:rFonts w:hint="eastAsia" w:ascii="Times New Roman" w:hAnsi="Times New Roman" w:eastAsia="宋体" w:cs="Times New Roman"/>
          <w:color w:val="000000" w:themeColor="text1"/>
          <w:u w:val="none" w:color="auto"/>
          <w:lang w:eastAsia="zh-CN"/>
          <w14:textFill>
            <w14:solidFill>
              <w14:schemeClr w14:val="tx1"/>
            </w14:solidFill>
          </w14:textFill>
        </w:rPr>
        <w:t>污染防治措施</w:t>
      </w:r>
    </w:p>
    <w:p>
      <w:pPr>
        <w:ind w:firstLine="480"/>
        <w:jc w:val="left"/>
        <w:rPr>
          <w:rFonts w:hint="default" w:ascii="Times New Roman" w:hAnsi="Times New Roman" w:eastAsia="宋体" w:cs="Times New Roman"/>
          <w:u w:val="none" w:color="auto"/>
          <w:lang w:val="en-US" w:eastAsia="zh-CN"/>
        </w:rPr>
      </w:pPr>
      <w:r>
        <w:rPr>
          <w:rFonts w:hint="eastAsia" w:cs="Times New Roman"/>
          <w:u w:val="none" w:color="auto"/>
          <w:lang w:eastAsia="zh-CN"/>
        </w:rPr>
        <w:t>（</w:t>
      </w:r>
      <w:r>
        <w:rPr>
          <w:rFonts w:hint="eastAsia" w:cs="Times New Roman"/>
          <w:u w:val="none" w:color="auto"/>
          <w:lang w:val="en-US" w:eastAsia="zh-CN"/>
        </w:rPr>
        <w:t>1</w:t>
      </w:r>
      <w:r>
        <w:rPr>
          <w:rFonts w:hint="eastAsia" w:cs="Times New Roman"/>
          <w:u w:val="none" w:color="auto"/>
          <w:lang w:eastAsia="zh-CN"/>
        </w:rPr>
        <w:t>）</w:t>
      </w:r>
      <w:r>
        <w:rPr>
          <w:rFonts w:hint="eastAsia" w:cs="Times New Roman"/>
          <w:u w:val="none" w:color="auto"/>
          <w:lang w:val="en-US" w:eastAsia="zh-CN"/>
        </w:rPr>
        <w:t>汇集站生活污水</w:t>
      </w:r>
    </w:p>
    <w:p>
      <w:pPr>
        <w:ind w:firstLine="480"/>
        <w:jc w:val="left"/>
        <w:rPr>
          <w:rFonts w:hint="eastAsia" w:ascii="Times New Roman" w:hAnsi="Times New Roman" w:cs="Times New Roman"/>
          <w:color w:val="000000" w:themeColor="text1"/>
          <w:szCs w:val="24"/>
          <w:u w:val="none" w:color="auto"/>
          <w:lang w:val="zh-CN" w:eastAsia="zh-CN"/>
          <w14:textFill>
            <w14:solidFill>
              <w14:schemeClr w14:val="tx1"/>
            </w14:solidFill>
          </w14:textFill>
        </w:rPr>
      </w:pPr>
      <w:r>
        <w:rPr>
          <w:rFonts w:hint="eastAsia" w:ascii="Times New Roman" w:hAnsi="Times New Roman" w:eastAsia="宋体" w:cs="Times New Roman"/>
          <w:u w:val="none" w:color="auto"/>
          <w:lang w:eastAsia="zh-CN"/>
        </w:rPr>
        <w:t>运营</w:t>
      </w:r>
      <w:r>
        <w:rPr>
          <w:rFonts w:hint="default" w:ascii="Times New Roman" w:hAnsi="Times New Roman" w:eastAsia="宋体" w:cs="Times New Roman"/>
          <w:u w:val="none" w:color="auto"/>
        </w:rPr>
        <w:t>期对地表水环境的污染与原环评一致，主要为</w:t>
      </w:r>
      <w:r>
        <w:rPr>
          <w:rFonts w:hint="eastAsia" w:cs="Times New Roman"/>
          <w:u w:val="none" w:color="auto"/>
          <w:lang w:eastAsia="zh-CN"/>
        </w:rPr>
        <w:t>汇集站</w:t>
      </w:r>
      <w:r>
        <w:rPr>
          <w:rFonts w:hint="default" w:ascii="Times New Roman" w:hAnsi="Times New Roman" w:eastAsia="宋体" w:cs="Times New Roman"/>
          <w:u w:val="none" w:color="auto"/>
        </w:rPr>
        <w:t>产生的少量生活污水。故变更后项目沿用原环评中所要求的水污染防治措施，</w:t>
      </w:r>
      <w:r>
        <w:rPr>
          <w:rFonts w:hint="eastAsia" w:cs="Times New Roman"/>
          <w:u w:val="none" w:color="auto"/>
          <w:lang w:eastAsia="zh-CN"/>
        </w:rPr>
        <w:t>汇集站</w:t>
      </w:r>
      <w:r>
        <w:rPr>
          <w:rFonts w:hint="default" w:ascii="Times New Roman" w:hAnsi="Times New Roman" w:eastAsia="宋体" w:cs="Times New Roman"/>
          <w:u w:val="none" w:color="auto"/>
        </w:rPr>
        <w:t>配套一体化污水处理系统，</w:t>
      </w:r>
      <w:r>
        <w:rPr>
          <w:rFonts w:hint="eastAsia" w:cs="Times New Roman"/>
          <w:u w:val="none" w:color="auto"/>
          <w:lang w:val="en-US" w:eastAsia="zh-CN"/>
        </w:rPr>
        <w:t>废水</w:t>
      </w:r>
      <w:r>
        <w:rPr>
          <w:rFonts w:hint="default" w:ascii="Times New Roman" w:hAnsi="Times New Roman" w:eastAsia="宋体" w:cs="Times New Roman"/>
          <w:u w:val="none" w:color="auto"/>
        </w:rPr>
        <w:t>经处理达标后作为绿化用水，不外排</w:t>
      </w:r>
      <w:r>
        <w:rPr>
          <w:rFonts w:hint="eastAsia" w:ascii="Times New Roman" w:hAnsi="Times New Roman" w:cs="Times New Roman"/>
          <w:color w:val="000000" w:themeColor="text1"/>
          <w:szCs w:val="24"/>
          <w:u w:val="none" w:color="auto"/>
          <w:lang w:val="zh-CN" w:eastAsia="zh-CN"/>
          <w14:textFill>
            <w14:solidFill>
              <w14:schemeClr w14:val="tx1"/>
            </w14:solidFill>
          </w14:textFill>
        </w:rPr>
        <w:t>。</w:t>
      </w:r>
    </w:p>
    <w:p>
      <w:pPr>
        <w:tabs>
          <w:tab w:val="clear" w:pos="480"/>
        </w:tabs>
        <w:adjustRightInd w:val="0"/>
        <w:snapToGrid w:val="0"/>
        <w:ind w:firstLine="480"/>
        <w:rPr>
          <w:rFonts w:hint="default" w:eastAsia="宋体"/>
          <w:lang w:val="en-US" w:eastAsia="zh-CN"/>
        </w:rPr>
      </w:pPr>
      <w:r>
        <w:rPr>
          <w:rFonts w:hint="eastAsia"/>
          <w:lang w:eastAsia="zh-CN"/>
        </w:rPr>
        <w:t>（</w:t>
      </w:r>
      <w:r>
        <w:rPr>
          <w:rFonts w:hint="eastAsia"/>
          <w:lang w:val="en-US" w:eastAsia="zh-CN"/>
        </w:rPr>
        <w:t>2</w:t>
      </w:r>
      <w:r>
        <w:rPr>
          <w:rFonts w:hint="eastAsia"/>
          <w:lang w:eastAsia="zh-CN"/>
        </w:rPr>
        <w:t>）</w:t>
      </w:r>
      <w:r>
        <w:rPr>
          <w:rFonts w:hint="eastAsia"/>
          <w:lang w:val="en-US" w:eastAsia="zh-CN"/>
        </w:rPr>
        <w:t>饮用水源保护区污染防治和风险防范措施</w:t>
      </w:r>
    </w:p>
    <w:p>
      <w:pPr>
        <w:tabs>
          <w:tab w:val="clear" w:pos="480"/>
        </w:tabs>
        <w:adjustRightInd w:val="0"/>
        <w:snapToGrid w:val="0"/>
        <w:ind w:firstLine="480"/>
      </w:pPr>
      <w:r>
        <w:rPr>
          <w:rFonts w:hint="eastAsia"/>
        </w:rPr>
        <w:t>①完善</w:t>
      </w:r>
      <w:r>
        <w:rPr>
          <w:rFonts w:hint="eastAsia"/>
          <w:lang w:val="en-US" w:eastAsia="zh-CN"/>
        </w:rPr>
        <w:t>15号风机平台，以及12、13号</w:t>
      </w:r>
      <w:r>
        <w:rPr>
          <w:rFonts w:hint="eastAsia"/>
        </w:rPr>
        <w:t>风机之间场内道路的截、排、引流、拦挡措施，防止路面雨水径流直接进入饮用水水源保护区内。</w:t>
      </w:r>
    </w:p>
    <w:p>
      <w:pPr>
        <w:tabs>
          <w:tab w:val="clear" w:pos="480"/>
        </w:tabs>
        <w:adjustRightInd w:val="0"/>
        <w:snapToGrid w:val="0"/>
        <w:ind w:firstLine="480"/>
      </w:pPr>
      <w:r>
        <w:rPr>
          <w:rFonts w:hint="eastAsia"/>
        </w:rPr>
        <w:t>②合理设置沉淀池（兼事故池），路面雨水径流沉淀后排放；加强</w:t>
      </w:r>
      <w:r>
        <w:rPr>
          <w:rFonts w:hint="eastAsia"/>
          <w:lang w:val="en-US" w:eastAsia="zh-CN"/>
        </w:rPr>
        <w:t>邻近饮用水源保护区的</w:t>
      </w:r>
      <w:r>
        <w:rPr>
          <w:rFonts w:hint="eastAsia"/>
        </w:rPr>
        <w:t>路面排水系统的维护。</w:t>
      </w:r>
    </w:p>
    <w:p>
      <w:pPr>
        <w:tabs>
          <w:tab w:val="clear" w:pos="480"/>
        </w:tabs>
        <w:adjustRightInd w:val="0"/>
        <w:snapToGrid w:val="0"/>
        <w:ind w:firstLine="480"/>
      </w:pPr>
      <w:r>
        <w:rPr>
          <w:rFonts w:hint="eastAsia"/>
        </w:rPr>
        <w:t>③</w:t>
      </w:r>
      <w:r>
        <w:t>对于裸露地表需及时用</w:t>
      </w:r>
      <w:r>
        <w:rPr>
          <w:rFonts w:hint="eastAsia"/>
        </w:rPr>
        <w:t>薄膜</w:t>
      </w:r>
      <w:r>
        <w:t>进行覆盖，</w:t>
      </w:r>
      <w:r>
        <w:rPr>
          <w:rFonts w:hint="eastAsia"/>
        </w:rPr>
        <w:t>加强道路裁切面、边坡植被恢复（撒播草籽、种植树木、挂网种植等），以恢复其原有的水土保持功能。</w:t>
      </w:r>
    </w:p>
    <w:p>
      <w:pPr>
        <w:tabs>
          <w:tab w:val="clear" w:pos="480"/>
        </w:tabs>
        <w:adjustRightInd w:val="0"/>
        <w:snapToGrid w:val="0"/>
        <w:ind w:firstLine="480"/>
        <w:rPr>
          <w:rFonts w:hint="eastAsia"/>
        </w:rPr>
      </w:pPr>
      <w:r>
        <w:rPr>
          <w:rFonts w:hint="eastAsia"/>
        </w:rPr>
        <w:t>④设置饮用水保护区、安全行驶或事故应急等警示标牌，路边设置防撞护栏。</w:t>
      </w:r>
    </w:p>
    <w:p>
      <w:pPr>
        <w:tabs>
          <w:tab w:val="clear" w:pos="480"/>
        </w:tabs>
        <w:adjustRightInd w:val="0"/>
        <w:snapToGrid w:val="0"/>
        <w:ind w:firstLine="480"/>
      </w:pPr>
      <w:r>
        <w:rPr>
          <w:rFonts w:hint="eastAsia"/>
          <w:spacing w:val="-4"/>
          <w:u w:val="none"/>
          <w:lang w:val="en-US" w:eastAsia="zh-CN"/>
        </w:rPr>
        <w:fldChar w:fldCharType="begin"/>
      </w:r>
      <w:r>
        <w:rPr>
          <w:rFonts w:hint="eastAsia"/>
          <w:spacing w:val="-4"/>
          <w:u w:val="none"/>
          <w:lang w:val="en-US" w:eastAsia="zh-CN"/>
        </w:rPr>
        <w:instrText xml:space="preserve"> = 5 \* GB3 \* MERGEFORMAT </w:instrText>
      </w:r>
      <w:r>
        <w:rPr>
          <w:rFonts w:hint="eastAsia"/>
          <w:spacing w:val="-4"/>
          <w:u w:val="none"/>
          <w:lang w:val="en-US" w:eastAsia="zh-CN"/>
        </w:rPr>
        <w:fldChar w:fldCharType="separate"/>
      </w:r>
      <w:r>
        <w:t>⑤</w:t>
      </w:r>
      <w:r>
        <w:rPr>
          <w:rFonts w:hint="eastAsia"/>
          <w:spacing w:val="-4"/>
          <w:u w:val="none"/>
          <w:lang w:val="en-US" w:eastAsia="zh-CN"/>
        </w:rPr>
        <w:fldChar w:fldCharType="end"/>
      </w:r>
      <w:r>
        <w:rPr>
          <w:rFonts w:hint="eastAsia"/>
          <w:spacing w:val="-4"/>
          <w:u w:val="none"/>
          <w:lang w:val="en-US" w:eastAsia="zh-CN"/>
        </w:rPr>
        <w:t>进场道路邻近</w:t>
      </w:r>
      <w:r>
        <w:rPr>
          <w:rFonts w:hint="eastAsia" w:ascii="Times New Roman" w:hAnsi="Times New Roman" w:eastAsia="宋体" w:cs="Times New Roman"/>
          <w:lang w:val="en-US" w:eastAsia="zh-CN"/>
        </w:rPr>
        <w:t>两江口水库</w:t>
      </w:r>
      <w:r>
        <w:rPr>
          <w:rFonts w:hint="eastAsia"/>
          <w:spacing w:val="-4"/>
          <w:u w:val="none"/>
        </w:rPr>
        <w:t>饮用水源保护区</w:t>
      </w:r>
      <w:r>
        <w:rPr>
          <w:rFonts w:hint="eastAsia"/>
          <w:spacing w:val="-4"/>
          <w:u w:val="none"/>
          <w:lang w:eastAsia="zh-CN"/>
        </w:rPr>
        <w:t>的</w:t>
      </w:r>
      <w:r>
        <w:rPr>
          <w:rFonts w:hint="eastAsia"/>
          <w:spacing w:val="-4"/>
          <w:u w:val="none"/>
          <w:lang w:val="en-US" w:eastAsia="zh-CN"/>
        </w:rPr>
        <w:t>一侧</w:t>
      </w:r>
      <w:r>
        <w:rPr>
          <w:rFonts w:hint="eastAsia"/>
          <w:spacing w:val="-4"/>
          <w:u w:val="none"/>
        </w:rPr>
        <w:t>设置防撞护栏</w:t>
      </w:r>
      <w:r>
        <w:rPr>
          <w:rFonts w:hint="eastAsia"/>
          <w:spacing w:val="-4"/>
          <w:u w:val="none"/>
          <w:lang w:eastAsia="zh-CN"/>
        </w:rPr>
        <w:t>，在</w:t>
      </w:r>
      <w:r>
        <w:rPr>
          <w:rFonts w:hint="eastAsia" w:ascii="Times New Roman" w:hAnsi="Times New Roman" w:eastAsia="宋体" w:cs="Times New Roman"/>
          <w:lang w:val="en-US" w:eastAsia="zh-CN"/>
        </w:rPr>
        <w:t>12、13号风机之间场内道路</w:t>
      </w:r>
      <w:r>
        <w:rPr>
          <w:rFonts w:hint="eastAsia" w:cs="Times New Roman"/>
          <w:lang w:val="en-US" w:eastAsia="zh-CN"/>
        </w:rPr>
        <w:t>邻近</w:t>
      </w:r>
      <w:r>
        <w:rPr>
          <w:rFonts w:hint="default" w:ascii="Times New Roman" w:hAnsi="Times New Roman" w:eastAsia="宋体" w:cs="Times New Roman"/>
          <w:lang w:val="en-US" w:eastAsia="zh-CN"/>
        </w:rPr>
        <w:t>岭脚村山溪水饮用水水源保护区</w:t>
      </w:r>
      <w:r>
        <w:rPr>
          <w:rFonts w:hint="eastAsia"/>
          <w:spacing w:val="-4"/>
          <w:u w:val="none"/>
        </w:rPr>
        <w:t>的</w:t>
      </w:r>
      <w:r>
        <w:rPr>
          <w:rFonts w:hint="eastAsia"/>
          <w:spacing w:val="-4"/>
          <w:u w:val="none"/>
          <w:lang w:val="en-US" w:eastAsia="zh-CN"/>
        </w:rPr>
        <w:t>一侧</w:t>
      </w:r>
      <w:r>
        <w:rPr>
          <w:rFonts w:hint="eastAsia"/>
          <w:spacing w:val="-4"/>
          <w:u w:val="none"/>
        </w:rPr>
        <w:t>设置防撞护栏，防止事故状况下车辆侧翻入水源保护区。</w:t>
      </w:r>
    </w:p>
    <w:p>
      <w:pPr>
        <w:tabs>
          <w:tab w:val="clear" w:pos="480"/>
        </w:tabs>
        <w:adjustRightInd w:val="0"/>
        <w:snapToGrid w:val="0"/>
        <w:ind w:firstLine="480"/>
      </w:pPr>
      <w:r>
        <w:rPr>
          <w:rFonts w:hint="eastAsia"/>
        </w:rPr>
        <w:fldChar w:fldCharType="begin"/>
      </w:r>
      <w:r>
        <w:rPr>
          <w:rFonts w:hint="eastAsia"/>
        </w:rPr>
        <w:instrText xml:space="preserve"> = 6 \* GB3 \* MERGEFORMAT </w:instrText>
      </w:r>
      <w:r>
        <w:rPr>
          <w:rFonts w:hint="eastAsia"/>
        </w:rPr>
        <w:fldChar w:fldCharType="separate"/>
      </w:r>
      <w:r>
        <w:t>⑥</w:t>
      </w:r>
      <w:r>
        <w:rPr>
          <w:rFonts w:hint="eastAsia"/>
        </w:rPr>
        <w:fldChar w:fldCharType="end"/>
      </w:r>
      <w:r>
        <w:rPr>
          <w:rFonts w:hint="eastAsia"/>
        </w:rPr>
        <w:t>项目需制定突发环境事件应急预案，应急预案中明确指出发生风险事故情况下的应急措施；</w:t>
      </w:r>
    </w:p>
    <w:p>
      <w:pPr>
        <w:pStyle w:val="458"/>
        <w:ind w:firstLine="602"/>
        <w:rPr>
          <w:rFonts w:hint="eastAsia" w:ascii="Times New Roman" w:hAnsi="Times New Roman" w:eastAsia="宋体" w:cs="Times New Roman"/>
          <w:color w:val="000000" w:themeColor="text1"/>
          <w:u w:val="none" w:color="auto"/>
          <w:lang w:eastAsia="zh-CN"/>
          <w14:textFill>
            <w14:solidFill>
              <w14:schemeClr w14:val="tx1"/>
            </w14:solidFill>
          </w14:textFill>
        </w:rPr>
      </w:pPr>
      <w:r>
        <w:rPr>
          <w:rFonts w:hint="eastAsia" w:cs="Times New Roman"/>
          <w:color w:val="000000" w:themeColor="text1"/>
          <w:u w:val="none" w:color="auto"/>
          <w:lang w:eastAsia="zh-CN"/>
          <w14:textFill>
            <w14:solidFill>
              <w14:schemeClr w14:val="tx1"/>
            </w14:solidFill>
          </w14:textFill>
        </w:rPr>
        <w:t>噪声污染防治措施</w:t>
      </w:r>
    </w:p>
    <w:p>
      <w:pPr>
        <w:bidi w:val="0"/>
        <w:rPr>
          <w:rFonts w:hint="default"/>
        </w:rPr>
      </w:pPr>
      <w:r>
        <w:rPr>
          <w:rFonts w:hint="default"/>
        </w:rPr>
        <w:t>（1）正常风机噪声控制措施</w:t>
      </w:r>
    </w:p>
    <w:p>
      <w:pPr>
        <w:bidi w:val="0"/>
        <w:rPr>
          <w:rFonts w:hint="default"/>
        </w:rPr>
      </w:pPr>
      <w:r>
        <w:rPr>
          <w:rFonts w:hint="default"/>
        </w:rPr>
        <w:t>风电场运营期，风力发电机组在运转过程中产生的噪声来自于风轮叶片旋转时产生的空气动力噪声和齿轮箱和发电机等部件发出的机械噪声，其中以机组内部的机械噪声为主。为保障风电机组运行对周围环境不产生影响，选择低噪声机组，在风电机组控制系统中设置降噪管理系统，通过改变风轮转速和变桨系统来调整运行状态，进而降低噪声源强；运营期加强对风机的维护，使其处于良好的运行状态，避免风电机组运行对工作人员以及周边环境产生干扰。</w:t>
      </w:r>
    </w:p>
    <w:p>
      <w:pPr>
        <w:bidi w:val="0"/>
        <w:rPr>
          <w:rFonts w:hint="default"/>
        </w:rPr>
      </w:pPr>
      <w:r>
        <w:rPr>
          <w:rFonts w:hint="default"/>
        </w:rPr>
        <w:t>（2）偏航系统运行单个风电机组突发噪声防治措施</w:t>
      </w:r>
    </w:p>
    <w:p>
      <w:pPr>
        <w:bidi w:val="0"/>
        <w:rPr>
          <w:rFonts w:hint="default"/>
          <w:lang w:eastAsia="zh-CN"/>
        </w:rPr>
      </w:pPr>
      <w:r>
        <w:rPr>
          <w:rFonts w:hint="default"/>
          <w:lang w:eastAsia="zh-CN"/>
        </w:rPr>
        <w:t>风电机组在运行过程中应加强偏航系统的维护保养并应尽量避免夜间运行偏航系统，将风电机组对噪声敏感建筑物的影响降低至最小。</w:t>
      </w:r>
    </w:p>
    <w:p>
      <w:pPr>
        <w:bidi w:val="0"/>
        <w:rPr>
          <w:rFonts w:hint="default"/>
        </w:rPr>
      </w:pPr>
      <w:r>
        <w:rPr>
          <w:rFonts w:hint="default"/>
        </w:rPr>
        <w:t>（3）噪声防护控制措施</w:t>
      </w:r>
    </w:p>
    <w:p>
      <w:pPr>
        <w:bidi w:val="0"/>
        <w:rPr>
          <w:rFonts w:hint="eastAsia"/>
          <w:lang w:eastAsia="zh-CN"/>
        </w:rPr>
      </w:pPr>
      <w:r>
        <w:rPr>
          <w:rFonts w:hint="default"/>
        </w:rPr>
        <w:t>根据《湖南省风电场项目建设管理办法》湘发改能源（2012）445号文中提出的“场址距离最近的建筑物原则上应不小于300m，噪声控制应符合国家相关标准限值”的要求，结合本项目风机单机容量及噪声预测结果情况，</w:t>
      </w:r>
      <w:r>
        <w:rPr>
          <w:rFonts w:hint="eastAsia"/>
          <w:lang w:val="en-US" w:eastAsia="zh-CN"/>
        </w:rPr>
        <w:t>因此，</w:t>
      </w:r>
      <w:r>
        <w:rPr>
          <w:rFonts w:hint="default"/>
        </w:rPr>
        <w:t>建议本项目噪声规划控制距离为风机</w:t>
      </w:r>
      <w:r>
        <w:rPr>
          <w:rFonts w:hint="eastAsia"/>
          <w:lang w:eastAsia="zh-CN"/>
        </w:rPr>
        <w:t>平台边界</w:t>
      </w:r>
      <w:r>
        <w:rPr>
          <w:rFonts w:hint="default"/>
        </w:rPr>
        <w:t>3</w:t>
      </w:r>
      <w:r>
        <w:rPr>
          <w:rFonts w:hint="eastAsia"/>
          <w:lang w:val="en-US" w:eastAsia="zh-CN"/>
        </w:rPr>
        <w:t>0</w:t>
      </w:r>
      <w:r>
        <w:rPr>
          <w:rFonts w:hint="default"/>
        </w:rPr>
        <w:t>0m范围。若需在本项目区风机附近新建噪声敏感建筑物或建设对周边噪声敏感建筑物产生较大噪声影响的建设项目，应协调控制好项目建设用地，并满足相应的噪声规划控制距离要求</w:t>
      </w:r>
      <w:r>
        <w:rPr>
          <w:rFonts w:hint="eastAsia"/>
          <w:lang w:eastAsia="zh-CN"/>
        </w:rPr>
        <w:t>。</w:t>
      </w:r>
    </w:p>
    <w:p>
      <w:pPr>
        <w:pStyle w:val="458"/>
        <w:ind w:firstLine="602"/>
        <w:rPr>
          <w:rFonts w:hint="eastAsia" w:ascii="Times New Roman" w:hAnsi="Times New Roman" w:eastAsia="宋体" w:cs="Times New Roman"/>
          <w:color w:val="000000" w:themeColor="text1"/>
          <w:u w:val="none" w:color="auto"/>
          <w:lang w:eastAsia="zh-CN"/>
          <w14:textFill>
            <w14:solidFill>
              <w14:schemeClr w14:val="tx1"/>
            </w14:solidFill>
          </w14:textFill>
        </w:rPr>
      </w:pPr>
      <w:r>
        <w:rPr>
          <w:rFonts w:hint="eastAsia" w:cs="Times New Roman"/>
          <w:color w:val="000000" w:themeColor="text1"/>
          <w:u w:val="none" w:color="auto"/>
          <w:lang w:eastAsia="zh-CN"/>
          <w14:textFill>
            <w14:solidFill>
              <w14:schemeClr w14:val="tx1"/>
            </w14:solidFill>
          </w14:textFill>
        </w:rPr>
        <w:t>固体废物污染防治措施</w:t>
      </w:r>
    </w:p>
    <w:p>
      <w:pPr>
        <w:bidi w:val="0"/>
        <w:rPr>
          <w:rFonts w:hint="eastAsia"/>
          <w:lang w:eastAsia="zh-CN"/>
        </w:rPr>
      </w:pPr>
      <w:r>
        <w:rPr>
          <w:rFonts w:hint="eastAsia"/>
          <w:lang w:eastAsia="zh-CN"/>
        </w:rPr>
        <w:t>运营期间生活垃圾产生量小，可在汇集站设置垃圾箱，将生活垃圾进行分类收集后交由乡镇环卫部门统一收集后进行卫生填埋。一体化污水处理设施产生的污泥将自行堆肥，主要用于场区的绿化和生态恢复。因此，本项目固废处理后能实现无害化要求，从处置途径和处置方式上看可行。</w:t>
      </w:r>
    </w:p>
    <w:p>
      <w:pPr>
        <w:bidi w:val="0"/>
        <w:rPr>
          <w:rFonts w:hint="eastAsia"/>
          <w:lang w:eastAsia="zh-CN"/>
        </w:rPr>
      </w:pPr>
      <w:r>
        <w:rPr>
          <w:rFonts w:hint="eastAsia"/>
          <w:lang w:eastAsia="zh-CN"/>
        </w:rPr>
        <w:t>运营期，风电机组更换废机油时，需安排专业人员进行操作，用专门的油桶将废机油进行收集并在汇集站内设置专用暂存间进行暂存，最终定期交由有相关资质的单位合理处置，严禁随意丢弃。油桶和暂存间须设置明显标志，暂存间地面应进行防渗处理。</w:t>
      </w:r>
    </w:p>
    <w:p>
      <w:pPr>
        <w:bidi w:val="0"/>
        <w:rPr>
          <w:rFonts w:hint="eastAsia"/>
          <w:lang w:eastAsia="zh-CN"/>
        </w:rPr>
      </w:pPr>
      <w:r>
        <w:rPr>
          <w:rFonts w:hint="eastAsia"/>
          <w:lang w:eastAsia="zh-CN"/>
        </w:rPr>
        <w:t>运营期在机组检修过程中产生的废蓄电池，由厂家进行更换，更换后暂存于危废暂存间内，</w:t>
      </w:r>
      <w:r>
        <w:rPr>
          <w:rFonts w:hint="eastAsia"/>
          <w:kern w:val="0"/>
          <w:sz w:val="24"/>
          <w:u w:val="none" w:color="auto"/>
          <w:lang w:val="en-US" w:eastAsia="zh-CN"/>
        </w:rPr>
        <w:t>交</w:t>
      </w:r>
      <w:r>
        <w:rPr>
          <w:rFonts w:hint="eastAsia"/>
          <w:kern w:val="0"/>
          <w:sz w:val="24"/>
          <w:u w:val="none" w:color="auto"/>
          <w:lang w:val="sq-AL" w:eastAsia="zh-CN"/>
        </w:rPr>
        <w:t>由</w:t>
      </w:r>
      <w:r>
        <w:rPr>
          <w:rFonts w:hint="eastAsia"/>
          <w:kern w:val="0"/>
          <w:sz w:val="24"/>
          <w:u w:val="none" w:color="auto"/>
          <w:lang w:val="en-US" w:eastAsia="zh-CN"/>
        </w:rPr>
        <w:t>有资质的单位</w:t>
      </w:r>
      <w:r>
        <w:rPr>
          <w:rFonts w:hint="eastAsia"/>
          <w:kern w:val="0"/>
          <w:sz w:val="24"/>
          <w:u w:val="none" w:color="auto"/>
          <w:lang w:val="sq-AL" w:eastAsia="zh-CN"/>
        </w:rPr>
        <w:t>处置</w:t>
      </w:r>
      <w:r>
        <w:rPr>
          <w:rFonts w:hint="eastAsia"/>
          <w:lang w:eastAsia="zh-CN"/>
        </w:rPr>
        <w:t>。</w:t>
      </w:r>
    </w:p>
    <w:p>
      <w:pPr>
        <w:bidi w:val="0"/>
        <w:rPr>
          <w:rFonts w:hint="eastAsia"/>
          <w:lang w:eastAsia="zh-CN"/>
        </w:rPr>
      </w:pPr>
      <w:r>
        <w:rPr>
          <w:rFonts w:hint="eastAsia"/>
          <w:lang w:eastAsia="zh-CN"/>
        </w:rPr>
        <w:t>汇集站变压器使用变压器油，事故发生时会发生变压器油外泄。变电站内设置污油排蓄系统，即按最大一台主变压器的油量，设一座事故油池，事故油池容积</w:t>
      </w:r>
      <w:r>
        <w:rPr>
          <w:rFonts w:hint="eastAsia"/>
          <w:lang w:val="en-US" w:eastAsia="zh-CN"/>
        </w:rPr>
        <w:t>90</w:t>
      </w:r>
      <w:r>
        <w:rPr>
          <w:rFonts w:hint="eastAsia"/>
          <w:lang w:eastAsia="zh-CN"/>
        </w:rPr>
        <w:t>m</w:t>
      </w:r>
      <w:r>
        <w:rPr>
          <w:rFonts w:hint="eastAsia"/>
          <w:vertAlign w:val="superscript"/>
          <w:lang w:eastAsia="zh-CN"/>
        </w:rPr>
        <w:t>3</w:t>
      </w:r>
      <w:r>
        <w:rPr>
          <w:rFonts w:hint="eastAsia"/>
          <w:lang w:eastAsia="zh-CN"/>
        </w:rPr>
        <w:t>，注意加盖防雨，相关的管道、池壁和池底均进行水泥防渗处理，以免泄漏变压器油对周边环境造成影响。一旦变压器事故时排油或漏油，所有的油水混合物渗过卵石层并通过排油槽到达集油池，在此过程中卵石层起到冷却油的作用，不易发生火灾。事故油池正常情况下需保持空置状态，保证事故情况下变压器油全部流入正常运行的事故油池。废变压器油属于危险废物，集中收集后委托有危险废物处理资质的单位妥善处理。汇集站泄漏的变压器油可以得到妥善处置。</w:t>
      </w:r>
    </w:p>
    <w:p>
      <w:pPr>
        <w:bidi w:val="0"/>
        <w:rPr>
          <w:rFonts w:hint="default"/>
        </w:rPr>
      </w:pPr>
      <w:r>
        <w:rPr>
          <w:rFonts w:hint="default"/>
        </w:rPr>
        <w:t>根据《危险废物贮存污染控制标准》（GB18597-20</w:t>
      </w:r>
      <w:r>
        <w:rPr>
          <w:rFonts w:hint="eastAsia"/>
          <w:lang w:val="en-US" w:eastAsia="zh-CN"/>
        </w:rPr>
        <w:t>23</w:t>
      </w:r>
      <w:r>
        <w:rPr>
          <w:rFonts w:hint="default"/>
        </w:rPr>
        <w:t>）的相关要求，项目危废的收集、暂存、运输需满足以下</w:t>
      </w:r>
      <w:r>
        <w:rPr>
          <w:rFonts w:hint="eastAsia"/>
          <w:lang w:eastAsia="zh-CN"/>
        </w:rPr>
        <w:t>要求</w:t>
      </w:r>
      <w:r>
        <w:rPr>
          <w:rFonts w:hint="default"/>
        </w:rPr>
        <w:t>：</w:t>
      </w:r>
    </w:p>
    <w:p>
      <w:pPr>
        <w:bidi w:val="0"/>
        <w:rPr>
          <w:rFonts w:hint="default"/>
        </w:rPr>
      </w:pPr>
      <w:r>
        <w:rPr>
          <w:rFonts w:hint="default"/>
        </w:rPr>
        <w:t>A、危险废物的收集包装：</w:t>
      </w:r>
    </w:p>
    <w:p>
      <w:pPr>
        <w:bidi w:val="0"/>
        <w:rPr>
          <w:rFonts w:hint="default"/>
        </w:rPr>
      </w:pPr>
      <w:r>
        <w:rPr>
          <w:rFonts w:hint="default"/>
        </w:rPr>
        <w:t>a．有符合要求的包装容器、收集人员的个人防护设备。</w:t>
      </w:r>
    </w:p>
    <w:p>
      <w:pPr>
        <w:bidi w:val="0"/>
        <w:rPr>
          <w:rFonts w:hint="default"/>
        </w:rPr>
      </w:pPr>
      <w:r>
        <w:rPr>
          <w:rFonts w:hint="default"/>
        </w:rPr>
        <w:t>b．危险废物的收集容器应在醒目位置贴有危险废物标签，在收集场所醒目的地方设置危险废物警告标识。</w:t>
      </w:r>
    </w:p>
    <w:p>
      <w:pPr>
        <w:bidi w:val="0"/>
        <w:rPr>
          <w:rFonts w:hint="default"/>
        </w:rPr>
      </w:pPr>
      <w:r>
        <w:rPr>
          <w:rFonts w:hint="default"/>
        </w:rPr>
        <w:t>c．危险废物标签应标明以下信息：主要化学成分或危险废物名称、数量、物理形态、危险类别、安全措施以及危险废物产生单位名称、地址、联系人及电话。</w:t>
      </w:r>
    </w:p>
    <w:p>
      <w:pPr>
        <w:bidi w:val="0"/>
        <w:rPr>
          <w:rFonts w:hint="default"/>
        </w:rPr>
      </w:pPr>
      <w:r>
        <w:rPr>
          <w:rFonts w:hint="default"/>
        </w:rPr>
        <w:t>B、危险废物的暂存要求：</w:t>
      </w:r>
    </w:p>
    <w:p>
      <w:pPr>
        <w:bidi w:val="0"/>
        <w:rPr>
          <w:rFonts w:hint="default"/>
        </w:rPr>
      </w:pPr>
      <w:r>
        <w:rPr>
          <w:rFonts w:hint="default"/>
        </w:rPr>
        <w:t>a.按GB15562.2《环境保护图形标识—固体废物贮存（处置）场》设置警示标志。</w:t>
      </w:r>
    </w:p>
    <w:p>
      <w:pPr>
        <w:bidi w:val="0"/>
        <w:rPr>
          <w:rFonts w:hint="default"/>
        </w:rPr>
      </w:pPr>
      <w:r>
        <w:rPr>
          <w:rFonts w:hint="default"/>
        </w:rPr>
        <w:t>b.必须有耐腐蚀的硬化地面和基础防渗层，地面无裂隙；设施底部必须高于地下水最高水位。</w:t>
      </w:r>
    </w:p>
    <w:p>
      <w:pPr>
        <w:bidi w:val="0"/>
        <w:rPr>
          <w:rFonts w:hint="default"/>
        </w:rPr>
      </w:pPr>
      <w:r>
        <w:rPr>
          <w:rFonts w:hint="default"/>
        </w:rPr>
        <w:t>c.要求有必要的防风、防雨、防晒措施。</w:t>
      </w:r>
    </w:p>
    <w:p>
      <w:pPr>
        <w:bidi w:val="0"/>
        <w:rPr>
          <w:rFonts w:hint="default"/>
        </w:rPr>
      </w:pPr>
      <w:r>
        <w:rPr>
          <w:rFonts w:hint="default"/>
        </w:rPr>
        <w:t>d.要有隔离设施或其它防护栅栏。</w:t>
      </w:r>
    </w:p>
    <w:p>
      <w:pPr>
        <w:bidi w:val="0"/>
        <w:rPr>
          <w:rFonts w:hint="default"/>
        </w:rPr>
      </w:pPr>
      <w:r>
        <w:rPr>
          <w:rFonts w:hint="default"/>
        </w:rPr>
        <w:t>e.配备通讯设备、照明设施、安全防护服装，设有报警装置和应急防护设施。</w:t>
      </w:r>
    </w:p>
    <w:p>
      <w:pPr>
        <w:bidi w:val="0"/>
        <w:rPr>
          <w:rFonts w:hint="default"/>
        </w:rPr>
      </w:pPr>
      <w:r>
        <w:rPr>
          <w:rFonts w:hint="default"/>
        </w:rPr>
        <w:t>f.危险废物必须装入容器内，禁止将不相容的危险废物在同一容器内混装。无法装入常用容器的危险废物可用防漏胶袋等盛装。盛装危险废物的容器上必须粘贴符合危险废物不同类别的标签。</w:t>
      </w:r>
    </w:p>
    <w:p>
      <w:pPr>
        <w:bidi w:val="0"/>
        <w:rPr>
          <w:rFonts w:hint="default"/>
        </w:rPr>
      </w:pPr>
      <w:r>
        <w:rPr>
          <w:rFonts w:hint="default"/>
        </w:rPr>
        <w:t>g.本项目单位应做好危险废物产生情况的记录，建立台账系统，记录上须注明危险废物的名称、来源、数量、特性和包装容器的类别，入库日期，存放库位，废物出库日期及接收单位名称。危险废物的记录和货单在危险废物回取后应继续保留3年。</w:t>
      </w:r>
    </w:p>
    <w:p>
      <w:pPr>
        <w:bidi w:val="0"/>
        <w:rPr>
          <w:rFonts w:hint="default"/>
        </w:rPr>
      </w:pPr>
      <w:r>
        <w:rPr>
          <w:rFonts w:hint="eastAsia"/>
          <w:lang w:val="en-US" w:eastAsia="zh-CN"/>
        </w:rPr>
        <w:t>C</w:t>
      </w:r>
      <w:r>
        <w:rPr>
          <w:rFonts w:hint="default"/>
        </w:rPr>
        <w:t>、危险废物的运输要求：</w:t>
      </w:r>
    </w:p>
    <w:p>
      <w:pPr>
        <w:bidi w:val="0"/>
        <w:rPr>
          <w:rFonts w:hint="default"/>
        </w:rPr>
      </w:pPr>
      <w:r>
        <w:rPr>
          <w:rFonts w:hint="default"/>
        </w:rPr>
        <w:t>a.危险废物产生单位每转移一车同类危险废物，应当填写一份联单，每车有多类危险废物的，应当按每一类危险废物填写一份联单。</w:t>
      </w:r>
    </w:p>
    <w:p>
      <w:pPr>
        <w:bidi w:val="0"/>
        <w:rPr>
          <w:rFonts w:hint="default"/>
        </w:rPr>
      </w:pPr>
      <w:r>
        <w:rPr>
          <w:rFonts w:hint="default"/>
        </w:rPr>
        <w:t>b.危险废物产生单位应当如实填写联单中产生单位栏目，并加盖公章，经交付危险废物运输单位核实验收签字后，将联单第一联副联自留存档，将联单第二联交移出地环境保护行政主管部门，联单第一联正联及其余各联交付运输单位随危险废物转移运行。</w:t>
      </w:r>
    </w:p>
    <w:p>
      <w:pPr>
        <w:bidi w:val="0"/>
        <w:rPr>
          <w:rFonts w:hint="default"/>
        </w:rPr>
      </w:pPr>
      <w:r>
        <w:rPr>
          <w:rFonts w:hint="default"/>
        </w:rPr>
        <w:t>c.危险废物</w:t>
      </w:r>
      <w:r>
        <w:rPr>
          <w:rFonts w:hint="default"/>
          <w:lang w:eastAsia="zh-CN"/>
        </w:rPr>
        <w:t>接收单位</w:t>
      </w:r>
      <w:r>
        <w:rPr>
          <w:rFonts w:hint="default"/>
        </w:rPr>
        <w:t>应当按照联单填写的内容对危险废物核实验收，如实填写联单中</w:t>
      </w:r>
      <w:r>
        <w:rPr>
          <w:rFonts w:hint="default"/>
          <w:lang w:eastAsia="zh-CN"/>
        </w:rPr>
        <w:t>接收单位</w:t>
      </w:r>
      <w:r>
        <w:rPr>
          <w:rFonts w:hint="default"/>
        </w:rPr>
        <w:t>栏目并加盖公章。</w:t>
      </w:r>
    </w:p>
    <w:p>
      <w:pPr>
        <w:bidi w:val="0"/>
        <w:rPr>
          <w:rFonts w:hint="default"/>
        </w:rPr>
      </w:pPr>
      <w:r>
        <w:rPr>
          <w:rFonts w:hint="default"/>
        </w:rPr>
        <w:t>d.</w:t>
      </w:r>
      <w:r>
        <w:rPr>
          <w:rFonts w:hint="default"/>
          <w:lang w:eastAsia="zh-CN"/>
        </w:rPr>
        <w:t>接收单位</w:t>
      </w:r>
      <w:r>
        <w:rPr>
          <w:rFonts w:hint="default"/>
        </w:rPr>
        <w:t>应当将联单第一联、第二联副联自接受危险废物之日起十日内交付产生单位，联单第一联由产生单位自留存档，联单第二联副联由产生单位在二日内报送移出地环境保护行政主管部门；</w:t>
      </w:r>
      <w:r>
        <w:rPr>
          <w:rFonts w:hint="default"/>
          <w:lang w:eastAsia="zh-CN"/>
        </w:rPr>
        <w:t>接收单位</w:t>
      </w:r>
      <w:r>
        <w:rPr>
          <w:rFonts w:hint="default"/>
        </w:rPr>
        <w:t>将联单第三联交付运输单位存档；将联单第四联自留存档；将联单第五联自接受危险废物之日起二日内报送接受地环境保护行政主管部门。</w:t>
      </w:r>
    </w:p>
    <w:p>
      <w:pPr>
        <w:bidi w:val="0"/>
        <w:rPr>
          <w:rFonts w:hint="default"/>
        </w:rPr>
      </w:pPr>
      <w:r>
        <w:rPr>
          <w:rFonts w:hint="default"/>
        </w:rPr>
        <w:t>e.危险废物</w:t>
      </w:r>
      <w:r>
        <w:rPr>
          <w:rFonts w:hint="default"/>
          <w:lang w:eastAsia="zh-CN"/>
        </w:rPr>
        <w:t>接收单位</w:t>
      </w:r>
      <w:r>
        <w:rPr>
          <w:rFonts w:hint="default"/>
        </w:rPr>
        <w:t>验收发现危险废物的名称、数量、特性、形态、包装方式与联单填写内容不符的，应当及时向接受地环境保护行政主管部门报告，并通知产生单位。</w:t>
      </w:r>
    </w:p>
    <w:p>
      <w:pPr>
        <w:bidi w:val="0"/>
        <w:rPr>
          <w:rFonts w:hint="eastAsia" w:ascii="Times New Roman" w:hAnsi="Times New Roman" w:eastAsia="宋体"/>
          <w:color w:val="auto"/>
          <w:u w:val="none" w:color="auto"/>
          <w:lang w:val="zh-CN"/>
        </w:rPr>
      </w:pPr>
      <w:r>
        <w:rPr>
          <w:rFonts w:hint="default"/>
          <w:lang w:eastAsia="zh-CN"/>
        </w:rPr>
        <w:t>采取上述措施后，项目产生的固体废物处置可以做到无害化</w:t>
      </w:r>
      <w:r>
        <w:rPr>
          <w:rFonts w:hint="eastAsia"/>
          <w:lang w:val="zh-CN"/>
        </w:rPr>
        <w:t>。</w:t>
      </w:r>
    </w:p>
    <w:p>
      <w:pPr>
        <w:pStyle w:val="4"/>
        <w:tabs>
          <w:tab w:val="clear" w:pos="480"/>
          <w:tab w:val="clear" w:pos="840"/>
        </w:tabs>
        <w:adjustRightInd w:val="0"/>
        <w:snapToGrid w:val="0"/>
        <w:spacing w:before="0" w:after="0" w:line="360" w:lineRule="auto"/>
        <w:rPr>
          <w:rFonts w:ascii="Times New Roman" w:eastAsia="宋体"/>
          <w:sz w:val="28"/>
          <w:szCs w:val="28"/>
          <w:lang w:val="en-US"/>
        </w:rPr>
      </w:pPr>
      <w:r>
        <w:rPr>
          <w:rFonts w:hint="eastAsia" w:ascii="Times New Roman" w:eastAsia="宋体"/>
          <w:sz w:val="28"/>
          <w:szCs w:val="28"/>
          <w:lang w:val="en-US"/>
        </w:rPr>
        <w:t>电磁污染防治措施</w:t>
      </w:r>
    </w:p>
    <w:p>
      <w:pPr>
        <w:tabs>
          <w:tab w:val="clear" w:pos="480"/>
        </w:tabs>
        <w:adjustRightInd w:val="0"/>
        <w:snapToGrid w:val="0"/>
        <w:ind w:firstLine="480"/>
      </w:pPr>
      <w:r>
        <w:rPr>
          <w:rFonts w:hint="eastAsia"/>
        </w:rPr>
        <w:t>（1）</w:t>
      </w:r>
      <w:r>
        <w:t>严格按照《35</w:t>
      </w:r>
      <w:r>
        <w:rPr>
          <w:rFonts w:hint="eastAsia"/>
          <w:lang w:eastAsia="zh-CN"/>
        </w:rPr>
        <w:t>kV</w:t>
      </w:r>
      <w:r>
        <w:t>～220</w:t>
      </w:r>
      <w:r>
        <w:rPr>
          <w:rFonts w:hint="eastAsia"/>
          <w:lang w:eastAsia="zh-CN"/>
        </w:rPr>
        <w:t>kV</w:t>
      </w:r>
      <w:r>
        <w:t>无人值班变电站设计规程》（DL/T5103－2012）的要求选择电气设备，对高压一次设备采用均压措施</w:t>
      </w:r>
      <w:r>
        <w:rPr>
          <w:rFonts w:hint="eastAsia"/>
        </w:rPr>
        <w:t>。</w:t>
      </w:r>
    </w:p>
    <w:p>
      <w:pPr>
        <w:tabs>
          <w:tab w:val="clear" w:pos="480"/>
        </w:tabs>
        <w:adjustRightInd w:val="0"/>
        <w:snapToGrid w:val="0"/>
        <w:ind w:firstLine="480"/>
      </w:pPr>
      <w:r>
        <w:rPr>
          <w:rFonts w:hint="eastAsia"/>
        </w:rPr>
        <w:t>（2）</w:t>
      </w:r>
      <w:r>
        <w:t>控制导体和电气设备安全距离，选用具有抗干扰能力的设备，设置防雷接地保护装置等；</w:t>
      </w:r>
      <w:r>
        <w:rPr>
          <w:rFonts w:hint="eastAsia"/>
        </w:rPr>
        <w:t>同时在升压站设备定货时，要求导线、母线、均压环、管母线终端球和其它金具等提高加工工艺，防止尖端放电和起电晕。</w:t>
      </w:r>
    </w:p>
    <w:p>
      <w:pPr>
        <w:tabs>
          <w:tab w:val="clear" w:pos="480"/>
        </w:tabs>
        <w:adjustRightInd w:val="0"/>
        <w:snapToGrid w:val="0"/>
        <w:ind w:firstLine="480"/>
      </w:pPr>
      <w:r>
        <w:rPr>
          <w:rFonts w:hint="eastAsia"/>
        </w:rPr>
        <w:t>（3）</w:t>
      </w:r>
      <w:r>
        <w:t>控制配电构架高度、对地和相间距离，控制设备间连线离地面的最低高度，</w:t>
      </w:r>
      <w:r>
        <w:rPr>
          <w:rFonts w:hint="eastAsia"/>
        </w:rPr>
        <w:t>确保220</w:t>
      </w:r>
      <w:r>
        <w:rPr>
          <w:rFonts w:hint="eastAsia"/>
          <w:lang w:eastAsia="zh-CN"/>
        </w:rPr>
        <w:t>kV</w:t>
      </w:r>
      <w:r>
        <w:rPr>
          <w:rFonts w:hint="eastAsia"/>
        </w:rPr>
        <w:t>升压站厂界工频电场强度满足标准。</w:t>
      </w:r>
    </w:p>
    <w:p>
      <w:pPr>
        <w:tabs>
          <w:tab w:val="clear" w:pos="480"/>
        </w:tabs>
        <w:adjustRightInd w:val="0"/>
        <w:snapToGrid w:val="0"/>
        <w:ind w:firstLine="480"/>
      </w:pPr>
      <w:r>
        <w:rPr>
          <w:rFonts w:hint="eastAsia"/>
        </w:rPr>
        <w:t>（4）</w:t>
      </w:r>
      <w:r>
        <w:t>为避免运营期外来人员进入</w:t>
      </w:r>
      <w:r>
        <w:rPr>
          <w:rFonts w:hint="eastAsia"/>
        </w:rPr>
        <w:t>升压站</w:t>
      </w:r>
      <w:r>
        <w:t>附近、保证外来人员的生命安全，升压站四周</w:t>
      </w:r>
      <w:r>
        <w:rPr>
          <w:rFonts w:hint="eastAsia"/>
        </w:rPr>
        <w:t>应</w:t>
      </w:r>
      <w:r>
        <w:t>设置高</w:t>
      </w:r>
      <w:r>
        <w:rPr>
          <w:rFonts w:hint="eastAsia"/>
        </w:rPr>
        <w:t>的实</w:t>
      </w:r>
      <w:r>
        <w:t>体围墙，围墙周围挂设警示标志，禁止外来人员进入变电所区域。</w:t>
      </w:r>
    </w:p>
    <w:p>
      <w:pPr>
        <w:pStyle w:val="457"/>
        <w:ind w:firstLine="643"/>
        <w:rPr>
          <w:rFonts w:hint="eastAsia" w:ascii="Times New Roman" w:hAnsi="Times New Roman" w:eastAsia="宋体" w:cs="Times New Roman"/>
          <w:color w:val="000000" w:themeColor="text1"/>
          <w:u w:val="none" w:color="auto"/>
          <w:lang w:eastAsia="zh-CN"/>
          <w14:textFill>
            <w14:solidFill>
              <w14:schemeClr w14:val="tx1"/>
            </w14:solidFill>
          </w14:textFill>
        </w:rPr>
      </w:pPr>
      <w:bookmarkStart w:id="157" w:name="_Toc13856"/>
      <w:r>
        <w:rPr>
          <w:rFonts w:hint="eastAsia" w:ascii="Times New Roman" w:hAnsi="Times New Roman" w:cs="Times New Roman"/>
          <w:color w:val="000000" w:themeColor="text1"/>
          <w:u w:val="none" w:color="auto"/>
          <w:lang w:eastAsia="zh-CN"/>
          <w14:textFill>
            <w14:solidFill>
              <w14:schemeClr w14:val="tx1"/>
            </w14:solidFill>
          </w14:textFill>
        </w:rPr>
        <w:t>生态保护措施</w:t>
      </w:r>
      <w:bookmarkEnd w:id="157"/>
    </w:p>
    <w:p>
      <w:pPr>
        <w:pStyle w:val="458"/>
        <w:ind w:firstLine="602"/>
        <w:rPr>
          <w:rFonts w:hint="eastAsia" w:ascii="Times New Roman" w:hAnsi="Times New Roman" w:eastAsia="宋体" w:cs="Times New Roman"/>
          <w:color w:val="000000" w:themeColor="text1"/>
          <w:u w:val="none" w:color="auto"/>
          <w:lang w:eastAsia="zh-CN"/>
          <w14:textFill>
            <w14:solidFill>
              <w14:schemeClr w14:val="tx1"/>
            </w14:solidFill>
          </w14:textFill>
        </w:rPr>
      </w:pPr>
      <w:r>
        <w:rPr>
          <w:rFonts w:hint="eastAsia" w:ascii="宋体" w:hAnsi="宋体" w:eastAsia="宋体" w:cs="宋体"/>
          <w:sz w:val="28"/>
          <w:szCs w:val="28"/>
          <w:u w:val="none" w:color="auto"/>
        </w:rPr>
        <w:t>陆生植物的保护措施</w:t>
      </w:r>
    </w:p>
    <w:p>
      <w:pPr>
        <w:keepNext w:val="0"/>
        <w:keepLines w:val="0"/>
        <w:pageBreakBefore w:val="0"/>
        <w:widowControl w:val="0"/>
        <w:kinsoku/>
        <w:wordWrap/>
        <w:overflowPunct/>
        <w:topLinePunct w:val="0"/>
        <w:autoSpaceDE/>
        <w:autoSpaceDN/>
        <w:bidi w:val="0"/>
        <w:adjustRightInd/>
        <w:snapToGrid w:val="0"/>
        <w:ind w:firstLine="480"/>
        <w:textAlignment w:val="auto"/>
        <w:rPr>
          <w:rFonts w:hint="eastAsia" w:ascii="Times New Roman" w:hAnsi="Times New Roman" w:eastAsia="宋体" w:cs="Times New Roman"/>
          <w:b/>
          <w:bCs/>
          <w:u w:val="none" w:color="auto"/>
          <w:lang w:val="en-US" w:eastAsia="zh-CN"/>
        </w:rPr>
      </w:pPr>
      <w:bookmarkStart w:id="158" w:name="_Toc478243111"/>
      <w:bookmarkEnd w:id="158"/>
      <w:bookmarkStart w:id="159" w:name="_Toc478243831"/>
      <w:bookmarkEnd w:id="159"/>
      <w:bookmarkStart w:id="160" w:name="_Toc478243935"/>
      <w:bookmarkEnd w:id="160"/>
      <w:bookmarkStart w:id="161" w:name="_Toc696_WPSOffice_Level3"/>
      <w:bookmarkStart w:id="162" w:name="_Toc880"/>
      <w:bookmarkStart w:id="163" w:name="_Toc478243936"/>
      <w:bookmarkStart w:id="164" w:name="_Toc13089"/>
      <w:r>
        <w:rPr>
          <w:rFonts w:hint="eastAsia" w:cs="Times New Roman"/>
          <w:b/>
          <w:bCs/>
          <w:u w:val="none" w:color="auto"/>
          <w:lang w:val="en-US" w:eastAsia="zh-CN"/>
        </w:rPr>
        <w:t>（1）</w:t>
      </w:r>
      <w:r>
        <w:rPr>
          <w:rFonts w:hint="eastAsia" w:ascii="Times New Roman" w:hAnsi="Times New Roman" w:eastAsia="宋体" w:cs="Times New Roman"/>
          <w:b/>
          <w:bCs/>
          <w:u w:val="none" w:color="auto"/>
          <w:lang w:val="en-US" w:eastAsia="zh-CN"/>
        </w:rPr>
        <w:t>生态环境的恢复与补偿措施</w:t>
      </w:r>
      <w:bookmarkEnd w:id="161"/>
      <w:bookmarkEnd w:id="162"/>
      <w:bookmarkEnd w:id="163"/>
      <w:bookmarkEnd w:id="164"/>
    </w:p>
    <w:p>
      <w:pPr>
        <w:keepNext w:val="0"/>
        <w:keepLines w:val="0"/>
        <w:pageBreakBefore w:val="0"/>
        <w:widowControl w:val="0"/>
        <w:kinsoku/>
        <w:wordWrap/>
        <w:overflowPunct/>
        <w:topLinePunct w:val="0"/>
        <w:autoSpaceDE/>
        <w:autoSpaceDN/>
        <w:bidi w:val="0"/>
        <w:adjustRightInd/>
        <w:snapToGrid w:val="0"/>
        <w:ind w:firstLine="480"/>
        <w:textAlignment w:val="auto"/>
        <w:rPr>
          <w:u w:val="none" w:color="auto"/>
        </w:rPr>
      </w:pPr>
      <w:r>
        <w:rPr>
          <w:rFonts w:hint="eastAsia"/>
          <w:u w:val="none" w:color="auto"/>
        </w:rPr>
        <w:t>恢复与补偿措施主要是指对于已经造成危害的地段或地域所采取的尽量降低损害和弥补损失的补救措施，这些措施和办法都是事后而</w:t>
      </w:r>
      <w:bookmarkStart w:id="165" w:name="_Toc478148621"/>
      <w:bookmarkStart w:id="166" w:name="_Toc448490655"/>
      <w:r>
        <w:rPr>
          <w:rFonts w:hint="eastAsia"/>
          <w:u w:val="none" w:color="auto"/>
        </w:rPr>
        <w:t>为。根据本工程的特点，建</w:t>
      </w:r>
      <w:bookmarkEnd w:id="165"/>
      <w:bookmarkEnd w:id="166"/>
      <w:r>
        <w:rPr>
          <w:rFonts w:hint="eastAsia"/>
          <w:u w:val="none" w:color="auto"/>
        </w:rPr>
        <w:t>议采取以下恢复和补偿措施：</w:t>
      </w:r>
    </w:p>
    <w:p>
      <w:pPr>
        <w:keepNext w:val="0"/>
        <w:keepLines w:val="0"/>
        <w:pageBreakBefore w:val="0"/>
        <w:widowControl w:val="0"/>
        <w:numPr>
          <w:ilvl w:val="0"/>
          <w:numId w:val="59"/>
        </w:numPr>
        <w:kinsoku/>
        <w:wordWrap/>
        <w:overflowPunct/>
        <w:topLinePunct w:val="0"/>
        <w:autoSpaceDE/>
        <w:autoSpaceDN/>
        <w:bidi w:val="0"/>
        <w:adjustRightInd/>
        <w:snapToGrid w:val="0"/>
        <w:ind w:left="0" w:leftChars="0" w:firstLine="480" w:firstLineChars="200"/>
        <w:textAlignment w:val="auto"/>
        <w:rPr>
          <w:u w:val="none" w:color="auto"/>
        </w:rPr>
      </w:pPr>
      <w:r>
        <w:rPr>
          <w:rFonts w:hint="eastAsia"/>
          <w:u w:val="none" w:color="auto"/>
        </w:rPr>
        <w:t>风电场场内公路沿路两侧、风电机基础平台外围山地要大量种植乔灌木，主要以种植易成活的适合山地生长的本土植被如</w:t>
      </w:r>
      <w:r>
        <w:rPr>
          <w:rFonts w:hint="eastAsia"/>
          <w:u w:val="none" w:color="auto"/>
          <w:lang w:val="en-US" w:eastAsia="zh-CN"/>
        </w:rPr>
        <w:t>杉木、</w:t>
      </w:r>
      <w:r>
        <w:rPr>
          <w:rFonts w:hint="eastAsia"/>
          <w:u w:val="none" w:color="auto"/>
        </w:rPr>
        <w:t>马尾松、湿地松、栓皮栎、檵木、水竹等，同时在乔木下种植一定量的本土草本，如狗牙根、芒萁、白茅、野艾蒿等。</w:t>
      </w:r>
    </w:p>
    <w:p>
      <w:pPr>
        <w:keepNext w:val="0"/>
        <w:keepLines w:val="0"/>
        <w:pageBreakBefore w:val="0"/>
        <w:widowControl w:val="0"/>
        <w:numPr>
          <w:ilvl w:val="0"/>
          <w:numId w:val="59"/>
        </w:numPr>
        <w:kinsoku/>
        <w:wordWrap/>
        <w:overflowPunct/>
        <w:topLinePunct w:val="0"/>
        <w:autoSpaceDE/>
        <w:autoSpaceDN/>
        <w:bidi w:val="0"/>
        <w:adjustRightInd/>
        <w:snapToGrid w:val="0"/>
        <w:ind w:left="0" w:leftChars="0" w:firstLine="480" w:firstLineChars="200"/>
        <w:textAlignment w:val="auto"/>
        <w:rPr>
          <w:u w:val="none" w:color="auto"/>
        </w:rPr>
      </w:pPr>
      <w:r>
        <w:rPr>
          <w:rFonts w:hint="eastAsia"/>
          <w:u w:val="none" w:color="auto"/>
        </w:rPr>
        <w:t>对于临时占地，由于施工人员、施工车辆及施工材料压占临时设施区改变其土壤紧实度，会影响植被的自然生长；同时材料运输过程中部分沙石、水泥洒落，施工迹地有部分建筑垃圾。因此，在工程完工后应清除各种残留的建筑垃圾，对粒径大于</w:t>
      </w:r>
      <w:r>
        <w:rPr>
          <w:u w:val="none" w:color="auto"/>
        </w:rPr>
        <w:t>5.0cm</w:t>
      </w:r>
      <w:r>
        <w:rPr>
          <w:rFonts w:hint="eastAsia"/>
          <w:u w:val="none" w:color="auto"/>
        </w:rPr>
        <w:t>的碎石块进行捡选去除，在山丘区可采取人、畜力翻松。</w:t>
      </w:r>
    </w:p>
    <w:p>
      <w:pPr>
        <w:keepNext w:val="0"/>
        <w:keepLines w:val="0"/>
        <w:pageBreakBefore w:val="0"/>
        <w:widowControl w:val="0"/>
        <w:numPr>
          <w:ilvl w:val="0"/>
          <w:numId w:val="59"/>
        </w:numPr>
        <w:kinsoku/>
        <w:wordWrap/>
        <w:overflowPunct/>
        <w:topLinePunct w:val="0"/>
        <w:autoSpaceDE/>
        <w:autoSpaceDN/>
        <w:bidi w:val="0"/>
        <w:adjustRightInd/>
        <w:snapToGrid w:val="0"/>
        <w:ind w:left="0" w:leftChars="0" w:firstLine="480" w:firstLineChars="200"/>
        <w:textAlignment w:val="auto"/>
        <w:rPr>
          <w:u w:val="none" w:color="auto"/>
        </w:rPr>
      </w:pPr>
      <w:r>
        <w:rPr>
          <w:rFonts w:hint="eastAsia"/>
          <w:u w:val="none" w:color="auto"/>
        </w:rPr>
        <w:t>工程完工后尽快做好生态环境的恢复工作，尤其是临时占地处，以尽量减少生境破坏对动物的不利影响。公路修建完成后，在公路两侧合理绿化，种植本地适生的杉木、栎类、湿地松、马尾松为主，结合灌木（檵木、马甲子、牡荆等）和草本植物（狗牙根、芒萁、矮蒿、白茅等），可以起到自然景观恢复、避光、减噪、挡风的生态作用。</w:t>
      </w:r>
    </w:p>
    <w:p>
      <w:pPr>
        <w:keepNext w:val="0"/>
        <w:keepLines w:val="0"/>
        <w:pageBreakBefore w:val="0"/>
        <w:widowControl w:val="0"/>
        <w:numPr>
          <w:ilvl w:val="0"/>
          <w:numId w:val="59"/>
        </w:numPr>
        <w:kinsoku/>
        <w:wordWrap/>
        <w:overflowPunct/>
        <w:topLinePunct w:val="0"/>
        <w:autoSpaceDE/>
        <w:autoSpaceDN/>
        <w:bidi w:val="0"/>
        <w:adjustRightInd/>
        <w:snapToGrid w:val="0"/>
        <w:ind w:left="0" w:leftChars="0" w:firstLine="480" w:firstLineChars="200"/>
        <w:textAlignment w:val="auto"/>
        <w:rPr>
          <w:u w:val="none" w:color="auto"/>
        </w:rPr>
      </w:pPr>
      <w:r>
        <w:rPr>
          <w:u w:val="none" w:color="auto"/>
        </w:rPr>
        <w:t>表层土是养分供应、物质能量交换最活跃的层次，是供应植被生长所需各项生活条件的主要场所，也是最易受到污染的层次，因此保护表层土十分重要。</w:t>
      </w:r>
      <w:r>
        <w:rPr>
          <w:szCs w:val="24"/>
          <w:u w:val="none" w:color="auto"/>
        </w:rPr>
        <w:t>对于建设中永久占用地、临时占地占用耕地部分的表层土予以收集保存</w:t>
      </w:r>
      <w:r>
        <w:rPr>
          <w:rFonts w:hint="eastAsia"/>
          <w:szCs w:val="24"/>
          <w:u w:val="none" w:color="auto"/>
        </w:rPr>
        <w:t>，并划分专用场地以及采取措施予以保护</w:t>
      </w:r>
      <w:r>
        <w:rPr>
          <w:rFonts w:hint="eastAsia"/>
          <w:u w:val="none" w:color="auto"/>
        </w:rPr>
        <w:t>，</w:t>
      </w:r>
      <w:r>
        <w:rPr>
          <w:szCs w:val="24"/>
          <w:u w:val="none" w:color="auto"/>
        </w:rPr>
        <w:t>施工结束后及时清理、松土、覆盖耕作土，复耕或选择当地适宜植物及时恢复绿化。</w:t>
      </w:r>
      <w:r>
        <w:rPr>
          <w:u w:val="none" w:color="auto"/>
        </w:rPr>
        <w:t>待工程完工后再回填用于复耕。由于</w:t>
      </w:r>
      <w:r>
        <w:rPr>
          <w:rFonts w:hint="eastAsia"/>
          <w:u w:val="none" w:color="auto"/>
        </w:rPr>
        <w:t>临时</w:t>
      </w:r>
      <w:r>
        <w:rPr>
          <w:u w:val="none" w:color="auto"/>
        </w:rPr>
        <w:t>占地面积中耕地</w:t>
      </w:r>
      <w:r>
        <w:rPr>
          <w:rFonts w:hint="eastAsia"/>
          <w:u w:val="none" w:color="auto"/>
        </w:rPr>
        <w:t>占一定比例</w:t>
      </w:r>
      <w:r>
        <w:rPr>
          <w:u w:val="none" w:color="auto"/>
        </w:rPr>
        <w:t>，表层土的收集以及再利用是非常重要的工作，</w:t>
      </w:r>
      <w:r>
        <w:rPr>
          <w:rFonts w:hint="eastAsia"/>
          <w:u w:val="none" w:color="auto"/>
        </w:rPr>
        <w:t>在必要的情况下，可采取异地取土，运往工程区用于植被恢复，</w:t>
      </w:r>
      <w:r>
        <w:rPr>
          <w:u w:val="none" w:color="auto"/>
        </w:rPr>
        <w:t>其费用应列入工程预算。</w:t>
      </w:r>
    </w:p>
    <w:p>
      <w:pPr>
        <w:keepNext w:val="0"/>
        <w:keepLines w:val="0"/>
        <w:pageBreakBefore w:val="0"/>
        <w:widowControl w:val="0"/>
        <w:numPr>
          <w:ilvl w:val="0"/>
          <w:numId w:val="59"/>
        </w:numPr>
        <w:kinsoku/>
        <w:wordWrap/>
        <w:overflowPunct/>
        <w:topLinePunct w:val="0"/>
        <w:autoSpaceDE/>
        <w:autoSpaceDN/>
        <w:bidi w:val="0"/>
        <w:adjustRightInd/>
        <w:snapToGrid w:val="0"/>
        <w:ind w:left="0" w:leftChars="0" w:firstLine="480" w:firstLineChars="200"/>
        <w:textAlignment w:val="auto"/>
        <w:rPr>
          <w:u w:val="none" w:color="auto"/>
        </w:rPr>
      </w:pPr>
      <w:r>
        <w:rPr>
          <w:rFonts w:hint="eastAsia"/>
          <w:u w:val="none" w:color="auto"/>
        </w:rPr>
        <w:t>对被工程占用的林地，建议林业部门根据当地林业发展规划，积极协助业主单位利用灌草地、道路和宜林地进行造林补偿，保证现有林地面积不减少。</w:t>
      </w:r>
    </w:p>
    <w:p>
      <w:pPr>
        <w:keepNext w:val="0"/>
        <w:keepLines w:val="0"/>
        <w:pageBreakBefore w:val="0"/>
        <w:widowControl w:val="0"/>
        <w:kinsoku/>
        <w:wordWrap/>
        <w:overflowPunct/>
        <w:topLinePunct w:val="0"/>
        <w:autoSpaceDE/>
        <w:autoSpaceDN/>
        <w:bidi w:val="0"/>
        <w:adjustRightInd/>
        <w:snapToGrid w:val="0"/>
        <w:ind w:firstLine="480"/>
        <w:textAlignment w:val="auto"/>
        <w:rPr>
          <w:rFonts w:hint="eastAsia" w:ascii="Times New Roman" w:hAnsi="Times New Roman" w:eastAsia="宋体" w:cs="Times New Roman"/>
          <w:b/>
          <w:bCs/>
          <w:u w:val="none" w:color="auto"/>
          <w:lang w:val="en-US" w:eastAsia="zh-CN"/>
        </w:rPr>
      </w:pPr>
      <w:bookmarkStart w:id="167" w:name="_Toc778"/>
      <w:bookmarkStart w:id="168" w:name="_Toc478243937"/>
      <w:bookmarkStart w:id="169" w:name="_Toc28804_WPSOffice_Level3"/>
      <w:bookmarkStart w:id="170" w:name="_Toc14822"/>
      <w:r>
        <w:rPr>
          <w:rFonts w:hint="eastAsia" w:cs="Times New Roman"/>
          <w:b/>
          <w:bCs/>
          <w:u w:val="none" w:color="auto"/>
          <w:lang w:val="en-US" w:eastAsia="zh-CN"/>
        </w:rPr>
        <w:t>2</w:t>
      </w:r>
      <w:r>
        <w:rPr>
          <w:rFonts w:hint="eastAsia" w:ascii="Times New Roman" w:hAnsi="Times New Roman" w:eastAsia="宋体" w:cs="Times New Roman"/>
          <w:b/>
          <w:bCs/>
          <w:u w:val="none" w:color="auto"/>
          <w:lang w:val="en-US" w:eastAsia="zh-CN"/>
        </w:rPr>
        <w:t>、生态环境的管理措施</w:t>
      </w:r>
      <w:bookmarkEnd w:id="167"/>
      <w:bookmarkEnd w:id="168"/>
      <w:bookmarkEnd w:id="169"/>
      <w:bookmarkEnd w:id="170"/>
    </w:p>
    <w:p>
      <w:pPr>
        <w:keepNext w:val="0"/>
        <w:keepLines w:val="0"/>
        <w:pageBreakBefore w:val="0"/>
        <w:widowControl w:val="0"/>
        <w:numPr>
          <w:ilvl w:val="0"/>
          <w:numId w:val="60"/>
        </w:numPr>
        <w:kinsoku/>
        <w:wordWrap/>
        <w:overflowPunct/>
        <w:topLinePunct w:val="0"/>
        <w:autoSpaceDE/>
        <w:autoSpaceDN/>
        <w:bidi w:val="0"/>
        <w:adjustRightInd/>
        <w:snapToGrid w:val="0"/>
        <w:ind w:left="0" w:leftChars="0" w:firstLine="480" w:firstLineChars="200"/>
        <w:textAlignment w:val="auto"/>
        <w:rPr>
          <w:u w:val="none" w:color="auto"/>
        </w:rPr>
      </w:pPr>
      <w:r>
        <w:rPr>
          <w:rFonts w:hint="eastAsia"/>
          <w:u w:val="none" w:color="auto"/>
        </w:rPr>
        <w:t>强化水土流失的综合治理，做好水土保持规划，增加资金和劳力投入，与植树造林相结合。</w:t>
      </w:r>
    </w:p>
    <w:p>
      <w:pPr>
        <w:keepNext w:val="0"/>
        <w:keepLines w:val="0"/>
        <w:pageBreakBefore w:val="0"/>
        <w:widowControl w:val="0"/>
        <w:numPr>
          <w:ilvl w:val="0"/>
          <w:numId w:val="60"/>
        </w:numPr>
        <w:kinsoku/>
        <w:wordWrap/>
        <w:overflowPunct/>
        <w:topLinePunct w:val="0"/>
        <w:autoSpaceDE/>
        <w:autoSpaceDN/>
        <w:bidi w:val="0"/>
        <w:adjustRightInd/>
        <w:snapToGrid w:val="0"/>
        <w:ind w:left="0" w:leftChars="0" w:firstLine="480" w:firstLineChars="200"/>
        <w:textAlignment w:val="auto"/>
        <w:rPr>
          <w:u w:val="none" w:color="auto"/>
        </w:rPr>
      </w:pPr>
      <w:r>
        <w:rPr>
          <w:rFonts w:hint="eastAsia"/>
          <w:u w:val="none" w:color="auto"/>
        </w:rPr>
        <w:t>要采取有效措施预防火灾。在工</w:t>
      </w:r>
      <w:bookmarkStart w:id="171" w:name="_Toc448490656"/>
      <w:bookmarkStart w:id="172" w:name="_Toc478148622"/>
      <w:r>
        <w:rPr>
          <w:rFonts w:hint="eastAsia"/>
          <w:u w:val="none" w:color="auto"/>
        </w:rPr>
        <w:t>程建设期，更应加强</w:t>
      </w:r>
      <w:bookmarkEnd w:id="171"/>
      <w:bookmarkEnd w:id="172"/>
      <w:r>
        <w:rPr>
          <w:rFonts w:hint="eastAsia"/>
          <w:u w:val="none" w:color="auto"/>
        </w:rPr>
        <w:t>防护，如在施工区、临时居住区及周围山上竖立防火警示牌，划出可生火范围、巡回检查、搞好消防队伍及设施的建设等，以预防和杜绝火灾发生。</w:t>
      </w:r>
    </w:p>
    <w:p>
      <w:pPr>
        <w:keepNext w:val="0"/>
        <w:keepLines w:val="0"/>
        <w:pageBreakBefore w:val="0"/>
        <w:widowControl w:val="0"/>
        <w:numPr>
          <w:ilvl w:val="0"/>
          <w:numId w:val="60"/>
        </w:numPr>
        <w:kinsoku/>
        <w:wordWrap/>
        <w:overflowPunct/>
        <w:topLinePunct w:val="0"/>
        <w:autoSpaceDE/>
        <w:autoSpaceDN/>
        <w:bidi w:val="0"/>
        <w:adjustRightInd/>
        <w:snapToGrid w:val="0"/>
        <w:ind w:left="0" w:leftChars="0" w:firstLine="480" w:firstLineChars="200"/>
        <w:textAlignment w:val="auto"/>
        <w:rPr>
          <w:rFonts w:hint="eastAsia"/>
          <w:u w:val="none" w:color="auto"/>
        </w:rPr>
      </w:pPr>
      <w:r>
        <w:rPr>
          <w:rFonts w:hint="eastAsia"/>
          <w:u w:val="none" w:color="auto"/>
        </w:rPr>
        <w:t>防止外来入侵种的扩散。加大宣传力度，对外来入侵植物的危害以及传播途径向施工人员进行宣传；对现有的外来种，利用工程施工的机会，采用有效的防治措施，消除其危害。</w:t>
      </w:r>
    </w:p>
    <w:p>
      <w:pPr>
        <w:keepNext w:val="0"/>
        <w:keepLines w:val="0"/>
        <w:pageBreakBefore w:val="0"/>
        <w:widowControl w:val="0"/>
        <w:numPr>
          <w:ilvl w:val="0"/>
          <w:numId w:val="60"/>
        </w:numPr>
        <w:kinsoku/>
        <w:wordWrap/>
        <w:overflowPunct/>
        <w:topLinePunct w:val="0"/>
        <w:autoSpaceDE/>
        <w:autoSpaceDN/>
        <w:bidi w:val="0"/>
        <w:adjustRightInd/>
        <w:snapToGrid w:val="0"/>
        <w:ind w:left="0" w:leftChars="0" w:firstLine="480" w:firstLineChars="200"/>
        <w:textAlignment w:val="auto"/>
        <w:rPr>
          <w:u w:val="none" w:color="auto"/>
        </w:rPr>
      </w:pPr>
      <w:r>
        <w:rPr>
          <w:rFonts w:hint="eastAsia"/>
          <w:u w:val="none" w:color="auto"/>
        </w:rPr>
        <w:t>工程建设施工期、运行期都应进行生态影响的监测或调查。通过监测，了解植被的变化，数量变化以及生态系统整体性变化，加强对生态的管理，在工程管理机构，应设置生态环境管理人员，建立各种管理及报告制度，开展对工程影响区的环境教育，提高施工人员和管理人员环境意识。通过动态监测和完善管理，使生态向良性或有利方向发展。</w:t>
      </w:r>
    </w:p>
    <w:p>
      <w:pPr>
        <w:pStyle w:val="458"/>
        <w:ind w:firstLine="602"/>
        <w:rPr>
          <w:rFonts w:hint="eastAsia" w:ascii="宋体" w:hAnsi="宋体" w:eastAsia="宋体" w:cs="宋体"/>
          <w:sz w:val="28"/>
          <w:szCs w:val="28"/>
          <w:u w:val="none" w:color="auto"/>
        </w:rPr>
      </w:pPr>
      <w:bookmarkStart w:id="173" w:name="_Toc12684_WPSOffice_Level2"/>
      <w:bookmarkStart w:id="174" w:name="_Toc17798"/>
      <w:bookmarkStart w:id="175" w:name="_Toc26717"/>
      <w:r>
        <w:rPr>
          <w:rFonts w:hint="eastAsia" w:ascii="宋体" w:hAnsi="宋体" w:eastAsia="宋体" w:cs="宋体"/>
          <w:sz w:val="28"/>
          <w:szCs w:val="28"/>
          <w:u w:val="none" w:color="auto"/>
        </w:rPr>
        <w:t>陆生动物保护措施</w:t>
      </w:r>
      <w:bookmarkEnd w:id="173"/>
      <w:bookmarkEnd w:id="174"/>
      <w:bookmarkEnd w:id="175"/>
    </w:p>
    <w:p>
      <w:pPr>
        <w:keepNext w:val="0"/>
        <w:keepLines w:val="0"/>
        <w:pageBreakBefore w:val="0"/>
        <w:widowControl w:val="0"/>
        <w:kinsoku/>
        <w:wordWrap/>
        <w:overflowPunct/>
        <w:topLinePunct w:val="0"/>
        <w:autoSpaceDE/>
        <w:autoSpaceDN/>
        <w:bidi w:val="0"/>
        <w:adjustRightInd/>
        <w:snapToGrid w:val="0"/>
        <w:textAlignment w:val="auto"/>
        <w:rPr>
          <w:rFonts w:hint="eastAsia"/>
          <w:b/>
          <w:bCs/>
          <w:lang w:eastAsia="zh-CN"/>
        </w:rPr>
      </w:pPr>
      <w:r>
        <w:rPr>
          <w:rFonts w:hint="eastAsia"/>
          <w:b/>
          <w:bCs/>
          <w:lang w:val="en-US" w:eastAsia="zh-CN"/>
        </w:rPr>
        <w:t>（1）</w:t>
      </w:r>
      <w:r>
        <w:rPr>
          <w:rFonts w:hint="eastAsia"/>
          <w:b/>
          <w:bCs/>
          <w:lang w:eastAsia="zh-CN"/>
        </w:rPr>
        <w:t>生态恢复与补偿措施</w:t>
      </w:r>
    </w:p>
    <w:p>
      <w:pPr>
        <w:keepNext w:val="0"/>
        <w:keepLines w:val="0"/>
        <w:pageBreakBefore w:val="0"/>
        <w:widowControl w:val="0"/>
        <w:kinsoku/>
        <w:wordWrap/>
        <w:overflowPunct/>
        <w:topLinePunct w:val="0"/>
        <w:autoSpaceDE/>
        <w:autoSpaceDN/>
        <w:bidi w:val="0"/>
        <w:adjustRightInd/>
        <w:snapToGrid w:val="0"/>
        <w:textAlignment w:val="auto"/>
        <w:rPr>
          <w:rFonts w:hint="eastAsia"/>
          <w:lang w:eastAsia="zh-CN"/>
        </w:rPr>
      </w:pPr>
      <w:r>
        <w:rPr>
          <w:rFonts w:hint="eastAsia"/>
          <w:lang w:eastAsia="zh-CN"/>
        </w:rPr>
        <w:t>①工程完工后尽快做好生态环境的恢复工作，以尽量减少生境破坏对动物的不利影响。每个风机和集电线路施工完成后，在临时占地及其附近合理绿化，种植本地土著的乔木或灌木，尽快恢复动物生境。</w:t>
      </w:r>
    </w:p>
    <w:p>
      <w:pPr>
        <w:keepNext w:val="0"/>
        <w:keepLines w:val="0"/>
        <w:pageBreakBefore w:val="0"/>
        <w:widowControl w:val="0"/>
        <w:kinsoku/>
        <w:wordWrap/>
        <w:overflowPunct/>
        <w:topLinePunct w:val="0"/>
        <w:autoSpaceDE/>
        <w:autoSpaceDN/>
        <w:bidi w:val="0"/>
        <w:adjustRightInd/>
        <w:snapToGrid w:val="0"/>
        <w:textAlignment w:val="auto"/>
        <w:rPr>
          <w:rFonts w:hint="eastAsia"/>
          <w:lang w:eastAsia="zh-CN"/>
        </w:rPr>
      </w:pPr>
      <w:r>
        <w:rPr>
          <w:rFonts w:hint="eastAsia"/>
          <w:lang w:eastAsia="zh-CN"/>
        </w:rPr>
        <w:t>②加强野生动物救护，以便于及时对受伤的野生动物进行救治。</w:t>
      </w:r>
    </w:p>
    <w:p>
      <w:pPr>
        <w:keepNext w:val="0"/>
        <w:keepLines w:val="0"/>
        <w:pageBreakBefore w:val="0"/>
        <w:widowControl w:val="0"/>
        <w:kinsoku/>
        <w:wordWrap/>
        <w:overflowPunct/>
        <w:topLinePunct w:val="0"/>
        <w:autoSpaceDE/>
        <w:autoSpaceDN/>
        <w:bidi w:val="0"/>
        <w:adjustRightInd/>
        <w:snapToGrid w:val="0"/>
        <w:textAlignment w:val="auto"/>
        <w:rPr>
          <w:rFonts w:hint="eastAsia"/>
          <w:lang w:eastAsia="zh-CN"/>
        </w:rPr>
      </w:pPr>
      <w:r>
        <w:rPr>
          <w:rFonts w:hint="eastAsia"/>
          <w:lang w:eastAsia="zh-CN"/>
        </w:rPr>
        <w:t>③本项目运营2年内，做好鸟类观测台账，观测因风机致死的鸟类种类和数量。根据观测结果，对风机运行时间进行调整。对致死的鸟类数量较大的风机，要采取合理的措施，尽量减少对鸟类的影响。</w:t>
      </w:r>
    </w:p>
    <w:p>
      <w:pPr>
        <w:keepNext w:val="0"/>
        <w:keepLines w:val="0"/>
        <w:pageBreakBefore w:val="0"/>
        <w:widowControl w:val="0"/>
        <w:kinsoku/>
        <w:wordWrap/>
        <w:overflowPunct/>
        <w:topLinePunct w:val="0"/>
        <w:autoSpaceDE/>
        <w:autoSpaceDN/>
        <w:bidi w:val="0"/>
        <w:adjustRightInd/>
        <w:snapToGrid w:val="0"/>
        <w:textAlignment w:val="auto"/>
        <w:rPr>
          <w:rFonts w:hint="eastAsia"/>
          <w:b/>
          <w:bCs/>
          <w:lang w:eastAsia="zh-CN"/>
        </w:rPr>
      </w:pPr>
      <w:r>
        <w:rPr>
          <w:rFonts w:hint="eastAsia"/>
          <w:b/>
          <w:bCs/>
          <w:lang w:eastAsia="zh-CN"/>
        </w:rPr>
        <w:t>（</w:t>
      </w:r>
      <w:r>
        <w:rPr>
          <w:rFonts w:hint="eastAsia"/>
          <w:b/>
          <w:bCs/>
          <w:lang w:val="en-US" w:eastAsia="zh-CN"/>
        </w:rPr>
        <w:t>2</w:t>
      </w:r>
      <w:r>
        <w:rPr>
          <w:rFonts w:hint="eastAsia"/>
          <w:b/>
          <w:bCs/>
          <w:lang w:eastAsia="zh-CN"/>
        </w:rPr>
        <w:t>）生态管理措施</w:t>
      </w:r>
    </w:p>
    <w:p>
      <w:pPr>
        <w:keepNext w:val="0"/>
        <w:keepLines w:val="0"/>
        <w:pageBreakBefore w:val="0"/>
        <w:widowControl w:val="0"/>
        <w:kinsoku/>
        <w:wordWrap/>
        <w:overflowPunct/>
        <w:topLinePunct w:val="0"/>
        <w:autoSpaceDE/>
        <w:autoSpaceDN/>
        <w:bidi w:val="0"/>
        <w:adjustRightInd/>
        <w:snapToGrid w:val="0"/>
        <w:textAlignment w:val="auto"/>
        <w:rPr>
          <w:rFonts w:hint="eastAsia"/>
          <w:lang w:eastAsia="zh-CN"/>
        </w:rPr>
      </w:pPr>
      <w:r>
        <w:rPr>
          <w:rFonts w:hint="eastAsia"/>
          <w:lang w:eastAsia="zh-CN"/>
        </w:rPr>
        <w:t>①提高施工和管理人员的法律、保护意识。教育工作人员遵守《中华人民共和国野生动物保护法》，不偷猎野生动物，特别是对国家和省级重点保护野生动物，偷猎要承担法律责任。同时要尽保护生态环境的社会义务。</w:t>
      </w:r>
    </w:p>
    <w:p>
      <w:pPr>
        <w:keepNext w:val="0"/>
        <w:keepLines w:val="0"/>
        <w:pageBreakBefore w:val="0"/>
        <w:widowControl w:val="0"/>
        <w:kinsoku/>
        <w:wordWrap/>
        <w:overflowPunct/>
        <w:topLinePunct w:val="0"/>
        <w:autoSpaceDE/>
        <w:autoSpaceDN/>
        <w:bidi w:val="0"/>
        <w:adjustRightInd/>
        <w:snapToGrid w:val="0"/>
        <w:textAlignment w:val="auto"/>
        <w:rPr>
          <w:rFonts w:hint="eastAsia"/>
          <w:lang w:eastAsia="zh-CN"/>
        </w:rPr>
      </w:pPr>
      <w:r>
        <w:rPr>
          <w:rFonts w:hint="eastAsia"/>
          <w:lang w:eastAsia="zh-CN"/>
        </w:rPr>
        <w:t>②制定严格的管理纪律和规章制度，规范施工和营运管理行为。施工期，严格控制施工人员数量、设备和施工作业时间，划定施工范围，严禁在未经批准的林地上施工。严禁施工和营运管理人员进入非工程区域或从事与工程无关的活动，杜绝捕杀、伤害、惊吓、袭击动物等行为。</w:t>
      </w:r>
    </w:p>
    <w:p>
      <w:pPr>
        <w:keepNext w:val="0"/>
        <w:keepLines w:val="0"/>
        <w:pageBreakBefore w:val="0"/>
        <w:widowControl w:val="0"/>
        <w:kinsoku/>
        <w:wordWrap/>
        <w:overflowPunct/>
        <w:topLinePunct w:val="0"/>
        <w:autoSpaceDE/>
        <w:autoSpaceDN/>
        <w:bidi w:val="0"/>
        <w:adjustRightInd/>
        <w:snapToGrid w:val="0"/>
        <w:textAlignment w:val="auto"/>
        <w:rPr>
          <w:rFonts w:hint="eastAsia"/>
          <w:lang w:eastAsia="zh-CN"/>
        </w:rPr>
      </w:pPr>
      <w:r>
        <w:rPr>
          <w:rFonts w:hint="eastAsia"/>
          <w:lang w:eastAsia="zh-CN"/>
        </w:rPr>
        <w:t>③加强救护管理，建立与林业野生动物管理单位的联系制度，接受其指导。施工期和运行期发生于野生动物有关的问题，及时报告。如发现病伤的野生动物或者被遗弃的幼体、鸟卵等，不得私自处理，要及时通知</w:t>
      </w:r>
      <w:r>
        <w:rPr>
          <w:rFonts w:hint="eastAsia"/>
          <w:lang w:val="en-US" w:eastAsia="zh-CN"/>
        </w:rPr>
        <w:t>蓝山</w:t>
      </w:r>
      <w:r>
        <w:rPr>
          <w:rFonts w:hint="eastAsia"/>
          <w:lang w:eastAsia="zh-CN"/>
        </w:rPr>
        <w:t>县林业野生动物管理部门，派专业技术人员进行救护。</w:t>
      </w:r>
    </w:p>
    <w:p>
      <w:pPr>
        <w:keepNext w:val="0"/>
        <w:keepLines w:val="0"/>
        <w:pageBreakBefore w:val="0"/>
        <w:widowControl w:val="0"/>
        <w:kinsoku/>
        <w:wordWrap/>
        <w:overflowPunct/>
        <w:topLinePunct w:val="0"/>
        <w:autoSpaceDE/>
        <w:autoSpaceDN/>
        <w:bidi w:val="0"/>
        <w:adjustRightInd/>
        <w:snapToGrid w:val="0"/>
        <w:textAlignment w:val="auto"/>
        <w:rPr>
          <w:rFonts w:hint="eastAsia"/>
          <w:lang w:eastAsia="zh-CN"/>
        </w:rPr>
      </w:pPr>
      <w:r>
        <w:rPr>
          <w:rFonts w:hint="eastAsia"/>
          <w:lang w:eastAsia="zh-CN"/>
        </w:rPr>
        <w:t>④认真落实工程环境监理工作，切实保障各项保护措施的落实，减缓工程项目建设对植被资源和野生动物的影响。</w:t>
      </w:r>
    </w:p>
    <w:p>
      <w:pPr>
        <w:keepNext w:val="0"/>
        <w:keepLines w:val="0"/>
        <w:pageBreakBefore w:val="0"/>
        <w:widowControl w:val="0"/>
        <w:kinsoku/>
        <w:wordWrap/>
        <w:overflowPunct/>
        <w:topLinePunct w:val="0"/>
        <w:autoSpaceDE/>
        <w:autoSpaceDN/>
        <w:bidi w:val="0"/>
        <w:adjustRightInd/>
        <w:snapToGrid w:val="0"/>
        <w:textAlignment w:val="auto"/>
        <w:rPr>
          <w:rFonts w:hint="eastAsia"/>
          <w:lang w:eastAsia="zh-CN"/>
        </w:rPr>
      </w:pPr>
      <w:r>
        <w:rPr>
          <w:rFonts w:hint="eastAsia"/>
          <w:lang w:eastAsia="zh-CN"/>
        </w:rPr>
        <w:t>⑤鸟类应急方案与措施：迁徙候鸟撞机事故发生后，能否有效而迅速的作出应急反应，对于生态保护和候鸟保护起到最关键的作用，因此，应制定鸟类事故应急预案，建立应付突发性事故的抢险救护指挥系统，设立处理突发性事故的风险资金，配备一定数量的鸟类救护工作必需的器材、设备和药品，做好值班人员与林业部门对接工作。</w:t>
      </w:r>
    </w:p>
    <w:p>
      <w:pPr>
        <w:keepNext w:val="0"/>
        <w:keepLines w:val="0"/>
        <w:pageBreakBefore w:val="0"/>
        <w:widowControl w:val="0"/>
        <w:kinsoku/>
        <w:wordWrap/>
        <w:overflowPunct/>
        <w:topLinePunct w:val="0"/>
        <w:autoSpaceDE/>
        <w:autoSpaceDN/>
        <w:bidi w:val="0"/>
        <w:adjustRightInd/>
        <w:snapToGrid w:val="0"/>
        <w:textAlignment w:val="auto"/>
        <w:rPr>
          <w:rFonts w:hint="eastAsia"/>
          <w:lang w:eastAsia="zh-CN"/>
        </w:rPr>
      </w:pPr>
      <w:r>
        <w:rPr>
          <w:rFonts w:hint="eastAsia"/>
          <w:lang w:eastAsia="zh-CN"/>
        </w:rPr>
        <w:t>主要内容包括：</w:t>
      </w:r>
    </w:p>
    <w:p>
      <w:pPr>
        <w:keepNext w:val="0"/>
        <w:keepLines w:val="0"/>
        <w:pageBreakBefore w:val="0"/>
        <w:widowControl w:val="0"/>
        <w:kinsoku/>
        <w:wordWrap/>
        <w:overflowPunct/>
        <w:topLinePunct w:val="0"/>
        <w:autoSpaceDE/>
        <w:autoSpaceDN/>
        <w:bidi w:val="0"/>
        <w:adjustRightInd/>
        <w:snapToGrid w:val="0"/>
        <w:textAlignment w:val="auto"/>
        <w:rPr>
          <w:rFonts w:hint="eastAsia"/>
          <w:lang w:eastAsia="zh-CN"/>
        </w:rPr>
      </w:pPr>
      <w:r>
        <w:rPr>
          <w:rFonts w:hint="eastAsia"/>
          <w:lang w:eastAsia="zh-CN"/>
        </w:rPr>
        <w:t>①成立应急领导小组。由项目负责人担任组长，有关单位人员担任成员。其任务是方便统一应急行动，一旦发生事故，能确保在最短的时间将事故控制，以减少对环境的破坏。</w:t>
      </w:r>
    </w:p>
    <w:p>
      <w:pPr>
        <w:keepNext w:val="0"/>
        <w:keepLines w:val="0"/>
        <w:pageBreakBefore w:val="0"/>
        <w:widowControl w:val="0"/>
        <w:kinsoku/>
        <w:wordWrap/>
        <w:overflowPunct/>
        <w:topLinePunct w:val="0"/>
        <w:autoSpaceDE/>
        <w:autoSpaceDN/>
        <w:bidi w:val="0"/>
        <w:adjustRightInd/>
        <w:snapToGrid w:val="0"/>
        <w:textAlignment w:val="auto"/>
        <w:rPr>
          <w:rFonts w:hint="eastAsia"/>
          <w:lang w:eastAsia="zh-CN"/>
        </w:rPr>
      </w:pPr>
      <w:r>
        <w:rPr>
          <w:rFonts w:hint="eastAsia"/>
          <w:lang w:eastAsia="zh-CN"/>
        </w:rPr>
        <w:t>②组建应急队伍。以建设单位领导、风电场值班人员等组建应急队伍，另外联系当地相关部门，如当地公安、环保、林业、野生动植物保护部门，紧急状况下及时告知，并采取应急行动。</w:t>
      </w:r>
    </w:p>
    <w:p>
      <w:pPr>
        <w:keepNext w:val="0"/>
        <w:keepLines w:val="0"/>
        <w:pageBreakBefore w:val="0"/>
        <w:widowControl w:val="0"/>
        <w:kinsoku/>
        <w:wordWrap/>
        <w:overflowPunct/>
        <w:topLinePunct w:val="0"/>
        <w:autoSpaceDE/>
        <w:autoSpaceDN/>
        <w:bidi w:val="0"/>
        <w:adjustRightInd/>
        <w:snapToGrid w:val="0"/>
        <w:textAlignment w:val="auto"/>
        <w:rPr>
          <w:rFonts w:hint="eastAsia"/>
          <w:lang w:eastAsia="zh-CN"/>
        </w:rPr>
      </w:pPr>
      <w:r>
        <w:rPr>
          <w:rFonts w:hint="eastAsia"/>
          <w:lang w:eastAsia="zh-CN"/>
        </w:rPr>
        <w:t>③加强培训。对应急队伍成员做定期的应急讲座，建立快速报警系统和通讯指挥联络系统，保证事故发生后救援器材以最快的时间到达现场。</w:t>
      </w:r>
    </w:p>
    <w:p>
      <w:pPr>
        <w:keepNext w:val="0"/>
        <w:keepLines w:val="0"/>
        <w:pageBreakBefore w:val="0"/>
        <w:widowControl w:val="0"/>
        <w:kinsoku/>
        <w:wordWrap/>
        <w:overflowPunct/>
        <w:topLinePunct w:val="0"/>
        <w:autoSpaceDE/>
        <w:autoSpaceDN/>
        <w:bidi w:val="0"/>
        <w:adjustRightInd/>
        <w:snapToGrid w:val="0"/>
        <w:textAlignment w:val="auto"/>
        <w:rPr>
          <w:rFonts w:hint="eastAsia"/>
          <w:lang w:eastAsia="zh-CN"/>
        </w:rPr>
      </w:pPr>
      <w:r>
        <w:rPr>
          <w:rFonts w:hint="eastAsia"/>
          <w:lang w:eastAsia="zh-CN"/>
        </w:rPr>
        <w:t>④预备应急物资和设备。设立应急物资和设备仓库，由风电场值班人员担任仓库管理员，担负应急物资和备品、备件的供应任务以及运输任务。</w:t>
      </w:r>
    </w:p>
    <w:p>
      <w:pPr>
        <w:keepNext w:val="0"/>
        <w:keepLines w:val="0"/>
        <w:pageBreakBefore w:val="0"/>
        <w:widowControl w:val="0"/>
        <w:kinsoku/>
        <w:wordWrap/>
        <w:overflowPunct/>
        <w:topLinePunct w:val="0"/>
        <w:autoSpaceDE/>
        <w:autoSpaceDN/>
        <w:bidi w:val="0"/>
        <w:adjustRightInd/>
        <w:snapToGrid w:val="0"/>
        <w:textAlignment w:val="auto"/>
        <w:rPr>
          <w:rFonts w:hint="eastAsia"/>
          <w:lang w:eastAsia="zh-CN"/>
        </w:rPr>
      </w:pPr>
      <w:r>
        <w:rPr>
          <w:rFonts w:hint="eastAsia"/>
          <w:lang w:eastAsia="zh-CN"/>
        </w:rPr>
        <w:t>⑤事故应急处理：接到报警后，项目部人员和林业部门专业技术人员应携带救护器材和药品前往现场，初步了解事故性质，及时对受伤的鸟类进行紧急救护并同时向建设单位高层和当地林业部门报告。</w:t>
      </w:r>
    </w:p>
    <w:p>
      <w:pPr>
        <w:keepNext w:val="0"/>
        <w:keepLines w:val="0"/>
        <w:pageBreakBefore w:val="0"/>
        <w:widowControl w:val="0"/>
        <w:kinsoku/>
        <w:wordWrap/>
        <w:overflowPunct/>
        <w:topLinePunct w:val="0"/>
        <w:autoSpaceDE/>
        <w:autoSpaceDN/>
        <w:bidi w:val="0"/>
        <w:adjustRightInd/>
        <w:snapToGrid w:val="0"/>
        <w:textAlignment w:val="auto"/>
        <w:rPr>
          <w:rFonts w:hint="eastAsia"/>
          <w:lang w:eastAsia="zh-CN"/>
        </w:rPr>
      </w:pPr>
      <w:r>
        <w:rPr>
          <w:rFonts w:hint="eastAsia"/>
          <w:lang w:eastAsia="zh-CN"/>
        </w:rPr>
        <w:t>⑥加强与当地人民政府应急机构的联系。在事故现场，由领导小组领导，其他各个协调管理机构对现场进行处理，本项目建设单位主要进行协调和沟通工作，并负责工作的汇报。由地方林业部门、环保部门对事故性质、参数与后果进行评估，为指挥部门提供决策依据。</w:t>
      </w:r>
    </w:p>
    <w:p>
      <w:pPr>
        <w:keepNext w:val="0"/>
        <w:keepLines w:val="0"/>
        <w:pageBreakBefore w:val="0"/>
        <w:widowControl w:val="0"/>
        <w:kinsoku/>
        <w:wordWrap/>
        <w:overflowPunct/>
        <w:topLinePunct w:val="0"/>
        <w:autoSpaceDE/>
        <w:autoSpaceDN/>
        <w:bidi w:val="0"/>
        <w:adjustRightInd/>
        <w:snapToGrid w:val="0"/>
        <w:textAlignment w:val="auto"/>
        <w:rPr>
          <w:rFonts w:hint="eastAsia"/>
          <w:b/>
          <w:bCs/>
          <w:lang w:eastAsia="zh-CN"/>
        </w:rPr>
      </w:pPr>
      <w:r>
        <w:rPr>
          <w:rFonts w:hint="eastAsia"/>
          <w:b/>
          <w:bCs/>
          <w:lang w:eastAsia="zh-CN"/>
        </w:rPr>
        <w:t>（</w:t>
      </w:r>
      <w:r>
        <w:rPr>
          <w:rFonts w:hint="eastAsia"/>
          <w:b/>
          <w:bCs/>
          <w:lang w:val="en-US" w:eastAsia="zh-CN"/>
        </w:rPr>
        <w:t>3</w:t>
      </w:r>
      <w:r>
        <w:rPr>
          <w:rFonts w:hint="eastAsia"/>
          <w:b/>
          <w:bCs/>
          <w:lang w:eastAsia="zh-CN"/>
        </w:rPr>
        <w:t>）对重点保护野生动物的保护措施</w:t>
      </w:r>
    </w:p>
    <w:p>
      <w:pPr>
        <w:keepNext w:val="0"/>
        <w:keepLines w:val="0"/>
        <w:pageBreakBefore w:val="0"/>
        <w:widowControl w:val="0"/>
        <w:kinsoku/>
        <w:wordWrap/>
        <w:overflowPunct/>
        <w:topLinePunct w:val="0"/>
        <w:autoSpaceDE/>
        <w:autoSpaceDN/>
        <w:bidi w:val="0"/>
        <w:adjustRightInd/>
        <w:snapToGrid w:val="0"/>
        <w:textAlignment w:val="auto"/>
        <w:rPr>
          <w:rFonts w:hint="eastAsia"/>
          <w:lang w:eastAsia="zh-CN"/>
        </w:rPr>
      </w:pPr>
      <w:r>
        <w:rPr>
          <w:rFonts w:hint="eastAsia"/>
          <w:lang w:eastAsia="zh-CN"/>
        </w:rPr>
        <w:t>①加强有关野生动物保护的宣传，提高施工人员对野生动物的保护意识。</w:t>
      </w:r>
    </w:p>
    <w:p>
      <w:pPr>
        <w:keepNext w:val="0"/>
        <w:keepLines w:val="0"/>
        <w:pageBreakBefore w:val="0"/>
        <w:widowControl w:val="0"/>
        <w:kinsoku/>
        <w:wordWrap/>
        <w:overflowPunct/>
        <w:topLinePunct w:val="0"/>
        <w:autoSpaceDE/>
        <w:autoSpaceDN/>
        <w:bidi w:val="0"/>
        <w:adjustRightInd/>
        <w:snapToGrid w:val="0"/>
        <w:textAlignment w:val="auto"/>
        <w:rPr>
          <w:rFonts w:hint="eastAsia"/>
          <w:lang w:eastAsia="zh-CN"/>
        </w:rPr>
      </w:pPr>
      <w:r>
        <w:rPr>
          <w:rFonts w:hint="eastAsia"/>
          <w:lang w:eastAsia="zh-CN"/>
        </w:rPr>
        <w:t>②恢复和改善重点保护野生动物的栖息地环境，并开展定期的重点保护野生动物及生境调查监测与研究。保护自然植被，防止因工程施工对植被可能出现的破坏，并通过加快植树造林，尽快恢复工程临时占用的林地，从根本上有效的保护评价区鸟类及其它动物。</w:t>
      </w:r>
    </w:p>
    <w:p>
      <w:pPr>
        <w:pStyle w:val="3664"/>
        <w:keepNext w:val="0"/>
        <w:keepLines w:val="0"/>
        <w:pageBreakBefore w:val="0"/>
        <w:widowControl w:val="0"/>
        <w:tabs>
          <w:tab w:val="left" w:pos="480"/>
        </w:tabs>
        <w:kinsoku/>
        <w:wordWrap/>
        <w:overflowPunct/>
        <w:topLinePunct w:val="0"/>
        <w:autoSpaceDE/>
        <w:autoSpaceDN/>
        <w:bidi w:val="0"/>
        <w:adjustRightInd/>
        <w:snapToGrid w:val="0"/>
        <w:ind w:firstLine="480"/>
        <w:textAlignment w:val="auto"/>
        <w:outlineLvl w:val="9"/>
        <w:rPr>
          <w:rFonts w:hint="eastAsia" w:ascii="Times New Roman" w:hAnsi="Times New Roman" w:eastAsia="宋体" w:cs="Times New Roman"/>
          <w:sz w:val="24"/>
          <w:szCs w:val="24"/>
          <w:u w:val="none" w:color="auto"/>
          <w:lang w:val="zh-CN" w:eastAsia="zh-CN"/>
        </w:rPr>
        <w:sectPr>
          <w:footerReference r:id="rId11" w:type="default"/>
          <w:pgSz w:w="11905"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3" w:charSpace="0"/>
        </w:sectPr>
      </w:pPr>
    </w:p>
    <w:p>
      <w:pPr>
        <w:pStyle w:val="2"/>
        <w:tabs>
          <w:tab w:val="clear" w:pos="480"/>
        </w:tabs>
        <w:spacing w:before="0" w:after="0"/>
        <w:jc w:val="center"/>
        <w:rPr>
          <w:rFonts w:ascii="Times New Roman" w:eastAsia="宋体"/>
          <w:bCs w:val="0"/>
          <w:sz w:val="32"/>
          <w:szCs w:val="32"/>
          <w:lang w:val="en-US"/>
        </w:rPr>
      </w:pPr>
      <w:r>
        <w:t xml:space="preserve">  </w:t>
      </w:r>
      <w:bookmarkStart w:id="176" w:name="_Toc116978014"/>
      <w:bookmarkStart w:id="177" w:name="_Toc181802684"/>
      <w:bookmarkStart w:id="178" w:name="_Toc14316"/>
      <w:bookmarkStart w:id="179" w:name="_Toc401255996"/>
      <w:r>
        <w:rPr>
          <w:rFonts w:hint="eastAsia" w:ascii="Times New Roman" w:eastAsia="宋体"/>
          <w:bCs w:val="0"/>
          <w:sz w:val="32"/>
          <w:szCs w:val="32"/>
          <w:lang w:val="en-US"/>
        </w:rPr>
        <w:t>总量控制</w:t>
      </w:r>
      <w:bookmarkEnd w:id="176"/>
      <w:bookmarkEnd w:id="177"/>
      <w:bookmarkEnd w:id="178"/>
    </w:p>
    <w:p>
      <w:pPr>
        <w:tabs>
          <w:tab w:val="clear" w:pos="480"/>
        </w:tabs>
        <w:adjustRightInd w:val="0"/>
        <w:snapToGrid w:val="0"/>
        <w:ind w:firstLine="480"/>
        <w:rPr>
          <w:rFonts w:hint="eastAsia"/>
        </w:rPr>
      </w:pPr>
      <w:r>
        <w:rPr>
          <w:rFonts w:hint="eastAsia"/>
        </w:rPr>
        <w:t>本项目运营期排放的废气污染物主要为</w:t>
      </w:r>
      <w:r>
        <w:rPr>
          <w:rFonts w:hint="eastAsia"/>
          <w:lang w:val="en-US" w:eastAsia="zh-CN"/>
        </w:rPr>
        <w:t>汇集</w:t>
      </w:r>
      <w:r>
        <w:rPr>
          <w:rFonts w:hint="eastAsia"/>
        </w:rPr>
        <w:t>站内产生的食堂油烟；运营期</w:t>
      </w:r>
      <w:r>
        <w:rPr>
          <w:rFonts w:hint="eastAsia"/>
          <w:lang w:val="en-US" w:eastAsia="zh-CN"/>
        </w:rPr>
        <w:t>汇集</w:t>
      </w:r>
      <w:r>
        <w:rPr>
          <w:rFonts w:hint="eastAsia"/>
        </w:rPr>
        <w:t>站产生的生活污水经站内一体化污水处理设施处理后全部用于站内绿化，不外排。</w:t>
      </w:r>
      <w:r>
        <w:t>此外再无其他废水、废气排放</w:t>
      </w:r>
      <w:r>
        <w:rPr>
          <w:rFonts w:hint="eastAsia"/>
        </w:rPr>
        <w:t>。</w:t>
      </w:r>
    </w:p>
    <w:p>
      <w:pPr>
        <w:tabs>
          <w:tab w:val="clear" w:pos="480"/>
        </w:tabs>
        <w:adjustRightInd w:val="0"/>
        <w:snapToGrid w:val="0"/>
        <w:ind w:firstLine="480"/>
        <w:rPr>
          <w:rFonts w:hint="eastAsia"/>
        </w:rPr>
        <w:sectPr>
          <w:pgSz w:w="11905"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3" w:charSpace="0"/>
        </w:sectPr>
      </w:pPr>
      <w:r>
        <w:rPr>
          <w:rFonts w:hint="eastAsia"/>
        </w:rPr>
        <w:t>因此，本项目无需设置总量控制指标。</w:t>
      </w:r>
    </w:p>
    <w:p>
      <w:pPr>
        <w:pStyle w:val="461"/>
        <w:bidi w:val="0"/>
      </w:pPr>
      <w:bookmarkStart w:id="180" w:name="_Toc12160"/>
      <w:r>
        <w:t>环境</w:t>
      </w:r>
      <w:bookmarkEnd w:id="179"/>
      <w:r>
        <w:t>影响经济损益分析</w:t>
      </w:r>
      <w:bookmarkEnd w:id="180"/>
    </w:p>
    <w:p>
      <w:pPr>
        <w:pStyle w:val="457"/>
        <w:ind w:firstLine="643"/>
        <w:rPr>
          <w:rFonts w:hint="eastAsia" w:ascii="Times New Roman" w:hAnsi="Times New Roman" w:eastAsia="宋体" w:cs="Times New Roman"/>
          <w:color w:val="000000" w:themeColor="text1"/>
          <w:u w:val="none" w:color="auto"/>
          <w:lang w:eastAsia="zh-CN"/>
          <w14:textFill>
            <w14:solidFill>
              <w14:schemeClr w14:val="tx1"/>
            </w14:solidFill>
          </w14:textFill>
        </w:rPr>
      </w:pPr>
      <w:bookmarkStart w:id="181" w:name="_Toc8075"/>
      <w:r>
        <w:rPr>
          <w:rFonts w:hint="eastAsia" w:ascii="Times New Roman" w:cs="Times New Roman"/>
          <w:color w:val="000000" w:themeColor="text1"/>
          <w:u w:val="none" w:color="auto"/>
          <w:lang w:eastAsia="zh-CN"/>
          <w14:textFill>
            <w14:solidFill>
              <w14:schemeClr w14:val="tx1"/>
            </w14:solidFill>
          </w14:textFill>
        </w:rPr>
        <w:t>环保投资估算</w:t>
      </w:r>
      <w:bookmarkEnd w:id="181"/>
    </w:p>
    <w:p>
      <w:pPr>
        <w:bidi w:val="0"/>
        <w:rPr>
          <w:rFonts w:hint="default"/>
        </w:rPr>
      </w:pPr>
      <w:r>
        <w:rPr>
          <w:rFonts w:hint="default"/>
        </w:rPr>
        <w:t>本项目总投资</w:t>
      </w:r>
      <w:r>
        <w:rPr>
          <w:rFonts w:hint="eastAsia" w:ascii="Times New Roman" w:hAnsi="Times New Roman" w:cs="Times New Roman"/>
          <w:sz w:val="24"/>
          <w:u w:val="none" w:color="auto"/>
          <w:lang w:val="en-US" w:eastAsia="zh-CN"/>
        </w:rPr>
        <w:t>5.01亿</w:t>
      </w:r>
      <w:r>
        <w:rPr>
          <w:rFonts w:hint="default"/>
        </w:rPr>
        <w:t>元，环境保护措施投资</w:t>
      </w:r>
      <w:r>
        <w:rPr>
          <w:rFonts w:hint="eastAsia"/>
          <w:lang w:val="en-US" w:eastAsia="zh-CN"/>
        </w:rPr>
        <w:t>327</w:t>
      </w:r>
      <w:r>
        <w:rPr>
          <w:rFonts w:hint="default"/>
        </w:rPr>
        <w:t>万元（不含水土保持费用），环保投资占总投资</w:t>
      </w:r>
      <w:r>
        <w:rPr>
          <w:rFonts w:hint="eastAsia"/>
          <w:lang w:val="en-US" w:eastAsia="zh-CN"/>
        </w:rPr>
        <w:t>0.65</w:t>
      </w:r>
      <w:r>
        <w:rPr>
          <w:rFonts w:hint="default"/>
        </w:rPr>
        <w:t>%。其费用构成见表</w:t>
      </w:r>
      <w:r>
        <w:rPr>
          <w:rFonts w:hint="eastAsia"/>
          <w:lang w:val="en-US" w:eastAsia="zh-CN"/>
        </w:rPr>
        <w:t>8</w:t>
      </w:r>
      <w:r>
        <w:rPr>
          <w:rFonts w:hint="default"/>
        </w:rPr>
        <w:t>-1所示。</w:t>
      </w:r>
    </w:p>
    <w:p>
      <w:pPr>
        <w:jc w:val="center"/>
        <w:rPr>
          <w:rFonts w:hint="default" w:ascii="Times New Roman" w:hAnsi="Times New Roman" w:eastAsia="宋体" w:cs="Times New Roman"/>
          <w:b/>
          <w:snapToGrid w:val="0"/>
          <w:sz w:val="21"/>
          <w:szCs w:val="21"/>
          <w:u w:val="none" w:color="auto"/>
        </w:rPr>
      </w:pPr>
      <w:r>
        <w:rPr>
          <w:rFonts w:hint="default" w:ascii="Times New Roman" w:hAnsi="Times New Roman" w:eastAsia="宋体" w:cs="Times New Roman"/>
          <w:b/>
          <w:sz w:val="21"/>
          <w:szCs w:val="21"/>
          <w:u w:val="none" w:color="auto"/>
        </w:rPr>
        <w:t>表</w:t>
      </w:r>
      <w:r>
        <w:rPr>
          <w:rFonts w:hint="eastAsia" w:cs="Times New Roman"/>
          <w:b/>
          <w:sz w:val="21"/>
          <w:szCs w:val="21"/>
          <w:u w:val="none" w:color="auto"/>
          <w:lang w:val="en-US" w:eastAsia="zh-CN"/>
        </w:rPr>
        <w:t>8-</w:t>
      </w:r>
      <w:r>
        <w:rPr>
          <w:rFonts w:hint="default" w:ascii="Times New Roman" w:hAnsi="Times New Roman" w:eastAsia="宋体" w:cs="Times New Roman"/>
          <w:b/>
          <w:sz w:val="21"/>
          <w:szCs w:val="21"/>
          <w:u w:val="none" w:color="auto"/>
        </w:rPr>
        <w:t>1   环保投资概算表   单位：万元</w:t>
      </w:r>
    </w:p>
    <w:tbl>
      <w:tblPr>
        <w:tblStyle w:val="88"/>
        <w:tblW w:w="905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577"/>
        <w:gridCol w:w="577"/>
        <w:gridCol w:w="1118"/>
        <w:gridCol w:w="2408"/>
        <w:gridCol w:w="1238"/>
        <w:gridCol w:w="313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0" w:hRule="atLeast"/>
          <w:jc w:val="center"/>
        </w:trPr>
        <w:tc>
          <w:tcPr>
            <w:tcW w:w="577"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序号</w:t>
            </w:r>
          </w:p>
        </w:tc>
        <w:tc>
          <w:tcPr>
            <w:tcW w:w="4103" w:type="dxa"/>
            <w:gridSpan w:val="3"/>
            <w:noWrap w:val="0"/>
            <w:vAlign w:val="center"/>
          </w:tcPr>
          <w:p>
            <w:pPr>
              <w:pStyle w:val="225"/>
              <w:keepNext w:val="0"/>
              <w:keepLines w:val="0"/>
              <w:pageBreakBefore w:val="0"/>
              <w:widowControl w:val="0"/>
              <w:kinsoku/>
              <w:wordWrap/>
              <w:overflowPunct/>
              <w:topLinePunct w:val="0"/>
              <w:autoSpaceDE/>
              <w:autoSpaceDN/>
              <w:bidi w:val="0"/>
              <w:spacing w:before="0" w:after="0" w:line="240" w:lineRule="auto"/>
              <w:ind w:firstLine="0" w:firstLineChars="0"/>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环保投资内容</w:t>
            </w:r>
          </w:p>
        </w:tc>
        <w:tc>
          <w:tcPr>
            <w:tcW w:w="1238" w:type="dxa"/>
            <w:noWrap w:val="0"/>
            <w:vAlign w:val="center"/>
          </w:tcPr>
          <w:p>
            <w:pPr>
              <w:pStyle w:val="225"/>
              <w:keepNext w:val="0"/>
              <w:keepLines w:val="0"/>
              <w:pageBreakBefore w:val="0"/>
              <w:widowControl w:val="0"/>
              <w:kinsoku/>
              <w:wordWrap/>
              <w:overflowPunct/>
              <w:topLinePunct w:val="0"/>
              <w:autoSpaceDE/>
              <w:autoSpaceDN/>
              <w:bidi w:val="0"/>
              <w:spacing w:before="0" w:after="0" w:line="240" w:lineRule="auto"/>
              <w:ind w:firstLine="0" w:firstLineChars="0"/>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环保投资金额（万元）</w:t>
            </w:r>
          </w:p>
        </w:tc>
        <w:tc>
          <w:tcPr>
            <w:tcW w:w="3134" w:type="dxa"/>
            <w:noWrap w:val="0"/>
            <w:vAlign w:val="center"/>
          </w:tcPr>
          <w:p>
            <w:pPr>
              <w:pStyle w:val="225"/>
              <w:keepNext w:val="0"/>
              <w:keepLines w:val="0"/>
              <w:pageBreakBefore w:val="0"/>
              <w:widowControl w:val="0"/>
              <w:kinsoku/>
              <w:wordWrap/>
              <w:overflowPunct/>
              <w:topLinePunct w:val="0"/>
              <w:autoSpaceDE/>
              <w:autoSpaceDN/>
              <w:bidi w:val="0"/>
              <w:spacing w:before="0" w:after="0" w:line="240" w:lineRule="auto"/>
              <w:ind w:firstLine="0" w:firstLineChars="0"/>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8" w:hRule="atLeast"/>
          <w:jc w:val="center"/>
        </w:trPr>
        <w:tc>
          <w:tcPr>
            <w:tcW w:w="577" w:type="dxa"/>
            <w:vMerge w:val="restart"/>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1</w:t>
            </w:r>
          </w:p>
        </w:tc>
        <w:tc>
          <w:tcPr>
            <w:tcW w:w="577" w:type="dxa"/>
            <w:vMerge w:val="restart"/>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施工期</w:t>
            </w:r>
          </w:p>
        </w:tc>
        <w:tc>
          <w:tcPr>
            <w:tcW w:w="1118"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废气防治</w:t>
            </w:r>
          </w:p>
        </w:tc>
        <w:tc>
          <w:tcPr>
            <w:tcW w:w="2408"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施工扬尘</w:t>
            </w:r>
          </w:p>
        </w:tc>
        <w:tc>
          <w:tcPr>
            <w:tcW w:w="1238"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eastAsia" w:cs="Times New Roman"/>
                <w:sz w:val="21"/>
                <w:szCs w:val="21"/>
                <w:u w:val="none" w:color="auto"/>
                <w:lang w:val="en-US" w:eastAsia="zh-CN"/>
              </w:rPr>
              <w:t>1</w:t>
            </w:r>
            <w:r>
              <w:rPr>
                <w:rFonts w:hint="default" w:ascii="Times New Roman" w:hAnsi="Times New Roman" w:cs="Times New Roman"/>
                <w:sz w:val="21"/>
                <w:szCs w:val="21"/>
                <w:u w:val="none" w:color="auto"/>
              </w:rPr>
              <w:t>0</w:t>
            </w:r>
          </w:p>
        </w:tc>
        <w:tc>
          <w:tcPr>
            <w:tcW w:w="3134"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采取洒水、</w:t>
            </w:r>
            <w:r>
              <w:rPr>
                <w:rFonts w:hint="eastAsia" w:cs="Times New Roman"/>
                <w:sz w:val="21"/>
                <w:szCs w:val="21"/>
                <w:u w:val="none" w:color="auto"/>
                <w:lang w:val="en-US" w:eastAsia="zh-CN"/>
              </w:rPr>
              <w:t>围挡</w:t>
            </w:r>
            <w:r>
              <w:rPr>
                <w:rFonts w:hint="default" w:ascii="Times New Roman" w:hAnsi="Times New Roman" w:cs="Times New Roman"/>
                <w:sz w:val="21"/>
                <w:szCs w:val="21"/>
                <w:u w:val="none" w:color="auto"/>
              </w:rPr>
              <w:t>、遮盖等防尘措施及维护费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7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57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1118" w:type="dxa"/>
            <w:vMerge w:val="restart"/>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废水防治</w:t>
            </w:r>
          </w:p>
        </w:tc>
        <w:tc>
          <w:tcPr>
            <w:tcW w:w="2408"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生产废水</w:t>
            </w:r>
          </w:p>
        </w:tc>
        <w:tc>
          <w:tcPr>
            <w:tcW w:w="1238" w:type="dxa"/>
            <w:vMerge w:val="restart"/>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eastAsia" w:cs="Times New Roman"/>
                <w:sz w:val="21"/>
                <w:szCs w:val="21"/>
                <w:u w:val="none" w:color="auto"/>
                <w:lang w:val="en-US" w:eastAsia="zh-CN"/>
              </w:rPr>
              <w:t>2</w:t>
            </w:r>
            <w:r>
              <w:rPr>
                <w:rFonts w:hint="default" w:ascii="Times New Roman" w:hAnsi="Times New Roman" w:cs="Times New Roman"/>
                <w:sz w:val="21"/>
                <w:szCs w:val="21"/>
                <w:u w:val="none" w:color="auto"/>
              </w:rPr>
              <w:t>0</w:t>
            </w:r>
          </w:p>
        </w:tc>
        <w:tc>
          <w:tcPr>
            <w:tcW w:w="3134"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隔油沉淀池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7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57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1118"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2408"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生活污水</w:t>
            </w:r>
          </w:p>
        </w:tc>
        <w:tc>
          <w:tcPr>
            <w:tcW w:w="1238"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3134"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化粪池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7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57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1118"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噪声防治</w:t>
            </w:r>
          </w:p>
        </w:tc>
        <w:tc>
          <w:tcPr>
            <w:tcW w:w="2408"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道路施工噪声</w:t>
            </w:r>
          </w:p>
        </w:tc>
        <w:tc>
          <w:tcPr>
            <w:tcW w:w="1238"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10</w:t>
            </w:r>
          </w:p>
        </w:tc>
        <w:tc>
          <w:tcPr>
            <w:tcW w:w="3134"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场内道路居民点路段减速墩、禁鸣标志、临时隔声屏障</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7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57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1118"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固废处理</w:t>
            </w:r>
          </w:p>
        </w:tc>
        <w:tc>
          <w:tcPr>
            <w:tcW w:w="2408"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生活垃圾</w:t>
            </w:r>
          </w:p>
        </w:tc>
        <w:tc>
          <w:tcPr>
            <w:tcW w:w="1238"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5</w:t>
            </w:r>
          </w:p>
        </w:tc>
        <w:tc>
          <w:tcPr>
            <w:tcW w:w="3134"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垃圾桶、垃圾车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577" w:type="dxa"/>
            <w:vMerge w:val="restart"/>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2</w:t>
            </w:r>
          </w:p>
        </w:tc>
        <w:tc>
          <w:tcPr>
            <w:tcW w:w="577" w:type="dxa"/>
            <w:vMerge w:val="restart"/>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营运期</w:t>
            </w:r>
          </w:p>
        </w:tc>
        <w:tc>
          <w:tcPr>
            <w:tcW w:w="1118" w:type="dxa"/>
            <w:vMerge w:val="restart"/>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固废处理</w:t>
            </w:r>
          </w:p>
        </w:tc>
        <w:tc>
          <w:tcPr>
            <w:tcW w:w="2408"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废旧蓄电池、检修废机油、润滑油及事故废油</w:t>
            </w:r>
          </w:p>
        </w:tc>
        <w:tc>
          <w:tcPr>
            <w:tcW w:w="1238"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cs="Times New Roman"/>
                <w:sz w:val="21"/>
                <w:szCs w:val="21"/>
                <w:u w:val="none" w:color="auto"/>
                <w:lang w:val="en-US" w:eastAsia="zh-CN"/>
              </w:rPr>
              <w:t>10</w:t>
            </w:r>
          </w:p>
        </w:tc>
        <w:tc>
          <w:tcPr>
            <w:tcW w:w="3134" w:type="dxa"/>
            <w:noWrap w:val="0"/>
            <w:vAlign w:val="center"/>
          </w:tcPr>
          <w:p>
            <w:pPr>
              <w:pStyle w:val="225"/>
              <w:keepNext w:val="0"/>
              <w:keepLines w:val="0"/>
              <w:pageBreakBefore w:val="0"/>
              <w:widowControl w:val="0"/>
              <w:kinsoku/>
              <w:wordWrap/>
              <w:overflowPunct/>
              <w:topLinePunct w:val="0"/>
              <w:autoSpaceDE/>
              <w:autoSpaceDN/>
              <w:bidi w:val="0"/>
              <w:spacing w:before="0" w:after="0" w:line="240" w:lineRule="auto"/>
              <w:ind w:firstLine="0" w:firstLineChars="0"/>
              <w:textAlignment w:val="auto"/>
              <w:rPr>
                <w:rFonts w:hint="eastAsia" w:ascii="Times New Roman" w:hAnsi="Times New Roman" w:eastAsia="宋体" w:cs="Times New Roman"/>
                <w:sz w:val="21"/>
                <w:szCs w:val="21"/>
                <w:u w:val="none" w:color="auto"/>
                <w:lang w:eastAsia="zh-CN"/>
              </w:rPr>
            </w:pPr>
            <w:r>
              <w:rPr>
                <w:rFonts w:hint="default" w:ascii="Times New Roman" w:hAnsi="Times New Roman" w:cs="Times New Roman"/>
                <w:sz w:val="21"/>
                <w:szCs w:val="21"/>
                <w:u w:val="none" w:color="auto"/>
              </w:rPr>
              <w:t>定期交由有资质单位处置，危废暂存间依托</w:t>
            </w:r>
            <w:r>
              <w:rPr>
                <w:rFonts w:hint="eastAsia" w:cs="Times New Roman"/>
                <w:sz w:val="21"/>
                <w:szCs w:val="21"/>
                <w:u w:val="none" w:color="auto"/>
                <w:lang w:eastAsia="zh-CN"/>
              </w:rPr>
              <w:t>汇集站</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8" w:hRule="atLeast"/>
          <w:jc w:val="center"/>
        </w:trPr>
        <w:tc>
          <w:tcPr>
            <w:tcW w:w="57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57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1118"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2408"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生活垃圾清运、处置</w:t>
            </w:r>
          </w:p>
        </w:tc>
        <w:tc>
          <w:tcPr>
            <w:tcW w:w="1238"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sz w:val="21"/>
                <w:szCs w:val="21"/>
                <w:u w:val="none" w:color="auto"/>
                <w:lang w:eastAsia="zh-CN"/>
              </w:rPr>
            </w:pPr>
            <w:r>
              <w:rPr>
                <w:rFonts w:hint="eastAsia" w:cs="Times New Roman"/>
                <w:sz w:val="21"/>
                <w:szCs w:val="21"/>
                <w:u w:val="none" w:color="auto"/>
                <w:lang w:val="en-US" w:eastAsia="zh-CN"/>
              </w:rPr>
              <w:t>2</w:t>
            </w:r>
          </w:p>
        </w:tc>
        <w:tc>
          <w:tcPr>
            <w:tcW w:w="3134" w:type="dxa"/>
            <w:noWrap w:val="0"/>
            <w:vAlign w:val="center"/>
          </w:tcPr>
          <w:p>
            <w:pPr>
              <w:pStyle w:val="225"/>
              <w:keepNext w:val="0"/>
              <w:keepLines w:val="0"/>
              <w:pageBreakBefore w:val="0"/>
              <w:widowControl w:val="0"/>
              <w:kinsoku/>
              <w:wordWrap/>
              <w:overflowPunct/>
              <w:topLinePunct w:val="0"/>
              <w:autoSpaceDE/>
              <w:autoSpaceDN/>
              <w:bidi w:val="0"/>
              <w:spacing w:before="0" w:after="0" w:line="240" w:lineRule="auto"/>
              <w:ind w:firstLine="0" w:firstLineChars="0"/>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57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57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1118" w:type="dxa"/>
            <w:vMerge w:val="restart"/>
            <w:noWrap w:val="0"/>
            <w:vAlign w:val="center"/>
          </w:tcPr>
          <w:p>
            <w:pPr>
              <w:pStyle w:val="225"/>
              <w:keepNext w:val="0"/>
              <w:keepLines w:val="0"/>
              <w:pageBreakBefore w:val="0"/>
              <w:widowControl w:val="0"/>
              <w:kinsoku/>
              <w:wordWrap/>
              <w:overflowPunct/>
              <w:topLinePunct w:val="0"/>
              <w:autoSpaceDE/>
              <w:autoSpaceDN/>
              <w:bidi w:val="0"/>
              <w:spacing w:before="0" w:after="0" w:line="240" w:lineRule="auto"/>
              <w:ind w:firstLine="0" w:firstLineChars="0"/>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废水防治</w:t>
            </w:r>
          </w:p>
        </w:tc>
        <w:tc>
          <w:tcPr>
            <w:tcW w:w="2408" w:type="dxa"/>
            <w:noWrap w:val="0"/>
            <w:vAlign w:val="center"/>
          </w:tcPr>
          <w:p>
            <w:pPr>
              <w:pStyle w:val="225"/>
              <w:keepNext w:val="0"/>
              <w:keepLines w:val="0"/>
              <w:pageBreakBefore w:val="0"/>
              <w:widowControl w:val="0"/>
              <w:kinsoku/>
              <w:wordWrap/>
              <w:overflowPunct/>
              <w:topLinePunct w:val="0"/>
              <w:autoSpaceDE/>
              <w:autoSpaceDN/>
              <w:bidi w:val="0"/>
              <w:spacing w:before="0" w:after="0" w:line="240" w:lineRule="auto"/>
              <w:ind w:firstLine="0" w:firstLineChars="0"/>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生活污水处理设施</w:t>
            </w:r>
          </w:p>
        </w:tc>
        <w:tc>
          <w:tcPr>
            <w:tcW w:w="1238" w:type="dxa"/>
            <w:noWrap w:val="0"/>
            <w:vAlign w:val="center"/>
          </w:tcPr>
          <w:p>
            <w:pPr>
              <w:pStyle w:val="225"/>
              <w:keepNext w:val="0"/>
              <w:keepLines w:val="0"/>
              <w:pageBreakBefore w:val="0"/>
              <w:widowControl w:val="0"/>
              <w:kinsoku/>
              <w:wordWrap/>
              <w:overflowPunct/>
              <w:topLinePunct w:val="0"/>
              <w:autoSpaceDE/>
              <w:autoSpaceDN/>
              <w:bidi w:val="0"/>
              <w:spacing w:before="0" w:after="0" w:line="240" w:lineRule="auto"/>
              <w:ind w:firstLine="0" w:firstLineChars="0"/>
              <w:textAlignment w:val="auto"/>
              <w:rPr>
                <w:rFonts w:hint="default" w:ascii="Times New Roman" w:hAnsi="Times New Roman" w:cs="Times New Roman"/>
                <w:sz w:val="21"/>
                <w:szCs w:val="21"/>
                <w:u w:val="none" w:color="auto"/>
                <w:lang w:val="en-US"/>
              </w:rPr>
            </w:pPr>
            <w:r>
              <w:rPr>
                <w:rFonts w:hint="eastAsia" w:cs="Times New Roman"/>
                <w:sz w:val="21"/>
                <w:szCs w:val="21"/>
                <w:u w:val="none" w:color="auto"/>
                <w:lang w:val="en-US" w:eastAsia="zh-CN"/>
              </w:rPr>
              <w:t>20</w:t>
            </w:r>
          </w:p>
        </w:tc>
        <w:tc>
          <w:tcPr>
            <w:tcW w:w="3134" w:type="dxa"/>
            <w:noWrap w:val="0"/>
            <w:vAlign w:val="center"/>
          </w:tcPr>
          <w:p>
            <w:pPr>
              <w:pStyle w:val="225"/>
              <w:keepNext w:val="0"/>
              <w:keepLines w:val="0"/>
              <w:pageBreakBefore w:val="0"/>
              <w:widowControl w:val="0"/>
              <w:kinsoku/>
              <w:wordWrap/>
              <w:overflowPunct/>
              <w:topLinePunct w:val="0"/>
              <w:autoSpaceDE/>
              <w:autoSpaceDN/>
              <w:bidi w:val="0"/>
              <w:spacing w:before="0" w:after="0" w:line="240" w:lineRule="auto"/>
              <w:ind w:firstLine="0" w:firstLineChars="0"/>
              <w:jc w:val="both"/>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一体化污水处理设施、蓄水池等设施。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57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57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1118" w:type="dxa"/>
            <w:vMerge w:val="continue"/>
            <w:noWrap w:val="0"/>
            <w:vAlign w:val="center"/>
          </w:tcPr>
          <w:p>
            <w:pPr>
              <w:pStyle w:val="225"/>
              <w:keepNext w:val="0"/>
              <w:keepLines w:val="0"/>
              <w:pageBreakBefore w:val="0"/>
              <w:widowControl w:val="0"/>
              <w:kinsoku/>
              <w:wordWrap/>
              <w:overflowPunct/>
              <w:topLinePunct w:val="0"/>
              <w:autoSpaceDE/>
              <w:autoSpaceDN/>
              <w:bidi w:val="0"/>
              <w:spacing w:before="0" w:after="0" w:line="240" w:lineRule="auto"/>
              <w:ind w:firstLine="0" w:firstLineChars="0"/>
              <w:textAlignment w:val="auto"/>
              <w:rPr>
                <w:rFonts w:hint="default" w:ascii="Times New Roman" w:hAnsi="Times New Roman" w:cs="Times New Roman"/>
                <w:sz w:val="21"/>
                <w:szCs w:val="21"/>
                <w:u w:val="none" w:color="auto"/>
              </w:rPr>
            </w:pPr>
          </w:p>
        </w:tc>
        <w:tc>
          <w:tcPr>
            <w:tcW w:w="2408" w:type="dxa"/>
            <w:noWrap w:val="0"/>
            <w:vAlign w:val="center"/>
          </w:tcPr>
          <w:p>
            <w:pPr>
              <w:pStyle w:val="225"/>
              <w:keepNext w:val="0"/>
              <w:keepLines w:val="0"/>
              <w:pageBreakBefore w:val="0"/>
              <w:widowControl w:val="0"/>
              <w:kinsoku/>
              <w:wordWrap/>
              <w:overflowPunct/>
              <w:topLinePunct w:val="0"/>
              <w:autoSpaceDE/>
              <w:autoSpaceDN/>
              <w:bidi w:val="0"/>
              <w:spacing w:before="0" w:after="0" w:line="240" w:lineRule="auto"/>
              <w:ind w:firstLine="0" w:firstLineChars="0"/>
              <w:textAlignment w:val="auto"/>
              <w:rPr>
                <w:rFonts w:hint="default" w:ascii="Times New Roman" w:hAnsi="Times New Roman" w:eastAsia="宋体" w:cs="Times New Roman"/>
                <w:sz w:val="21"/>
                <w:szCs w:val="21"/>
                <w:u w:val="none" w:color="auto"/>
                <w:lang w:val="en-US" w:eastAsia="zh-CN"/>
              </w:rPr>
            </w:pPr>
            <w:r>
              <w:rPr>
                <w:rFonts w:hint="eastAsia" w:cs="Times New Roman"/>
                <w:sz w:val="21"/>
                <w:szCs w:val="21"/>
                <w:u w:val="none" w:color="auto"/>
                <w:lang w:val="en-US" w:eastAsia="zh-CN"/>
              </w:rPr>
              <w:t>饮用水源保护区风险防范措施</w:t>
            </w:r>
          </w:p>
        </w:tc>
        <w:tc>
          <w:tcPr>
            <w:tcW w:w="1238" w:type="dxa"/>
            <w:noWrap w:val="0"/>
            <w:vAlign w:val="center"/>
          </w:tcPr>
          <w:p>
            <w:pPr>
              <w:pStyle w:val="225"/>
              <w:keepNext w:val="0"/>
              <w:keepLines w:val="0"/>
              <w:pageBreakBefore w:val="0"/>
              <w:widowControl w:val="0"/>
              <w:kinsoku/>
              <w:wordWrap/>
              <w:overflowPunct/>
              <w:topLinePunct w:val="0"/>
              <w:autoSpaceDE/>
              <w:autoSpaceDN/>
              <w:bidi w:val="0"/>
              <w:spacing w:before="0" w:after="0" w:line="240" w:lineRule="auto"/>
              <w:ind w:firstLine="0" w:firstLineChars="0"/>
              <w:textAlignment w:val="auto"/>
              <w:rPr>
                <w:rFonts w:hint="default" w:cs="Times New Roman"/>
                <w:sz w:val="21"/>
                <w:szCs w:val="21"/>
                <w:u w:val="none" w:color="auto"/>
                <w:lang w:val="en-US" w:eastAsia="zh-CN"/>
              </w:rPr>
            </w:pPr>
            <w:r>
              <w:rPr>
                <w:rFonts w:hint="eastAsia" w:cs="Times New Roman"/>
                <w:sz w:val="21"/>
                <w:szCs w:val="21"/>
                <w:u w:val="none" w:color="auto"/>
                <w:lang w:val="en-US" w:eastAsia="zh-CN"/>
              </w:rPr>
              <w:t>20</w:t>
            </w:r>
          </w:p>
        </w:tc>
        <w:tc>
          <w:tcPr>
            <w:tcW w:w="3134" w:type="dxa"/>
            <w:noWrap w:val="0"/>
            <w:vAlign w:val="center"/>
          </w:tcPr>
          <w:p>
            <w:pPr>
              <w:pStyle w:val="225"/>
              <w:keepNext w:val="0"/>
              <w:keepLines w:val="0"/>
              <w:pageBreakBefore w:val="0"/>
              <w:widowControl w:val="0"/>
              <w:kinsoku/>
              <w:wordWrap/>
              <w:overflowPunct/>
              <w:topLinePunct w:val="0"/>
              <w:autoSpaceDE/>
              <w:autoSpaceDN/>
              <w:bidi w:val="0"/>
              <w:spacing w:before="0" w:after="0"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cs="Times New Roman"/>
                <w:sz w:val="21"/>
                <w:szCs w:val="21"/>
                <w:u w:val="none" w:color="auto"/>
                <w:lang w:val="en-US" w:eastAsia="zh-CN"/>
              </w:rPr>
              <w:t>防撞栏、警示标牌等</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7" w:hRule="atLeast"/>
          <w:jc w:val="center"/>
        </w:trPr>
        <w:tc>
          <w:tcPr>
            <w:tcW w:w="57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57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1118" w:type="dxa"/>
            <w:vMerge w:val="restart"/>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生态保护</w:t>
            </w:r>
          </w:p>
        </w:tc>
        <w:tc>
          <w:tcPr>
            <w:tcW w:w="2408"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野生鸟类保护</w:t>
            </w:r>
          </w:p>
        </w:tc>
        <w:tc>
          <w:tcPr>
            <w:tcW w:w="1238"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cs="Times New Roman"/>
                <w:sz w:val="21"/>
                <w:szCs w:val="21"/>
                <w:u w:val="none" w:color="auto"/>
                <w:lang w:val="en-US" w:eastAsia="zh-CN"/>
              </w:rPr>
              <w:t>10</w:t>
            </w:r>
          </w:p>
        </w:tc>
        <w:tc>
          <w:tcPr>
            <w:tcW w:w="3134" w:type="dxa"/>
            <w:noWrap w:val="0"/>
            <w:vAlign w:val="center"/>
          </w:tcPr>
          <w:p>
            <w:pPr>
              <w:pStyle w:val="225"/>
              <w:keepNext w:val="0"/>
              <w:keepLines w:val="0"/>
              <w:pageBreakBefore w:val="0"/>
              <w:widowControl w:val="0"/>
              <w:kinsoku/>
              <w:wordWrap/>
              <w:overflowPunct/>
              <w:topLinePunct w:val="0"/>
              <w:autoSpaceDE/>
              <w:autoSpaceDN/>
              <w:bidi w:val="0"/>
              <w:spacing w:before="0" w:after="0" w:line="240" w:lineRule="auto"/>
              <w:ind w:firstLine="0" w:firstLineChars="0"/>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7" w:hRule="atLeast"/>
          <w:jc w:val="center"/>
        </w:trPr>
        <w:tc>
          <w:tcPr>
            <w:tcW w:w="57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577"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1118" w:type="dxa"/>
            <w:vMerge w:val="continue"/>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p>
        </w:tc>
        <w:tc>
          <w:tcPr>
            <w:tcW w:w="2408" w:type="dxa"/>
            <w:noWrap w:val="0"/>
            <w:vAlign w:val="center"/>
          </w:tcPr>
          <w:p>
            <w:pPr>
              <w:pStyle w:val="225"/>
              <w:keepNext w:val="0"/>
              <w:keepLines w:val="0"/>
              <w:pageBreakBefore w:val="0"/>
              <w:widowControl w:val="0"/>
              <w:kinsoku/>
              <w:wordWrap/>
              <w:overflowPunct/>
              <w:topLinePunct w:val="0"/>
              <w:autoSpaceDE/>
              <w:autoSpaceDN/>
              <w:bidi w:val="0"/>
              <w:spacing w:before="0" w:after="0" w:line="240" w:lineRule="auto"/>
              <w:ind w:firstLine="0" w:firstLineChars="0"/>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植被恢复</w:t>
            </w:r>
          </w:p>
        </w:tc>
        <w:tc>
          <w:tcPr>
            <w:tcW w:w="1238" w:type="dxa"/>
            <w:noWrap w:val="0"/>
            <w:vAlign w:val="center"/>
          </w:tcPr>
          <w:p>
            <w:pPr>
              <w:pStyle w:val="225"/>
              <w:keepNext w:val="0"/>
              <w:keepLines w:val="0"/>
              <w:pageBreakBefore w:val="0"/>
              <w:widowControl w:val="0"/>
              <w:kinsoku/>
              <w:wordWrap/>
              <w:overflowPunct/>
              <w:topLinePunct w:val="0"/>
              <w:autoSpaceDE/>
              <w:autoSpaceDN/>
              <w:bidi w:val="0"/>
              <w:spacing w:before="0" w:after="0" w:line="240" w:lineRule="auto"/>
              <w:ind w:firstLine="0" w:firstLineChars="0"/>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120</w:t>
            </w:r>
          </w:p>
        </w:tc>
        <w:tc>
          <w:tcPr>
            <w:tcW w:w="3134" w:type="dxa"/>
            <w:noWrap w:val="0"/>
            <w:vAlign w:val="center"/>
          </w:tcPr>
          <w:p>
            <w:pPr>
              <w:pStyle w:val="225"/>
              <w:keepNext w:val="0"/>
              <w:keepLines w:val="0"/>
              <w:pageBreakBefore w:val="0"/>
              <w:widowControl w:val="0"/>
              <w:kinsoku/>
              <w:wordWrap/>
              <w:overflowPunct/>
              <w:topLinePunct w:val="0"/>
              <w:autoSpaceDE/>
              <w:autoSpaceDN/>
              <w:bidi w:val="0"/>
              <w:spacing w:before="0" w:after="0" w:line="240" w:lineRule="auto"/>
              <w:ind w:firstLine="0" w:firstLineChars="0"/>
              <w:textAlignment w:val="auto"/>
              <w:rPr>
                <w:rFonts w:hint="eastAsia" w:ascii="Times New Roman" w:hAnsi="Times New Roman" w:eastAsia="宋体" w:cs="Times New Roman"/>
                <w:sz w:val="21"/>
                <w:szCs w:val="21"/>
                <w:u w:val="none" w:color="auto"/>
                <w:lang w:eastAsia="zh-CN"/>
              </w:rPr>
            </w:pPr>
            <w:r>
              <w:rPr>
                <w:rFonts w:hint="eastAsia" w:ascii="Times New Roman" w:hAnsi="Times New Roman" w:eastAsia="宋体" w:cs="Times New Roman"/>
                <w:sz w:val="21"/>
                <w:szCs w:val="21"/>
                <w:u w:val="none" w:color="auto"/>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7" w:hRule="atLeast"/>
          <w:jc w:val="center"/>
        </w:trPr>
        <w:tc>
          <w:tcPr>
            <w:tcW w:w="577"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3</w:t>
            </w:r>
          </w:p>
        </w:tc>
        <w:tc>
          <w:tcPr>
            <w:tcW w:w="1695" w:type="dxa"/>
            <w:gridSpan w:val="2"/>
            <w:noWrap w:val="0"/>
            <w:vAlign w:val="center"/>
          </w:tcPr>
          <w:p>
            <w:pPr>
              <w:pStyle w:val="225"/>
              <w:keepNext w:val="0"/>
              <w:keepLines w:val="0"/>
              <w:pageBreakBefore w:val="0"/>
              <w:widowControl w:val="0"/>
              <w:kinsoku/>
              <w:wordWrap/>
              <w:overflowPunct/>
              <w:topLinePunct w:val="0"/>
              <w:autoSpaceDE/>
              <w:autoSpaceDN/>
              <w:bidi w:val="0"/>
              <w:spacing w:before="0" w:after="0" w:line="240" w:lineRule="auto"/>
              <w:ind w:firstLine="0" w:firstLineChars="0"/>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预留资金</w:t>
            </w:r>
          </w:p>
        </w:tc>
        <w:tc>
          <w:tcPr>
            <w:tcW w:w="2408" w:type="dxa"/>
            <w:shd w:val="clear" w:color="auto" w:fill="auto"/>
            <w:noWrap w:val="0"/>
            <w:vAlign w:val="center"/>
          </w:tcPr>
          <w:p>
            <w:pPr>
              <w:pStyle w:val="225"/>
              <w:keepNext w:val="0"/>
              <w:keepLines w:val="0"/>
              <w:pageBreakBefore w:val="0"/>
              <w:widowControl w:val="0"/>
              <w:kinsoku/>
              <w:wordWrap/>
              <w:overflowPunct/>
              <w:topLinePunct w:val="0"/>
              <w:autoSpaceDE/>
              <w:autoSpaceDN/>
              <w:bidi w:val="0"/>
              <w:spacing w:before="0" w:after="0" w:line="240" w:lineRule="auto"/>
              <w:ind w:firstLine="0" w:firstLineChars="0"/>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sz w:val="21"/>
                <w:szCs w:val="21"/>
                <w:u w:val="none" w:color="auto"/>
                <w:lang w:eastAsia="zh-CN"/>
              </w:rPr>
              <w:t>预留环保竣工验收、运营期跟踪监测以及其他不可预见费用</w:t>
            </w:r>
          </w:p>
        </w:tc>
        <w:tc>
          <w:tcPr>
            <w:tcW w:w="1238"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cs="Times New Roman"/>
                <w:sz w:val="21"/>
                <w:szCs w:val="21"/>
                <w:u w:val="none" w:color="auto"/>
                <w:lang w:val="en-US" w:eastAsia="zh-CN"/>
              </w:rPr>
              <w:t>100</w:t>
            </w:r>
          </w:p>
        </w:tc>
        <w:tc>
          <w:tcPr>
            <w:tcW w:w="3134" w:type="dxa"/>
            <w:noWrap w:val="0"/>
            <w:vAlign w:val="center"/>
          </w:tcPr>
          <w:p>
            <w:pPr>
              <w:pStyle w:val="225"/>
              <w:keepNext w:val="0"/>
              <w:keepLines w:val="0"/>
              <w:pageBreakBefore w:val="0"/>
              <w:widowControl w:val="0"/>
              <w:kinsoku/>
              <w:wordWrap/>
              <w:overflowPunct/>
              <w:topLinePunct w:val="0"/>
              <w:autoSpaceDE/>
              <w:autoSpaceDN/>
              <w:bidi w:val="0"/>
              <w:spacing w:before="0" w:after="0" w:line="240" w:lineRule="auto"/>
              <w:ind w:firstLine="0" w:firstLineChars="0"/>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7" w:hRule="atLeast"/>
          <w:jc w:val="center"/>
        </w:trPr>
        <w:tc>
          <w:tcPr>
            <w:tcW w:w="4680" w:type="dxa"/>
            <w:gridSpan w:val="4"/>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合计</w:t>
            </w:r>
          </w:p>
        </w:tc>
        <w:tc>
          <w:tcPr>
            <w:tcW w:w="1238"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eastAsia="宋体" w:cs="Times New Roman"/>
                <w:sz w:val="21"/>
                <w:szCs w:val="21"/>
                <w:u w:val="none" w:color="auto"/>
                <w:lang w:val="en-US" w:eastAsia="zh-CN"/>
              </w:rPr>
              <w:t>327</w:t>
            </w:r>
          </w:p>
        </w:tc>
        <w:tc>
          <w:tcPr>
            <w:tcW w:w="3134"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u w:val="none" w:color="auto"/>
              </w:rPr>
            </w:pPr>
            <w:r>
              <w:rPr>
                <w:rFonts w:hint="default" w:ascii="Times New Roman" w:hAnsi="Times New Roman" w:cs="Times New Roman"/>
                <w:sz w:val="21"/>
                <w:szCs w:val="21"/>
                <w:u w:val="none" w:color="auto"/>
              </w:rPr>
              <w:t>/</w:t>
            </w:r>
          </w:p>
        </w:tc>
      </w:tr>
    </w:tbl>
    <w:p>
      <w:pPr>
        <w:pStyle w:val="457"/>
        <w:ind w:firstLine="643"/>
        <w:rPr>
          <w:rFonts w:hint="eastAsia" w:ascii="Times New Roman" w:cs="Times New Roman"/>
          <w:color w:val="000000" w:themeColor="text1"/>
          <w:u w:val="none" w:color="auto"/>
          <w:lang w:eastAsia="zh-CN"/>
          <w14:textFill>
            <w14:solidFill>
              <w14:schemeClr w14:val="tx1"/>
            </w14:solidFill>
          </w14:textFill>
        </w:rPr>
      </w:pPr>
      <w:bookmarkStart w:id="182" w:name="_Toc8704"/>
      <w:r>
        <w:rPr>
          <w:rFonts w:hint="eastAsia" w:ascii="Times New Roman" w:cs="Times New Roman"/>
          <w:color w:val="000000" w:themeColor="text1"/>
          <w:u w:val="none" w:color="auto"/>
          <w:lang w:eastAsia="zh-CN"/>
          <w14:textFill>
            <w14:solidFill>
              <w14:schemeClr w14:val="tx1"/>
            </w14:solidFill>
          </w14:textFill>
        </w:rPr>
        <w:t>环境损益分析</w:t>
      </w:r>
      <w:bookmarkEnd w:id="182"/>
    </w:p>
    <w:p>
      <w:pPr>
        <w:pStyle w:val="458"/>
        <w:ind w:firstLine="602"/>
        <w:rPr>
          <w:rFonts w:hint="eastAsia" w:cs="Times New Roman"/>
          <w:color w:val="000000" w:themeColor="text1"/>
          <w:u w:val="none" w:color="auto"/>
          <w:lang w:eastAsia="zh-CN"/>
          <w14:textFill>
            <w14:solidFill>
              <w14:schemeClr w14:val="tx1"/>
            </w14:solidFill>
          </w14:textFill>
        </w:rPr>
      </w:pPr>
      <w:r>
        <w:rPr>
          <w:rFonts w:hint="eastAsia" w:cs="Times New Roman"/>
          <w:color w:val="000000" w:themeColor="text1"/>
          <w:u w:val="none" w:color="auto"/>
          <w:lang w:eastAsia="zh-CN"/>
          <w14:textFill>
            <w14:solidFill>
              <w14:schemeClr w14:val="tx1"/>
            </w14:solidFill>
          </w14:textFill>
        </w:rPr>
        <w:t>环境影响分析</w:t>
      </w:r>
    </w:p>
    <w:p>
      <w:pPr>
        <w:ind w:firstLine="480"/>
        <w:jc w:val="both"/>
        <w:rPr>
          <w:rFonts w:hint="eastAsia" w:ascii="Times New Roman" w:hAnsi="Times New Roman" w:cs="Times New Roman"/>
          <w:color w:val="000000" w:themeColor="text1"/>
          <w:u w:val="none" w:color="auto"/>
          <w14:textFill>
            <w14:solidFill>
              <w14:schemeClr w14:val="tx1"/>
            </w14:solidFill>
          </w14:textFill>
        </w:rPr>
      </w:pPr>
      <w:r>
        <w:rPr>
          <w:rFonts w:hint="eastAsia" w:ascii="Times New Roman" w:hAnsi="Times New Roman" w:cs="Times New Roman"/>
          <w:color w:val="000000" w:themeColor="text1"/>
          <w:u w:val="none" w:color="auto"/>
          <w14:textFill>
            <w14:solidFill>
              <w14:schemeClr w14:val="tx1"/>
            </w14:solidFill>
          </w14:textFill>
        </w:rPr>
        <w:t>本项目在建设过程中，施工过程需要临时占用一定面积的土地，扰动土壤、破坏地表植被，因此会带来一定程度的环境损失。一般来说，环境损失包括直接损失和间接损失，直接损失指由于项目建设对地表植被及其生境破坏所造成的环境经济损失，即土地资源破坏的经济损失</w:t>
      </w:r>
      <w:r>
        <w:rPr>
          <w:rFonts w:hint="eastAsia" w:cs="Times New Roman"/>
          <w:color w:val="000000" w:themeColor="text1"/>
          <w:u w:val="none" w:color="auto"/>
          <w:lang w:eastAsia="zh-CN"/>
          <w14:textFill>
            <w14:solidFill>
              <w14:schemeClr w14:val="tx1"/>
            </w14:solidFill>
          </w14:textFill>
        </w:rPr>
        <w:t>；</w:t>
      </w:r>
      <w:r>
        <w:rPr>
          <w:rFonts w:hint="eastAsia" w:ascii="Times New Roman" w:hAnsi="Times New Roman" w:cs="Times New Roman"/>
          <w:color w:val="000000" w:themeColor="text1"/>
          <w:u w:val="none" w:color="auto"/>
          <w14:textFill>
            <w14:solidFill>
              <w14:schemeClr w14:val="tx1"/>
            </w14:solidFill>
          </w14:textFill>
        </w:rPr>
        <w:t>间接损失指由土地资源损失而引起的其它生态问题，如生物多样性及生产力下降、水土流失等生态灾害所造成的环境经济损失。</w:t>
      </w:r>
      <w:r>
        <w:rPr>
          <w:rFonts w:hint="eastAsia" w:cs="Times New Roman"/>
          <w:color w:val="000000" w:themeColor="text1"/>
          <w:u w:val="none" w:color="auto"/>
          <w:lang w:eastAsia="zh-CN"/>
          <w14:textFill>
            <w14:solidFill>
              <w14:schemeClr w14:val="tx1"/>
            </w14:solidFill>
          </w14:textFill>
        </w:rPr>
        <w:t>一</w:t>
      </w:r>
      <w:r>
        <w:rPr>
          <w:rFonts w:hint="eastAsia" w:ascii="Times New Roman" w:hAnsi="Times New Roman" w:cs="Times New Roman"/>
          <w:color w:val="000000" w:themeColor="text1"/>
          <w:u w:val="none" w:color="auto"/>
          <w14:textFill>
            <w14:solidFill>
              <w14:schemeClr w14:val="tx1"/>
            </w14:solidFill>
          </w14:textFill>
        </w:rPr>
        <w:t>般通过计算直接环境损失一生物损失费来表征环境损失。</w:t>
      </w:r>
    </w:p>
    <w:p>
      <w:pPr>
        <w:pStyle w:val="458"/>
        <w:ind w:firstLine="602"/>
        <w:rPr>
          <w:rFonts w:hint="eastAsia" w:cs="Times New Roman"/>
          <w:color w:val="000000" w:themeColor="text1"/>
          <w:u w:val="none" w:color="auto"/>
          <w:lang w:eastAsia="zh-CN"/>
          <w14:textFill>
            <w14:solidFill>
              <w14:schemeClr w14:val="tx1"/>
            </w14:solidFill>
          </w14:textFill>
        </w:rPr>
      </w:pPr>
      <w:r>
        <w:rPr>
          <w:rFonts w:hint="eastAsia" w:cs="Times New Roman"/>
          <w:color w:val="000000" w:themeColor="text1"/>
          <w:u w:val="none" w:color="auto"/>
          <w:lang w:eastAsia="zh-CN"/>
          <w14:textFill>
            <w14:solidFill>
              <w14:schemeClr w14:val="tx1"/>
            </w14:solidFill>
          </w14:textFill>
        </w:rPr>
        <w:t>环境效益分析</w:t>
      </w:r>
    </w:p>
    <w:p>
      <w:pPr>
        <w:bidi w:val="0"/>
        <w:rPr>
          <w:rFonts w:hint="default"/>
        </w:rPr>
      </w:pPr>
      <w:r>
        <w:rPr>
          <w:rFonts w:hint="default"/>
        </w:rPr>
        <w:t>本风电场装机容量</w:t>
      </w:r>
      <w:r>
        <w:rPr>
          <w:rFonts w:hint="eastAsia"/>
          <w:lang w:val="en-US" w:eastAsia="zh-CN"/>
        </w:rPr>
        <w:t>75</w:t>
      </w:r>
      <w:r>
        <w:rPr>
          <w:rFonts w:hint="default"/>
        </w:rPr>
        <w:t>MW，项目投产后，年上网电量约为</w:t>
      </w:r>
      <w:r>
        <w:rPr>
          <w:rFonts w:hint="eastAsia"/>
          <w:color w:val="auto"/>
          <w:u w:val="none"/>
          <w:lang w:val="en-US" w:eastAsia="zh-CN"/>
        </w:rPr>
        <w:t>15409</w:t>
      </w:r>
      <w:r>
        <w:rPr>
          <w:rFonts w:hint="eastAsia"/>
          <w:color w:val="auto"/>
          <w:u w:val="none"/>
        </w:rPr>
        <w:t>万kW·h</w:t>
      </w:r>
      <w:r>
        <w:rPr>
          <w:rFonts w:hint="default"/>
        </w:rPr>
        <w:t>。以每</w:t>
      </w:r>
      <w:r>
        <w:rPr>
          <w:rFonts w:hint="eastAsia"/>
          <w:lang w:eastAsia="zh-CN"/>
        </w:rPr>
        <w:t>千瓦时</w:t>
      </w:r>
      <w:r>
        <w:rPr>
          <w:rFonts w:hint="default"/>
        </w:rPr>
        <w:t>消耗340g标准燃煤为例，同燃煤电站采取相应环保治理措施后相比，每年可为国家节约标准煤为</w:t>
      </w:r>
      <w:r>
        <w:rPr>
          <w:rFonts w:hint="eastAsia"/>
          <w:lang w:val="en-US" w:eastAsia="zh-CN"/>
        </w:rPr>
        <w:t>5.24</w:t>
      </w:r>
      <w:r>
        <w:rPr>
          <w:rFonts w:hint="default"/>
        </w:rPr>
        <w:t>万吨。风力发电可减少二氧化硫、一氧化碳、碳氢化合物、二氧化碳等有害气体的排放以及烟尘等废气的排放。经估算，本项目建成后，相应每年可减少多种有害气体和废气排放，其中二氧化碳约为</w:t>
      </w:r>
      <w:r>
        <w:rPr>
          <w:rFonts w:hint="eastAsia"/>
          <w:lang w:val="en-US" w:eastAsia="zh-CN"/>
        </w:rPr>
        <w:t>29.11</w:t>
      </w:r>
      <w:r>
        <w:rPr>
          <w:rFonts w:hint="default"/>
        </w:rPr>
        <w:t>万吨，二氧化硫为</w:t>
      </w:r>
      <w:r>
        <w:rPr>
          <w:rFonts w:hint="eastAsia"/>
          <w:lang w:val="en-US" w:eastAsia="zh-CN"/>
        </w:rPr>
        <w:t>196.33</w:t>
      </w:r>
      <w:r>
        <w:rPr>
          <w:rFonts w:hint="default"/>
        </w:rPr>
        <w:t>吨/年，烟尘</w:t>
      </w:r>
      <w:r>
        <w:rPr>
          <w:rFonts w:hint="eastAsia"/>
          <w:lang w:val="en-US" w:eastAsia="zh-CN"/>
        </w:rPr>
        <w:t>53.39</w:t>
      </w:r>
      <w:r>
        <w:rPr>
          <w:rFonts w:hint="default"/>
        </w:rPr>
        <w:t>吨/年，氮氧化物</w:t>
      </w:r>
      <w:r>
        <w:rPr>
          <w:rFonts w:hint="eastAsia"/>
          <w:lang w:val="en-US" w:eastAsia="zh-CN"/>
        </w:rPr>
        <w:t>442.78</w:t>
      </w:r>
      <w:r>
        <w:rPr>
          <w:rFonts w:hint="default"/>
        </w:rPr>
        <w:t>吨/年。</w:t>
      </w:r>
    </w:p>
    <w:p>
      <w:pPr>
        <w:bidi w:val="0"/>
        <w:rPr>
          <w:rFonts w:hint="eastAsia"/>
        </w:rPr>
      </w:pPr>
      <w:r>
        <w:rPr>
          <w:rFonts w:hint="default"/>
        </w:rPr>
        <w:t>可见，建设本项目可以减少化石资源的消耗，有利于缓解环境保护压力，实现经济与环境的协调发展，项目节能和环保效益显著</w:t>
      </w:r>
      <w:r>
        <w:rPr>
          <w:rFonts w:hint="eastAsia"/>
        </w:rPr>
        <w:t>。</w:t>
      </w:r>
    </w:p>
    <w:p>
      <w:pPr>
        <w:pStyle w:val="457"/>
        <w:ind w:firstLine="643"/>
        <w:rPr>
          <w:rFonts w:hint="eastAsia" w:ascii="Times New Roman" w:cs="Times New Roman"/>
          <w:color w:val="000000" w:themeColor="text1"/>
          <w:u w:val="none" w:color="auto"/>
          <w:lang w:eastAsia="zh-CN"/>
          <w14:textFill>
            <w14:solidFill>
              <w14:schemeClr w14:val="tx1"/>
            </w14:solidFill>
          </w14:textFill>
        </w:rPr>
      </w:pPr>
      <w:bookmarkStart w:id="183" w:name="_Toc24082"/>
      <w:r>
        <w:rPr>
          <w:rFonts w:hint="eastAsia" w:ascii="Times New Roman" w:cs="Times New Roman"/>
          <w:color w:val="000000" w:themeColor="text1"/>
          <w:u w:val="none" w:color="auto"/>
          <w:lang w:eastAsia="zh-CN"/>
          <w14:textFill>
            <w14:solidFill>
              <w14:schemeClr w14:val="tx1"/>
            </w14:solidFill>
          </w14:textFill>
        </w:rPr>
        <w:t>社会经济效益分析</w:t>
      </w:r>
      <w:bookmarkEnd w:id="183"/>
    </w:p>
    <w:p>
      <w:pPr>
        <w:bidi w:val="0"/>
        <w:rPr>
          <w:rFonts w:hint="eastAsia"/>
        </w:rPr>
      </w:pPr>
      <w:r>
        <w:rPr>
          <w:rFonts w:hint="eastAsia"/>
        </w:rPr>
        <w:t>本工程为可再生能源项目，属国家鼓励发展的能源项目，符合国家能源发展战略要求。工程建成后，每年可向电网输送</w:t>
      </w:r>
      <w:r>
        <w:rPr>
          <w:rFonts w:hint="eastAsia"/>
          <w:color w:val="auto"/>
          <w:u w:val="none"/>
          <w:lang w:val="en-US" w:eastAsia="zh-CN"/>
        </w:rPr>
        <w:t>15409</w:t>
      </w:r>
      <w:r>
        <w:rPr>
          <w:rFonts w:hint="eastAsia"/>
        </w:rPr>
        <w:t>万kW·h 的上网电量，可改善电网电源结构，有利于当地国民经济的可持续发展。</w:t>
      </w:r>
    </w:p>
    <w:p>
      <w:pPr>
        <w:bidi w:val="0"/>
        <w:rPr>
          <w:rFonts w:hint="eastAsia"/>
        </w:rPr>
      </w:pPr>
      <w:r>
        <w:rPr>
          <w:rFonts w:hint="eastAsia"/>
        </w:rPr>
        <w:t>本工程的建设有利于当地劳动力市场和建材市场的繁荣，增加社会就业机会。工程建成后，可为地方带来较大的税收，有利于当地经济发展。</w:t>
      </w:r>
    </w:p>
    <w:p>
      <w:pPr>
        <w:bidi w:val="0"/>
        <w:sectPr>
          <w:pgSz w:w="11905"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3" w:charSpace="0"/>
        </w:sectPr>
      </w:pPr>
    </w:p>
    <w:p>
      <w:pPr>
        <w:pStyle w:val="461"/>
        <w:bidi w:val="0"/>
      </w:pPr>
      <w:r>
        <w:t xml:space="preserve">  </w:t>
      </w:r>
      <w:bookmarkStart w:id="184" w:name="_Toc28154"/>
      <w:r>
        <w:t>环境管理与监测计划</w:t>
      </w:r>
      <w:bookmarkEnd w:id="184"/>
    </w:p>
    <w:p>
      <w:pPr>
        <w:ind w:firstLine="480"/>
        <w:rPr>
          <w:color w:val="000000" w:themeColor="text1"/>
          <w:u w:val="none" w:color="auto"/>
          <w14:textFill>
            <w14:solidFill>
              <w14:schemeClr w14:val="tx1"/>
            </w14:solidFill>
          </w14:textFill>
        </w:rPr>
      </w:pPr>
      <w:bookmarkStart w:id="185" w:name="_Toc449004789"/>
      <w:bookmarkStart w:id="186" w:name="_Toc235327168"/>
      <w:bookmarkStart w:id="187" w:name="_Toc426116638"/>
      <w:bookmarkStart w:id="188" w:name="_Toc18119481"/>
      <w:bookmarkStart w:id="189" w:name="_Toc234318329"/>
      <w:bookmarkStart w:id="190" w:name="_Toc22979304"/>
      <w:r>
        <w:rPr>
          <w:color w:val="000000" w:themeColor="text1"/>
          <w:u w:val="none" w:color="auto"/>
          <w14:textFill>
            <w14:solidFill>
              <w14:schemeClr w14:val="tx1"/>
            </w14:solidFill>
          </w14:textFill>
        </w:rPr>
        <w:t>环境管理是企业管理中的重要环节之一。在企业中，建立健全环保机构，加强环保管理工作，开展厂内环境监测、监督，并把环保工作纳入生产管理，对于减少企业污染物排放，促进资源的合理利用与回收，提高经济效益和环境效益有着重要意义。</w:t>
      </w:r>
    </w:p>
    <w:bookmarkEnd w:id="185"/>
    <w:p>
      <w:pPr>
        <w:pStyle w:val="457"/>
        <w:ind w:firstLine="643"/>
        <w:rPr>
          <w:rFonts w:ascii="Times New Roman" w:cs="Times New Roman"/>
          <w:color w:val="000000" w:themeColor="text1"/>
          <w:u w:val="none" w:color="auto"/>
          <w14:textFill>
            <w14:solidFill>
              <w14:schemeClr w14:val="tx1"/>
            </w14:solidFill>
          </w14:textFill>
        </w:rPr>
      </w:pPr>
      <w:bookmarkStart w:id="191" w:name="_Toc1689"/>
      <w:r>
        <w:rPr>
          <w:rFonts w:ascii="Times New Roman" w:cs="Times New Roman"/>
          <w:color w:val="000000" w:themeColor="text1"/>
          <w:u w:val="none" w:color="auto"/>
          <w14:textFill>
            <w14:solidFill>
              <w14:schemeClr w14:val="tx1"/>
            </w14:solidFill>
          </w14:textFill>
        </w:rPr>
        <w:t>环境管理</w:t>
      </w:r>
      <w:bookmarkEnd w:id="191"/>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建设单位是落实建设项目环境保护责任的主体。建设项目实施过程中应严格落实经 批准的环境影响评价文件及其批复文件提出的各项环境保护要求，确保环境保护设施正 常运行。</w:t>
      </w:r>
    </w:p>
    <w:p>
      <w:pPr>
        <w:pStyle w:val="458"/>
        <w:ind w:firstLine="602"/>
        <w:rPr>
          <w:rFonts w:hint="eastAsia" w:eastAsia="宋体" w:cs="Times New Roman"/>
          <w:color w:val="000000" w:themeColor="text1"/>
          <w:u w:val="none" w:color="auto"/>
          <w:lang w:eastAsia="zh-CN"/>
          <w14:textFill>
            <w14:solidFill>
              <w14:schemeClr w14:val="tx1"/>
            </w14:solidFill>
          </w14:textFill>
        </w:rPr>
      </w:pPr>
      <w:r>
        <w:rPr>
          <w:rFonts w:hint="eastAsia" w:eastAsia="宋体" w:cs="Times New Roman"/>
          <w:color w:val="000000" w:themeColor="text1"/>
          <w:u w:val="none" w:color="auto"/>
          <w:lang w:eastAsia="zh-CN"/>
          <w14:textFill>
            <w14:solidFill>
              <w14:schemeClr w14:val="tx1"/>
            </w14:solidFill>
          </w14:textFill>
        </w:rPr>
        <w:t>施工期环境管理体系</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(1) 环境管理机构与人员配备</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项目</w:t>
      </w:r>
      <w:r>
        <w:rPr>
          <w:rFonts w:hint="eastAsia"/>
          <w:color w:val="000000" w:themeColor="text1"/>
          <w:u w:val="none" w:color="auto"/>
          <w:lang w:val="en-US" w:eastAsia="zh-CN"/>
          <w14:textFill>
            <w14:solidFill>
              <w14:schemeClr w14:val="tx1"/>
            </w14:solidFill>
          </w14:textFill>
        </w:rPr>
        <w:t>建设单位</w:t>
      </w:r>
      <w:r>
        <w:rPr>
          <w:rFonts w:hint="eastAsia"/>
          <w:color w:val="000000" w:themeColor="text1"/>
          <w:u w:val="none" w:color="auto"/>
          <w14:textFill>
            <w14:solidFill>
              <w14:schemeClr w14:val="tx1"/>
            </w14:solidFill>
          </w14:textFill>
        </w:rPr>
        <w:t>应成立施工期环境管理机构，从业人员应具有适当的资历和经验。</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(2) 职责和权限</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根据工程施工计划制定详细管理计划，每月对该计划进行检查，以及必要的修订。 定期向工程领导汇报环境管理检查结果，对检查中发现的问题提出针对性地解决办</w:t>
      </w:r>
      <w:r>
        <w:rPr>
          <w:rFonts w:hint="eastAsia"/>
          <w:color w:val="000000" w:themeColor="text1"/>
          <w:u w:val="none" w:color="auto"/>
          <w:lang w:eastAsia="zh-CN"/>
          <w14:textFill>
            <w14:solidFill>
              <w14:schemeClr w14:val="tx1"/>
            </w14:solidFill>
          </w14:textFill>
        </w:rPr>
        <w:t>法</w:t>
      </w:r>
      <w:r>
        <w:rPr>
          <w:rFonts w:hint="eastAsia"/>
          <w:color w:val="000000" w:themeColor="text1"/>
          <w:u w:val="none" w:color="auto"/>
          <w14:textFill>
            <w14:solidFill>
              <w14:schemeClr w14:val="tx1"/>
            </w14:solidFill>
          </w14:textFill>
        </w:rPr>
        <w:t>。</w:t>
      </w:r>
    </w:p>
    <w:p>
      <w:pPr>
        <w:pStyle w:val="458"/>
        <w:ind w:firstLine="602"/>
        <w:rPr>
          <w:rFonts w:hint="eastAsia" w:eastAsia="宋体" w:cs="Times New Roman"/>
          <w:color w:val="000000" w:themeColor="text1"/>
          <w:u w:val="none" w:color="auto"/>
          <w:lang w:eastAsia="zh-CN"/>
          <w14:textFill>
            <w14:solidFill>
              <w14:schemeClr w14:val="tx1"/>
            </w14:solidFill>
          </w14:textFill>
        </w:rPr>
      </w:pPr>
      <w:r>
        <w:rPr>
          <w:rFonts w:hint="eastAsia" w:eastAsia="宋体" w:cs="Times New Roman"/>
          <w:color w:val="000000" w:themeColor="text1"/>
          <w:u w:val="none" w:color="auto"/>
          <w:lang w:eastAsia="zh-CN"/>
          <w14:textFill>
            <w14:solidFill>
              <w14:schemeClr w14:val="tx1"/>
            </w14:solidFill>
          </w14:textFill>
        </w:rPr>
        <w:t>营运期环境管理体系</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根据项目的环境特点，建设单位应配备相应的环境管理人员。环保管理人员应在各自的岗位责任制中明确所负的环保责任。监督国家法规、条例的贯彻执行情况，制订和贯彻环保管理制度，监控本工程主要污染源，对各部门、操作岗位进行环境保护监督和考核。环境管理的职能为：</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（1）制定和实施各项环境管理计划。</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（2）建立环境监测、生态环境现状数据档案，并定期向当地环境保护行政主管部门申报。</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3）掌握项目所在地周围的环境特征和环境保护目标情况。建立环境管理和环境监测技术文件，做好记录、建档工作。技术文件包括：污染源的监测记录技术文件；污染控制、环境保护设施的设计和运行管理文件；导致严重环境影响事件的分析报告和监测数据资料等。并定期向当地环保主管部门申报。</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（4）检查治理设施运行情况，及时处理出现的问题，保证治理设施的正常运行。</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（5）不定期地进行巡查，特别是各环境保护对象，保护生态环境不被破坏，保证保护生态与工程运行相协调。</w:t>
      </w:r>
    </w:p>
    <w:p>
      <w:pPr>
        <w:ind w:firstLine="480"/>
        <w:rPr>
          <w:rFonts w:hint="eastAsia"/>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（6）协调配合上级环保主管部门所进行的环境调查，生态调查等活动。</w:t>
      </w:r>
    </w:p>
    <w:p>
      <w:pPr>
        <w:ind w:firstLine="480"/>
        <w:rPr>
          <w:color w:val="000000" w:themeColor="text1"/>
          <w:u w:val="none" w:color="auto"/>
          <w14:textFill>
            <w14:solidFill>
              <w14:schemeClr w14:val="tx1"/>
            </w14:solidFill>
          </w14:textFill>
        </w:rPr>
      </w:pPr>
      <w:r>
        <w:rPr>
          <w:rFonts w:hint="eastAsia"/>
          <w:color w:val="000000" w:themeColor="text1"/>
          <w:u w:val="none" w:color="auto"/>
          <w14:textFill>
            <w14:solidFill>
              <w14:schemeClr w14:val="tx1"/>
            </w14:solidFill>
          </w14:textFill>
        </w:rPr>
        <w:t>（7）各风机平台及升压站设置安全警示牌，包括防倒塌、防火灾警示牌，禁止放牧、禁止随意乱扔垃圾警示牌。</w:t>
      </w:r>
    </w:p>
    <w:p>
      <w:pPr>
        <w:pStyle w:val="457"/>
        <w:ind w:firstLine="643"/>
        <w:rPr>
          <w:rFonts w:ascii="Times New Roman" w:cs="Times New Roman"/>
          <w:color w:val="000000" w:themeColor="text1"/>
          <w:u w:val="none" w:color="auto"/>
          <w14:textFill>
            <w14:solidFill>
              <w14:schemeClr w14:val="tx1"/>
            </w14:solidFill>
          </w14:textFill>
        </w:rPr>
      </w:pPr>
      <w:bookmarkStart w:id="192" w:name="_Toc26022"/>
      <w:bookmarkStart w:id="193" w:name="_Toc454291260"/>
      <w:r>
        <w:rPr>
          <w:rFonts w:hint="eastAsia" w:ascii="Times New Roman" w:cs="Times New Roman"/>
          <w:color w:val="000000" w:themeColor="text1"/>
          <w:u w:val="none" w:color="auto"/>
          <w:lang w:eastAsia="zh-CN"/>
          <w14:textFill>
            <w14:solidFill>
              <w14:schemeClr w14:val="tx1"/>
            </w14:solidFill>
          </w14:textFill>
        </w:rPr>
        <w:t>环境监理</w:t>
      </w:r>
      <w:bookmarkEnd w:id="192"/>
    </w:p>
    <w:p>
      <w:pPr>
        <w:widowControl w:val="0"/>
        <w:spacing w:line="360" w:lineRule="auto"/>
        <w:ind w:firstLine="480" w:firstLineChars="200"/>
        <w:rPr>
          <w:rFonts w:hAnsi="宋体"/>
          <w:color w:val="auto"/>
          <w:kern w:val="0"/>
          <w:sz w:val="24"/>
          <w:u w:val="none" w:color="auto"/>
        </w:rPr>
      </w:pPr>
      <w:r>
        <w:rPr>
          <w:rFonts w:hint="eastAsia"/>
          <w:color w:val="auto"/>
        </w:rPr>
        <w:t>本工程于2023年12月</w:t>
      </w:r>
      <w:r>
        <w:rPr>
          <w:rFonts w:hint="eastAsia"/>
          <w:color w:val="auto"/>
          <w:lang w:val="en-US" w:eastAsia="zh-CN"/>
        </w:rPr>
        <w:t>开工建设，2024年已委托广州科禹环保科技有限公司进行环境监理。环境监理人员每月对施工现场进行抽查监督检查。</w:t>
      </w:r>
    </w:p>
    <w:p>
      <w:pPr>
        <w:widowControl w:val="0"/>
        <w:spacing w:line="360" w:lineRule="auto"/>
        <w:ind w:firstLine="480" w:firstLineChars="200"/>
        <w:rPr>
          <w:rFonts w:hint="default" w:hAnsi="宋体" w:eastAsia="宋体"/>
          <w:color w:val="auto"/>
          <w:kern w:val="0"/>
          <w:sz w:val="24"/>
          <w:u w:val="none" w:color="auto"/>
          <w:lang w:val="en-US" w:eastAsia="zh-CN"/>
        </w:rPr>
      </w:pPr>
      <w:r>
        <w:rPr>
          <w:rFonts w:hint="eastAsia" w:hAnsi="宋体"/>
          <w:color w:val="auto"/>
          <w:kern w:val="0"/>
          <w:sz w:val="24"/>
          <w:u w:val="none" w:color="auto"/>
          <w:lang w:val="en-US" w:eastAsia="zh-CN"/>
        </w:rPr>
        <w:t>1）施工期环境监理</w:t>
      </w:r>
    </w:p>
    <w:p>
      <w:pPr>
        <w:widowControl w:val="0"/>
        <w:spacing w:line="360" w:lineRule="auto"/>
        <w:ind w:firstLine="480" w:firstLineChars="200"/>
        <w:rPr>
          <w:color w:val="auto"/>
          <w:kern w:val="0"/>
          <w:sz w:val="24"/>
          <w:u w:val="none" w:color="auto"/>
        </w:rPr>
      </w:pPr>
      <w:r>
        <w:rPr>
          <w:rFonts w:hAnsi="宋体"/>
          <w:color w:val="auto"/>
          <w:kern w:val="0"/>
          <w:sz w:val="24"/>
          <w:u w:val="none" w:color="auto"/>
        </w:rPr>
        <w:t>本项目施工阶段主要环境监理要点见表</w:t>
      </w:r>
      <w:r>
        <w:rPr>
          <w:rFonts w:hint="eastAsia"/>
          <w:color w:val="auto"/>
          <w:kern w:val="0"/>
          <w:sz w:val="24"/>
          <w:u w:val="none" w:color="auto"/>
          <w:lang w:val="en-US" w:eastAsia="zh-CN"/>
        </w:rPr>
        <w:t>9</w:t>
      </w:r>
      <w:r>
        <w:rPr>
          <w:color w:val="auto"/>
          <w:kern w:val="0"/>
          <w:sz w:val="24"/>
          <w:u w:val="none" w:color="auto"/>
        </w:rPr>
        <w:t>-1</w:t>
      </w:r>
      <w:r>
        <w:rPr>
          <w:rFonts w:hAnsi="宋体"/>
          <w:color w:val="auto"/>
          <w:kern w:val="0"/>
          <w:sz w:val="24"/>
          <w:u w:val="none" w:color="auto"/>
        </w:rPr>
        <w:t>。</w:t>
      </w:r>
    </w:p>
    <w:p>
      <w:pPr>
        <w:widowControl w:val="0"/>
        <w:jc w:val="center"/>
        <w:rPr>
          <w:b/>
          <w:color w:val="auto"/>
          <w:kern w:val="0"/>
          <w:sz w:val="21"/>
          <w:szCs w:val="21"/>
          <w:u w:val="none" w:color="auto"/>
        </w:rPr>
      </w:pPr>
      <w:r>
        <w:rPr>
          <w:rFonts w:hAnsi="宋体"/>
          <w:b/>
          <w:color w:val="auto"/>
          <w:kern w:val="0"/>
          <w:sz w:val="21"/>
          <w:szCs w:val="21"/>
          <w:u w:val="none" w:color="auto"/>
        </w:rPr>
        <w:t>表</w:t>
      </w:r>
      <w:r>
        <w:rPr>
          <w:rFonts w:hint="eastAsia"/>
          <w:b/>
          <w:color w:val="auto"/>
          <w:kern w:val="0"/>
          <w:sz w:val="21"/>
          <w:szCs w:val="21"/>
          <w:u w:val="none" w:color="auto"/>
          <w:lang w:val="en-US" w:eastAsia="zh-CN"/>
        </w:rPr>
        <w:t>9</w:t>
      </w:r>
      <w:r>
        <w:rPr>
          <w:b/>
          <w:color w:val="auto"/>
          <w:kern w:val="0"/>
          <w:sz w:val="21"/>
          <w:szCs w:val="21"/>
          <w:u w:val="none" w:color="auto"/>
        </w:rPr>
        <w:t xml:space="preserve">-1  </w:t>
      </w:r>
      <w:r>
        <w:rPr>
          <w:rFonts w:hAnsi="宋体"/>
          <w:b/>
          <w:color w:val="auto"/>
          <w:kern w:val="0"/>
          <w:sz w:val="21"/>
          <w:szCs w:val="21"/>
          <w:u w:val="none" w:color="auto"/>
        </w:rPr>
        <w:t>施工期环境监理一览表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68"/>
        <w:gridCol w:w="725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68" w:type="dxa"/>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ind w:firstLine="0" w:firstLineChars="0"/>
              <w:jc w:val="center"/>
              <w:textAlignment w:val="auto"/>
              <w:rPr>
                <w:color w:val="auto"/>
                <w:sz w:val="21"/>
                <w:szCs w:val="21"/>
                <w:u w:val="none" w:color="auto"/>
              </w:rPr>
            </w:pPr>
            <w:r>
              <w:rPr>
                <w:rFonts w:hAnsi="宋体"/>
                <w:color w:val="auto"/>
                <w:sz w:val="21"/>
                <w:szCs w:val="21"/>
                <w:u w:val="none" w:color="auto"/>
              </w:rPr>
              <w:t>项目</w:t>
            </w:r>
          </w:p>
        </w:tc>
        <w:tc>
          <w:tcPr>
            <w:tcW w:w="7252" w:type="dxa"/>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ind w:firstLine="0" w:firstLineChars="0"/>
              <w:jc w:val="center"/>
              <w:textAlignment w:val="auto"/>
              <w:rPr>
                <w:color w:val="auto"/>
                <w:sz w:val="21"/>
                <w:szCs w:val="21"/>
                <w:u w:val="none" w:color="auto"/>
              </w:rPr>
            </w:pPr>
            <w:r>
              <w:rPr>
                <w:rFonts w:hAnsi="宋体"/>
                <w:color w:val="auto"/>
                <w:sz w:val="21"/>
                <w:szCs w:val="21"/>
                <w:u w:val="none" w:color="auto"/>
              </w:rPr>
              <w:t>环境监理要点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468" w:type="dxa"/>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ind w:firstLine="0" w:firstLineChars="0"/>
              <w:jc w:val="center"/>
              <w:textAlignment w:val="auto"/>
              <w:rPr>
                <w:color w:val="auto"/>
                <w:sz w:val="21"/>
                <w:szCs w:val="21"/>
                <w:u w:val="none" w:color="auto"/>
              </w:rPr>
            </w:pPr>
            <w:r>
              <w:rPr>
                <w:rFonts w:hAnsi="宋体"/>
                <w:color w:val="auto"/>
                <w:sz w:val="21"/>
                <w:szCs w:val="21"/>
                <w:u w:val="none" w:color="auto"/>
              </w:rPr>
              <w:t>施工活动生态保护</w:t>
            </w:r>
          </w:p>
        </w:tc>
        <w:tc>
          <w:tcPr>
            <w:tcW w:w="7252" w:type="dxa"/>
            <w:tcBorders>
              <w:tl2br w:val="nil"/>
              <w:tr2bl w:val="nil"/>
            </w:tcBorders>
            <w:noWrap w:val="0"/>
            <w:vAlign w:val="top"/>
          </w:tcPr>
          <w:p>
            <w:pPr>
              <w:keepNext w:val="0"/>
              <w:keepLines w:val="0"/>
              <w:pageBreakBefore w:val="0"/>
              <w:widowControl w:val="0"/>
              <w:kinsoku/>
              <w:wordWrap/>
              <w:overflowPunct/>
              <w:topLinePunct w:val="0"/>
              <w:bidi w:val="0"/>
              <w:snapToGrid/>
              <w:spacing w:line="240" w:lineRule="auto"/>
              <w:ind w:firstLine="0" w:firstLineChars="0"/>
              <w:textAlignment w:val="auto"/>
              <w:rPr>
                <w:color w:val="auto"/>
                <w:sz w:val="21"/>
                <w:szCs w:val="21"/>
                <w:u w:val="none" w:color="auto"/>
              </w:rPr>
            </w:pPr>
            <w:r>
              <w:rPr>
                <w:rFonts w:hAnsi="宋体"/>
                <w:color w:val="auto"/>
                <w:sz w:val="21"/>
                <w:szCs w:val="21"/>
                <w:u w:val="none" w:color="auto"/>
              </w:rPr>
              <w:t>（</w:t>
            </w:r>
            <w:r>
              <w:rPr>
                <w:color w:val="auto"/>
                <w:sz w:val="21"/>
                <w:szCs w:val="21"/>
                <w:u w:val="none" w:color="auto"/>
              </w:rPr>
              <w:t>1</w:t>
            </w:r>
            <w:r>
              <w:rPr>
                <w:rFonts w:hAnsi="宋体"/>
                <w:color w:val="auto"/>
                <w:sz w:val="21"/>
                <w:szCs w:val="21"/>
                <w:u w:val="none" w:color="auto"/>
              </w:rPr>
              <w:t>）施工方式的合理性、要求采取符合环保要求和生态景观保护的施工工艺和施工方法。</w:t>
            </w:r>
          </w:p>
          <w:p>
            <w:pPr>
              <w:keepNext w:val="0"/>
              <w:keepLines w:val="0"/>
              <w:pageBreakBefore w:val="0"/>
              <w:widowControl w:val="0"/>
              <w:kinsoku/>
              <w:wordWrap/>
              <w:overflowPunct/>
              <w:topLinePunct w:val="0"/>
              <w:bidi w:val="0"/>
              <w:snapToGrid/>
              <w:spacing w:line="240" w:lineRule="auto"/>
              <w:ind w:firstLine="0" w:firstLineChars="0"/>
              <w:textAlignment w:val="auto"/>
              <w:rPr>
                <w:color w:val="auto"/>
                <w:sz w:val="21"/>
                <w:szCs w:val="21"/>
                <w:u w:val="none" w:color="auto"/>
              </w:rPr>
            </w:pPr>
            <w:r>
              <w:rPr>
                <w:rFonts w:hAnsi="宋体"/>
                <w:color w:val="auto"/>
                <w:sz w:val="21"/>
                <w:szCs w:val="21"/>
                <w:u w:val="none" w:color="auto"/>
              </w:rPr>
              <w:t>（</w:t>
            </w:r>
            <w:r>
              <w:rPr>
                <w:color w:val="auto"/>
                <w:sz w:val="21"/>
                <w:szCs w:val="21"/>
                <w:u w:val="none" w:color="auto"/>
              </w:rPr>
              <w:t>2</w:t>
            </w:r>
            <w:r>
              <w:rPr>
                <w:rFonts w:hAnsi="宋体"/>
                <w:color w:val="auto"/>
                <w:sz w:val="21"/>
                <w:szCs w:val="21"/>
                <w:u w:val="none" w:color="auto"/>
              </w:rPr>
              <w:t>）控制施工作业区面积，限制施工活动扰动范围区域，禁止施工人员随意到非施工区域。</w:t>
            </w:r>
          </w:p>
          <w:p>
            <w:pPr>
              <w:keepNext w:val="0"/>
              <w:keepLines w:val="0"/>
              <w:pageBreakBefore w:val="0"/>
              <w:widowControl w:val="0"/>
              <w:kinsoku/>
              <w:wordWrap/>
              <w:overflowPunct/>
              <w:topLinePunct w:val="0"/>
              <w:bidi w:val="0"/>
              <w:snapToGrid/>
              <w:spacing w:line="240" w:lineRule="auto"/>
              <w:ind w:firstLine="0" w:firstLineChars="0"/>
              <w:textAlignment w:val="auto"/>
              <w:rPr>
                <w:color w:val="auto"/>
                <w:sz w:val="21"/>
                <w:szCs w:val="21"/>
                <w:u w:val="none" w:color="auto"/>
              </w:rPr>
            </w:pPr>
            <w:r>
              <w:rPr>
                <w:rFonts w:hAnsi="宋体"/>
                <w:color w:val="auto"/>
                <w:sz w:val="21"/>
                <w:szCs w:val="21"/>
                <w:u w:val="none" w:color="auto"/>
              </w:rPr>
              <w:t>（</w:t>
            </w:r>
            <w:r>
              <w:rPr>
                <w:color w:val="auto"/>
                <w:sz w:val="21"/>
                <w:szCs w:val="21"/>
                <w:u w:val="none" w:color="auto"/>
              </w:rPr>
              <w:t>3</w:t>
            </w:r>
            <w:r>
              <w:rPr>
                <w:rFonts w:hAnsi="宋体"/>
                <w:color w:val="auto"/>
                <w:sz w:val="21"/>
                <w:szCs w:val="21"/>
                <w:u w:val="none" w:color="auto"/>
              </w:rPr>
              <w:t>）施工车辆必须沿规定运输路线行驶，不得随意越界行驶。</w:t>
            </w:r>
          </w:p>
          <w:p>
            <w:pPr>
              <w:keepNext w:val="0"/>
              <w:keepLines w:val="0"/>
              <w:pageBreakBefore w:val="0"/>
              <w:widowControl w:val="0"/>
              <w:kinsoku/>
              <w:wordWrap/>
              <w:overflowPunct/>
              <w:topLinePunct w:val="0"/>
              <w:bidi w:val="0"/>
              <w:snapToGrid/>
              <w:spacing w:line="240" w:lineRule="auto"/>
              <w:ind w:firstLine="0" w:firstLineChars="0"/>
              <w:textAlignment w:val="auto"/>
              <w:rPr>
                <w:color w:val="auto"/>
                <w:sz w:val="21"/>
                <w:szCs w:val="21"/>
                <w:u w:val="none" w:color="auto"/>
              </w:rPr>
            </w:pPr>
            <w:r>
              <w:rPr>
                <w:rFonts w:hAnsi="宋体"/>
                <w:color w:val="auto"/>
                <w:sz w:val="21"/>
                <w:szCs w:val="21"/>
                <w:u w:val="none" w:color="auto"/>
              </w:rPr>
              <w:t>（</w:t>
            </w:r>
            <w:r>
              <w:rPr>
                <w:color w:val="auto"/>
                <w:sz w:val="21"/>
                <w:szCs w:val="21"/>
                <w:u w:val="none" w:color="auto"/>
              </w:rPr>
              <w:t>4</w:t>
            </w:r>
            <w:r>
              <w:rPr>
                <w:rFonts w:hAnsi="宋体"/>
                <w:color w:val="auto"/>
                <w:sz w:val="21"/>
                <w:szCs w:val="21"/>
                <w:u w:val="none" w:color="auto"/>
              </w:rPr>
              <w:t>）施工开挖表土和弃渣应就近集中分开堆存，以利于回填。</w:t>
            </w:r>
          </w:p>
          <w:p>
            <w:pPr>
              <w:keepNext w:val="0"/>
              <w:keepLines w:val="0"/>
              <w:pageBreakBefore w:val="0"/>
              <w:widowControl w:val="0"/>
              <w:kinsoku/>
              <w:wordWrap/>
              <w:overflowPunct/>
              <w:topLinePunct w:val="0"/>
              <w:bidi w:val="0"/>
              <w:snapToGrid/>
              <w:spacing w:line="240" w:lineRule="auto"/>
              <w:ind w:firstLine="0" w:firstLineChars="0"/>
              <w:textAlignment w:val="auto"/>
              <w:rPr>
                <w:color w:val="auto"/>
                <w:sz w:val="21"/>
                <w:szCs w:val="21"/>
                <w:u w:val="none" w:color="auto"/>
              </w:rPr>
            </w:pPr>
            <w:r>
              <w:rPr>
                <w:rFonts w:hAnsi="宋体"/>
                <w:color w:val="auto"/>
                <w:sz w:val="21"/>
                <w:szCs w:val="21"/>
                <w:u w:val="none" w:color="auto"/>
              </w:rPr>
              <w:t>（</w:t>
            </w:r>
            <w:r>
              <w:rPr>
                <w:color w:val="auto"/>
                <w:sz w:val="21"/>
                <w:szCs w:val="21"/>
                <w:u w:val="none" w:color="auto"/>
              </w:rPr>
              <w:t>5</w:t>
            </w:r>
            <w:r>
              <w:rPr>
                <w:rFonts w:hAnsi="宋体"/>
                <w:color w:val="auto"/>
                <w:sz w:val="21"/>
                <w:szCs w:val="21"/>
                <w:u w:val="none" w:color="auto"/>
              </w:rPr>
              <w:t>）场内</w:t>
            </w:r>
            <w:r>
              <w:rPr>
                <w:rFonts w:hint="eastAsia" w:hAnsi="宋体"/>
                <w:color w:val="auto"/>
                <w:sz w:val="21"/>
                <w:szCs w:val="21"/>
                <w:u w:val="none" w:color="auto"/>
              </w:rPr>
              <w:t>道路</w:t>
            </w:r>
            <w:r>
              <w:rPr>
                <w:rFonts w:hAnsi="宋体"/>
                <w:color w:val="auto"/>
                <w:sz w:val="21"/>
                <w:szCs w:val="21"/>
                <w:u w:val="none" w:color="auto"/>
              </w:rPr>
              <w:t>、施工生产设施等区域水土保持工程防护措施须落实。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68" w:type="dxa"/>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ind w:firstLine="0" w:firstLineChars="0"/>
              <w:jc w:val="center"/>
              <w:textAlignment w:val="auto"/>
              <w:rPr>
                <w:color w:val="auto"/>
                <w:sz w:val="21"/>
                <w:szCs w:val="21"/>
                <w:u w:val="none" w:color="auto"/>
              </w:rPr>
            </w:pPr>
            <w:r>
              <w:rPr>
                <w:rFonts w:hAnsi="宋体"/>
                <w:color w:val="auto"/>
                <w:sz w:val="21"/>
                <w:szCs w:val="21"/>
                <w:u w:val="none" w:color="auto"/>
              </w:rPr>
              <w:t>施工后期生态恢复</w:t>
            </w:r>
          </w:p>
        </w:tc>
        <w:tc>
          <w:tcPr>
            <w:tcW w:w="7252" w:type="dxa"/>
            <w:tcBorders>
              <w:tl2br w:val="nil"/>
              <w:tr2bl w:val="nil"/>
            </w:tcBorders>
            <w:noWrap w:val="0"/>
            <w:vAlign w:val="top"/>
          </w:tcPr>
          <w:p>
            <w:pPr>
              <w:keepNext w:val="0"/>
              <w:keepLines w:val="0"/>
              <w:pageBreakBefore w:val="0"/>
              <w:widowControl w:val="0"/>
              <w:kinsoku/>
              <w:wordWrap/>
              <w:overflowPunct/>
              <w:topLinePunct w:val="0"/>
              <w:bidi w:val="0"/>
              <w:snapToGrid/>
              <w:spacing w:line="240" w:lineRule="auto"/>
              <w:ind w:firstLine="0" w:firstLineChars="0"/>
              <w:textAlignment w:val="auto"/>
              <w:rPr>
                <w:color w:val="auto"/>
                <w:sz w:val="21"/>
                <w:szCs w:val="21"/>
                <w:u w:val="none" w:color="auto"/>
              </w:rPr>
            </w:pPr>
            <w:r>
              <w:rPr>
                <w:rFonts w:hAnsi="宋体"/>
                <w:color w:val="auto"/>
                <w:sz w:val="21"/>
                <w:szCs w:val="21"/>
                <w:u w:val="none" w:color="auto"/>
              </w:rPr>
              <w:t>（</w:t>
            </w:r>
            <w:r>
              <w:rPr>
                <w:color w:val="auto"/>
                <w:sz w:val="21"/>
                <w:szCs w:val="21"/>
                <w:u w:val="none" w:color="auto"/>
              </w:rPr>
              <w:t>1</w:t>
            </w:r>
            <w:r>
              <w:rPr>
                <w:rFonts w:hAnsi="宋体"/>
                <w:color w:val="auto"/>
                <w:sz w:val="21"/>
                <w:szCs w:val="21"/>
                <w:u w:val="none" w:color="auto"/>
              </w:rPr>
              <w:t>）场内道路区：要求清理公路沿线渣料，对沿线裸露区域覆土恢复植被。</w:t>
            </w:r>
          </w:p>
          <w:p>
            <w:pPr>
              <w:keepNext w:val="0"/>
              <w:keepLines w:val="0"/>
              <w:pageBreakBefore w:val="0"/>
              <w:widowControl w:val="0"/>
              <w:kinsoku/>
              <w:wordWrap/>
              <w:overflowPunct/>
              <w:topLinePunct w:val="0"/>
              <w:bidi w:val="0"/>
              <w:snapToGrid/>
              <w:spacing w:line="240" w:lineRule="auto"/>
              <w:ind w:firstLine="0" w:firstLineChars="0"/>
              <w:textAlignment w:val="auto"/>
              <w:rPr>
                <w:color w:val="auto"/>
                <w:sz w:val="21"/>
                <w:szCs w:val="21"/>
                <w:u w:val="none" w:color="auto"/>
              </w:rPr>
            </w:pPr>
            <w:r>
              <w:rPr>
                <w:rFonts w:hAnsi="宋体"/>
                <w:color w:val="auto"/>
                <w:sz w:val="21"/>
                <w:szCs w:val="21"/>
                <w:u w:val="none" w:color="auto"/>
              </w:rPr>
              <w:t>（</w:t>
            </w:r>
            <w:r>
              <w:rPr>
                <w:color w:val="auto"/>
                <w:sz w:val="21"/>
                <w:szCs w:val="21"/>
                <w:u w:val="none" w:color="auto"/>
              </w:rPr>
              <w:t>2</w:t>
            </w:r>
            <w:r>
              <w:rPr>
                <w:rFonts w:hAnsi="宋体"/>
                <w:color w:val="auto"/>
                <w:sz w:val="21"/>
                <w:szCs w:val="21"/>
                <w:u w:val="none" w:color="auto"/>
              </w:rPr>
              <w:t>）施工营地：要求施工结束后清理场地，再覆土恢复植被。</w:t>
            </w:r>
          </w:p>
          <w:p>
            <w:pPr>
              <w:keepNext w:val="0"/>
              <w:keepLines w:val="0"/>
              <w:pageBreakBefore w:val="0"/>
              <w:widowControl w:val="0"/>
              <w:kinsoku/>
              <w:wordWrap/>
              <w:overflowPunct/>
              <w:topLinePunct w:val="0"/>
              <w:bidi w:val="0"/>
              <w:snapToGrid/>
              <w:spacing w:line="240" w:lineRule="auto"/>
              <w:ind w:firstLine="0" w:firstLineChars="0"/>
              <w:textAlignment w:val="auto"/>
              <w:rPr>
                <w:color w:val="auto"/>
                <w:sz w:val="21"/>
                <w:szCs w:val="21"/>
                <w:u w:val="none" w:color="auto"/>
              </w:rPr>
            </w:pPr>
            <w:r>
              <w:rPr>
                <w:rFonts w:hAnsi="宋体"/>
                <w:color w:val="auto"/>
                <w:sz w:val="21"/>
                <w:szCs w:val="21"/>
                <w:u w:val="none" w:color="auto"/>
              </w:rPr>
              <w:t>（</w:t>
            </w:r>
            <w:r>
              <w:rPr>
                <w:color w:val="auto"/>
                <w:sz w:val="21"/>
                <w:szCs w:val="21"/>
                <w:u w:val="none" w:color="auto"/>
              </w:rPr>
              <w:t>3</w:t>
            </w:r>
            <w:r>
              <w:rPr>
                <w:rFonts w:hAnsi="宋体"/>
                <w:color w:val="auto"/>
                <w:sz w:val="21"/>
                <w:szCs w:val="21"/>
                <w:u w:val="none" w:color="auto"/>
              </w:rPr>
              <w:t>）主体工程区：风机基础区覆土植草，电缆沟沿线整地恢复植被。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68" w:type="dxa"/>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ind w:firstLine="0" w:firstLineChars="0"/>
              <w:jc w:val="center"/>
              <w:textAlignment w:val="auto"/>
              <w:rPr>
                <w:color w:val="auto"/>
                <w:sz w:val="21"/>
                <w:szCs w:val="21"/>
                <w:u w:val="none" w:color="auto"/>
              </w:rPr>
            </w:pPr>
            <w:r>
              <w:rPr>
                <w:rFonts w:hAnsi="宋体"/>
                <w:color w:val="auto"/>
                <w:sz w:val="21"/>
                <w:szCs w:val="21"/>
                <w:u w:val="none" w:color="auto"/>
              </w:rPr>
              <w:t>废水</w:t>
            </w:r>
          </w:p>
        </w:tc>
        <w:tc>
          <w:tcPr>
            <w:tcW w:w="7252" w:type="dxa"/>
            <w:tcBorders>
              <w:tl2br w:val="nil"/>
              <w:tr2bl w:val="nil"/>
            </w:tcBorders>
            <w:noWrap w:val="0"/>
            <w:vAlign w:val="top"/>
          </w:tcPr>
          <w:p>
            <w:pPr>
              <w:pStyle w:val="3329"/>
              <w:keepNext w:val="0"/>
              <w:keepLines w:val="0"/>
              <w:pageBreakBefore w:val="0"/>
              <w:widowControl w:val="0"/>
              <w:kinsoku/>
              <w:wordWrap/>
              <w:overflowPunct/>
              <w:topLinePunct w:val="0"/>
              <w:autoSpaceDE/>
              <w:autoSpaceDN/>
              <w:bidi w:val="0"/>
              <w:adjustRightInd/>
              <w:snapToGrid/>
              <w:spacing w:beforeLines="0" w:afterLines="0" w:line="240" w:lineRule="auto"/>
              <w:ind w:left="0" w:right="0" w:firstLine="0" w:firstLineChars="0"/>
              <w:jc w:val="both"/>
              <w:textAlignment w:val="auto"/>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eastAsia="zh-CN"/>
              </w:rPr>
              <w:t>（</w:t>
            </w:r>
            <w:r>
              <w:rPr>
                <w:rFonts w:hint="eastAsia" w:ascii="Times New Roman" w:hAnsi="Times New Roman" w:eastAsia="宋体" w:cs="Times New Roman"/>
                <w:sz w:val="21"/>
                <w:szCs w:val="21"/>
                <w:u w:val="none" w:color="auto"/>
                <w:lang w:val="en-US" w:eastAsia="zh-CN"/>
              </w:rPr>
              <w:t>1</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生产废水采取沉淀加隔油池处理，施工废水回用；</w:t>
            </w:r>
          </w:p>
          <w:p>
            <w:pPr>
              <w:keepNext w:val="0"/>
              <w:keepLines w:val="0"/>
              <w:pageBreakBefore w:val="0"/>
              <w:widowControl w:val="0"/>
              <w:kinsoku/>
              <w:wordWrap/>
              <w:overflowPunct/>
              <w:topLinePunct w:val="0"/>
              <w:bidi w:val="0"/>
              <w:snapToGrid/>
              <w:spacing w:line="240" w:lineRule="auto"/>
              <w:ind w:firstLine="0" w:firstLineChars="0"/>
              <w:textAlignment w:val="auto"/>
              <w:rPr>
                <w:rFonts w:hint="eastAsia" w:eastAsia="宋体"/>
                <w:color w:val="auto"/>
                <w:sz w:val="21"/>
                <w:szCs w:val="21"/>
                <w:u w:val="none" w:color="auto"/>
                <w:lang w:eastAsia="zh-CN"/>
              </w:rPr>
            </w:pPr>
            <w:r>
              <w:rPr>
                <w:rFonts w:hint="eastAsia" w:ascii="Times New Roman" w:hAnsi="Times New Roman" w:eastAsia="宋体" w:cs="Times New Roman"/>
                <w:sz w:val="21"/>
                <w:szCs w:val="21"/>
                <w:u w:val="none" w:color="auto"/>
                <w:lang w:eastAsia="zh-CN"/>
              </w:rPr>
              <w:t>（</w:t>
            </w:r>
            <w:r>
              <w:rPr>
                <w:rFonts w:hint="eastAsia" w:ascii="Times New Roman" w:hAnsi="Times New Roman" w:eastAsia="宋体" w:cs="Times New Roman"/>
                <w:sz w:val="21"/>
                <w:szCs w:val="21"/>
                <w:u w:val="none" w:color="auto"/>
                <w:lang w:val="en-US" w:eastAsia="zh-CN"/>
              </w:rPr>
              <w:t>2</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pacing w:val="-1"/>
                <w:sz w:val="21"/>
                <w:szCs w:val="21"/>
                <w:u w:val="none" w:color="auto"/>
              </w:rPr>
              <w:t>建设过程中，杜绝向</w:t>
            </w:r>
            <w:r>
              <w:rPr>
                <w:rFonts w:hint="eastAsia" w:ascii="Times New Roman" w:hAnsi="Times New Roman" w:eastAsia="宋体" w:cs="Times New Roman"/>
                <w:spacing w:val="-1"/>
                <w:sz w:val="21"/>
                <w:szCs w:val="21"/>
                <w:u w:val="none" w:color="auto"/>
                <w:lang w:eastAsia="zh-CN"/>
              </w:rPr>
              <w:t>周边水体</w:t>
            </w:r>
            <w:r>
              <w:rPr>
                <w:rFonts w:hint="default" w:ascii="Times New Roman" w:hAnsi="Times New Roman" w:eastAsia="宋体" w:cs="Times New Roman"/>
                <w:spacing w:val="-1"/>
                <w:sz w:val="21"/>
                <w:szCs w:val="21"/>
                <w:u w:val="none" w:color="auto"/>
              </w:rPr>
              <w:t>排放施工废水</w:t>
            </w:r>
            <w:r>
              <w:rPr>
                <w:rFonts w:hint="eastAsia" w:ascii="Times New Roman" w:hAnsi="Times New Roman" w:eastAsia="宋体" w:cs="Times New Roman"/>
                <w:spacing w:val="-1"/>
                <w:sz w:val="21"/>
                <w:szCs w:val="21"/>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68" w:type="dxa"/>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ind w:firstLine="0" w:firstLineChars="0"/>
              <w:jc w:val="center"/>
              <w:textAlignment w:val="auto"/>
              <w:rPr>
                <w:color w:val="auto"/>
                <w:sz w:val="21"/>
                <w:szCs w:val="21"/>
                <w:u w:val="none" w:color="auto"/>
              </w:rPr>
            </w:pPr>
            <w:r>
              <w:rPr>
                <w:rFonts w:hAnsi="宋体"/>
                <w:color w:val="auto"/>
                <w:sz w:val="21"/>
                <w:szCs w:val="21"/>
                <w:u w:val="none" w:color="auto"/>
              </w:rPr>
              <w:t>固废</w:t>
            </w:r>
          </w:p>
        </w:tc>
        <w:tc>
          <w:tcPr>
            <w:tcW w:w="7252" w:type="dxa"/>
            <w:tcBorders>
              <w:tl2br w:val="nil"/>
              <w:tr2bl w:val="nil"/>
            </w:tcBorders>
            <w:noWrap w:val="0"/>
            <w:vAlign w:val="top"/>
          </w:tcPr>
          <w:p>
            <w:pPr>
              <w:keepNext w:val="0"/>
              <w:keepLines w:val="0"/>
              <w:pageBreakBefore w:val="0"/>
              <w:widowControl w:val="0"/>
              <w:kinsoku/>
              <w:wordWrap/>
              <w:overflowPunct/>
              <w:topLinePunct w:val="0"/>
              <w:bidi w:val="0"/>
              <w:snapToGrid/>
              <w:spacing w:line="240" w:lineRule="auto"/>
              <w:ind w:firstLine="0" w:firstLineChars="0"/>
              <w:textAlignment w:val="auto"/>
              <w:rPr>
                <w:color w:val="auto"/>
                <w:sz w:val="21"/>
                <w:szCs w:val="21"/>
                <w:u w:val="none" w:color="auto"/>
              </w:rPr>
            </w:pPr>
            <w:r>
              <w:rPr>
                <w:rFonts w:hAnsi="宋体"/>
                <w:color w:val="auto"/>
                <w:sz w:val="21"/>
                <w:szCs w:val="21"/>
                <w:u w:val="none" w:color="auto"/>
              </w:rPr>
              <w:t>（</w:t>
            </w:r>
            <w:r>
              <w:rPr>
                <w:color w:val="auto"/>
                <w:sz w:val="21"/>
                <w:szCs w:val="21"/>
                <w:u w:val="none" w:color="auto"/>
              </w:rPr>
              <w:t>1</w:t>
            </w:r>
            <w:r>
              <w:rPr>
                <w:rFonts w:hAnsi="宋体"/>
                <w:color w:val="auto"/>
                <w:sz w:val="21"/>
                <w:szCs w:val="21"/>
                <w:u w:val="none" w:color="auto"/>
              </w:rPr>
              <w:t>）施工生活垃圾收集、堆放及最终处置去向，是否在场区内填埋丢弃。</w:t>
            </w:r>
          </w:p>
          <w:p>
            <w:pPr>
              <w:keepNext w:val="0"/>
              <w:keepLines w:val="0"/>
              <w:pageBreakBefore w:val="0"/>
              <w:widowControl w:val="0"/>
              <w:kinsoku/>
              <w:wordWrap/>
              <w:overflowPunct/>
              <w:topLinePunct w:val="0"/>
              <w:bidi w:val="0"/>
              <w:snapToGrid/>
              <w:spacing w:line="240" w:lineRule="auto"/>
              <w:ind w:firstLine="0" w:firstLineChars="0"/>
              <w:textAlignment w:val="auto"/>
              <w:rPr>
                <w:color w:val="auto"/>
                <w:sz w:val="21"/>
                <w:szCs w:val="21"/>
                <w:u w:val="none" w:color="auto"/>
              </w:rPr>
            </w:pPr>
            <w:r>
              <w:rPr>
                <w:rFonts w:hAnsi="宋体"/>
                <w:color w:val="auto"/>
                <w:sz w:val="21"/>
                <w:szCs w:val="21"/>
                <w:u w:val="none" w:color="auto"/>
              </w:rPr>
              <w:t>（</w:t>
            </w:r>
            <w:r>
              <w:rPr>
                <w:color w:val="auto"/>
                <w:sz w:val="21"/>
                <w:szCs w:val="21"/>
                <w:u w:val="none" w:color="auto"/>
              </w:rPr>
              <w:t>2</w:t>
            </w:r>
            <w:r>
              <w:rPr>
                <w:rFonts w:hAnsi="宋体"/>
                <w:color w:val="auto"/>
                <w:sz w:val="21"/>
                <w:szCs w:val="21"/>
                <w:u w:val="none" w:color="auto"/>
              </w:rPr>
              <w:t>）施工开挖回填弃土弃渣是否就近堆放，弃渣是否采用生态恢复措施，并采取拦挡措施。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68" w:type="dxa"/>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ind w:firstLine="0" w:firstLineChars="0"/>
              <w:jc w:val="center"/>
              <w:textAlignment w:val="auto"/>
              <w:rPr>
                <w:color w:val="auto"/>
                <w:sz w:val="21"/>
                <w:szCs w:val="21"/>
                <w:u w:val="none" w:color="auto"/>
              </w:rPr>
            </w:pPr>
            <w:r>
              <w:rPr>
                <w:rFonts w:hAnsi="宋体"/>
                <w:color w:val="auto"/>
                <w:sz w:val="21"/>
                <w:szCs w:val="21"/>
                <w:u w:val="none" w:color="auto"/>
              </w:rPr>
              <w:t>噪声</w:t>
            </w:r>
          </w:p>
        </w:tc>
        <w:tc>
          <w:tcPr>
            <w:tcW w:w="7252" w:type="dxa"/>
            <w:tcBorders>
              <w:tl2br w:val="nil"/>
              <w:tr2bl w:val="nil"/>
            </w:tcBorders>
            <w:noWrap w:val="0"/>
            <w:vAlign w:val="top"/>
          </w:tcPr>
          <w:p>
            <w:pPr>
              <w:keepNext w:val="0"/>
              <w:keepLines w:val="0"/>
              <w:pageBreakBefore w:val="0"/>
              <w:widowControl w:val="0"/>
              <w:kinsoku/>
              <w:wordWrap/>
              <w:overflowPunct/>
              <w:topLinePunct w:val="0"/>
              <w:bidi w:val="0"/>
              <w:snapToGrid/>
              <w:spacing w:line="240" w:lineRule="auto"/>
              <w:ind w:firstLine="0" w:firstLineChars="0"/>
              <w:textAlignment w:val="auto"/>
              <w:rPr>
                <w:color w:val="auto"/>
                <w:sz w:val="21"/>
                <w:szCs w:val="21"/>
                <w:u w:val="none" w:color="auto"/>
              </w:rPr>
            </w:pPr>
            <w:r>
              <w:rPr>
                <w:rFonts w:hAnsi="宋体"/>
                <w:color w:val="auto"/>
                <w:sz w:val="21"/>
                <w:szCs w:val="21"/>
                <w:u w:val="none" w:color="auto"/>
              </w:rPr>
              <w:t>（</w:t>
            </w:r>
            <w:r>
              <w:rPr>
                <w:color w:val="auto"/>
                <w:sz w:val="21"/>
                <w:szCs w:val="21"/>
                <w:u w:val="none" w:color="auto"/>
              </w:rPr>
              <w:t>1</w:t>
            </w:r>
            <w:r>
              <w:rPr>
                <w:rFonts w:hAnsi="宋体"/>
                <w:color w:val="auto"/>
                <w:sz w:val="21"/>
                <w:szCs w:val="21"/>
                <w:u w:val="none" w:color="auto"/>
              </w:rPr>
              <w:t>）施工机械和设备符合国家相关标准。</w:t>
            </w:r>
          </w:p>
          <w:p>
            <w:pPr>
              <w:keepNext w:val="0"/>
              <w:keepLines w:val="0"/>
              <w:pageBreakBefore w:val="0"/>
              <w:widowControl w:val="0"/>
              <w:kinsoku/>
              <w:wordWrap/>
              <w:overflowPunct/>
              <w:topLinePunct w:val="0"/>
              <w:bidi w:val="0"/>
              <w:snapToGrid/>
              <w:spacing w:line="240" w:lineRule="auto"/>
              <w:ind w:firstLine="0" w:firstLineChars="0"/>
              <w:textAlignment w:val="auto"/>
              <w:rPr>
                <w:color w:val="auto"/>
                <w:sz w:val="21"/>
                <w:szCs w:val="21"/>
                <w:u w:val="none" w:color="auto"/>
              </w:rPr>
            </w:pPr>
            <w:r>
              <w:rPr>
                <w:rFonts w:hAnsi="宋体"/>
                <w:color w:val="auto"/>
                <w:sz w:val="21"/>
                <w:szCs w:val="21"/>
                <w:u w:val="none" w:color="auto"/>
              </w:rPr>
              <w:t>（</w:t>
            </w:r>
            <w:r>
              <w:rPr>
                <w:color w:val="auto"/>
                <w:sz w:val="21"/>
                <w:szCs w:val="21"/>
                <w:u w:val="none" w:color="auto"/>
              </w:rPr>
              <w:t>2</w:t>
            </w:r>
            <w:r>
              <w:rPr>
                <w:rFonts w:hAnsi="宋体"/>
                <w:color w:val="auto"/>
                <w:sz w:val="21"/>
                <w:szCs w:val="21"/>
                <w:u w:val="none" w:color="auto"/>
              </w:rPr>
              <w:t>）居民点附近夜间不进行高噪声的施工作业。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68" w:type="dxa"/>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ind w:firstLine="0" w:firstLineChars="0"/>
              <w:jc w:val="center"/>
              <w:textAlignment w:val="auto"/>
              <w:rPr>
                <w:color w:val="auto"/>
                <w:sz w:val="21"/>
                <w:szCs w:val="21"/>
                <w:u w:val="none" w:color="auto"/>
              </w:rPr>
            </w:pPr>
            <w:r>
              <w:rPr>
                <w:rFonts w:hAnsi="宋体"/>
                <w:color w:val="auto"/>
                <w:sz w:val="21"/>
                <w:szCs w:val="21"/>
                <w:u w:val="none" w:color="auto"/>
              </w:rPr>
              <w:t>废气</w:t>
            </w:r>
          </w:p>
        </w:tc>
        <w:tc>
          <w:tcPr>
            <w:tcW w:w="7252" w:type="dxa"/>
            <w:tcBorders>
              <w:tl2br w:val="nil"/>
              <w:tr2bl w:val="nil"/>
            </w:tcBorders>
            <w:noWrap w:val="0"/>
            <w:vAlign w:val="top"/>
          </w:tcPr>
          <w:p>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textAlignment w:val="auto"/>
              <w:rPr>
                <w:color w:val="auto"/>
                <w:kern w:val="0"/>
                <w:sz w:val="21"/>
                <w:szCs w:val="21"/>
                <w:u w:val="none" w:color="auto"/>
              </w:rPr>
            </w:pPr>
            <w:r>
              <w:rPr>
                <w:rFonts w:hAnsi="宋体"/>
                <w:color w:val="auto"/>
                <w:sz w:val="21"/>
                <w:szCs w:val="21"/>
                <w:u w:val="none" w:color="auto"/>
              </w:rPr>
              <w:t>（</w:t>
            </w:r>
            <w:r>
              <w:rPr>
                <w:color w:val="auto"/>
                <w:sz w:val="21"/>
                <w:szCs w:val="21"/>
                <w:u w:val="none" w:color="auto"/>
              </w:rPr>
              <w:t>1</w:t>
            </w:r>
            <w:r>
              <w:rPr>
                <w:rFonts w:hAnsi="宋体"/>
                <w:color w:val="auto"/>
                <w:sz w:val="21"/>
                <w:szCs w:val="21"/>
                <w:u w:val="none" w:color="auto"/>
              </w:rPr>
              <w:t>）</w:t>
            </w:r>
            <w:r>
              <w:rPr>
                <w:rFonts w:hAnsi="宋体"/>
                <w:color w:val="auto"/>
                <w:kern w:val="0"/>
                <w:sz w:val="21"/>
                <w:szCs w:val="21"/>
                <w:u w:val="none" w:color="auto"/>
              </w:rPr>
              <w:t>施工营地的施工场地采取洒水抑尘和堆场临时遮盖等措施；对施工机械定期进行检修保养。</w:t>
            </w:r>
          </w:p>
          <w:p>
            <w:pPr>
              <w:keepNext w:val="0"/>
              <w:keepLines w:val="0"/>
              <w:pageBreakBefore w:val="0"/>
              <w:widowControl w:val="0"/>
              <w:kinsoku/>
              <w:wordWrap/>
              <w:overflowPunct/>
              <w:topLinePunct w:val="0"/>
              <w:bidi w:val="0"/>
              <w:snapToGrid/>
              <w:spacing w:line="240" w:lineRule="auto"/>
              <w:ind w:firstLine="0" w:firstLineChars="0"/>
              <w:textAlignment w:val="auto"/>
              <w:rPr>
                <w:color w:val="auto"/>
                <w:sz w:val="21"/>
                <w:szCs w:val="21"/>
                <w:u w:val="none" w:color="auto"/>
              </w:rPr>
            </w:pPr>
            <w:r>
              <w:rPr>
                <w:rFonts w:hAnsi="宋体"/>
                <w:color w:val="auto"/>
                <w:sz w:val="21"/>
                <w:szCs w:val="21"/>
                <w:u w:val="none" w:color="auto"/>
              </w:rPr>
              <w:t>（</w:t>
            </w:r>
            <w:r>
              <w:rPr>
                <w:color w:val="auto"/>
                <w:sz w:val="21"/>
                <w:szCs w:val="21"/>
                <w:u w:val="none" w:color="auto"/>
              </w:rPr>
              <w:t>2</w:t>
            </w:r>
            <w:r>
              <w:rPr>
                <w:rFonts w:hAnsi="宋体"/>
                <w:color w:val="auto"/>
                <w:sz w:val="21"/>
                <w:szCs w:val="21"/>
                <w:u w:val="none" w:color="auto"/>
              </w:rPr>
              <w:t>）居民点附近加强洒水降尘。</w:t>
            </w:r>
          </w:p>
        </w:tc>
      </w:tr>
    </w:tbl>
    <w:p>
      <w:pPr>
        <w:widowControl w:val="0"/>
        <w:spacing w:line="360" w:lineRule="auto"/>
        <w:ind w:firstLine="480" w:firstLineChars="200"/>
        <w:rPr>
          <w:color w:val="auto"/>
          <w:kern w:val="0"/>
          <w:sz w:val="24"/>
          <w:u w:val="none" w:color="auto"/>
        </w:rPr>
      </w:pPr>
      <w:r>
        <w:rPr>
          <w:rFonts w:hint="eastAsia"/>
          <w:color w:val="auto"/>
          <w:kern w:val="0"/>
          <w:sz w:val="24"/>
          <w:u w:val="none" w:color="auto"/>
          <w:lang w:val="en-US" w:eastAsia="zh-CN"/>
        </w:rPr>
        <w:t>2</w:t>
      </w:r>
      <w:r>
        <w:rPr>
          <w:rFonts w:hAnsi="宋体"/>
          <w:color w:val="auto"/>
          <w:kern w:val="0"/>
          <w:sz w:val="24"/>
          <w:u w:val="none" w:color="auto"/>
        </w:rPr>
        <w:t>）试生产阶段的环境监理</w:t>
      </w:r>
    </w:p>
    <w:p>
      <w:pPr>
        <w:widowControl w:val="0"/>
        <w:spacing w:line="360" w:lineRule="auto"/>
        <w:ind w:firstLine="480" w:firstLineChars="200"/>
        <w:rPr>
          <w:color w:val="auto"/>
          <w:kern w:val="0"/>
          <w:sz w:val="24"/>
          <w:u w:val="none" w:color="auto"/>
        </w:rPr>
      </w:pPr>
      <w:r>
        <w:rPr>
          <w:color w:val="auto"/>
          <w:kern w:val="0"/>
          <w:sz w:val="24"/>
          <w:u w:val="none" w:color="auto"/>
        </w:rPr>
        <w:fldChar w:fldCharType="begin"/>
      </w:r>
      <w:r>
        <w:rPr>
          <w:color w:val="auto"/>
          <w:kern w:val="0"/>
          <w:sz w:val="24"/>
          <w:u w:val="none" w:color="auto"/>
        </w:rPr>
        <w:instrText xml:space="preserve"> = 1 \* alphabetic </w:instrText>
      </w:r>
      <w:r>
        <w:rPr>
          <w:color w:val="auto"/>
          <w:kern w:val="0"/>
          <w:sz w:val="24"/>
          <w:u w:val="none" w:color="auto"/>
        </w:rPr>
        <w:fldChar w:fldCharType="separate"/>
      </w:r>
      <w:r>
        <w:rPr>
          <w:color w:val="auto"/>
          <w:kern w:val="0"/>
          <w:sz w:val="24"/>
          <w:u w:val="none" w:color="auto"/>
        </w:rPr>
        <w:t>a</w:t>
      </w:r>
      <w:r>
        <w:rPr>
          <w:color w:val="auto"/>
          <w:kern w:val="0"/>
          <w:sz w:val="24"/>
          <w:u w:val="none" w:color="auto"/>
        </w:rPr>
        <w:fldChar w:fldCharType="end"/>
      </w:r>
      <w:r>
        <w:rPr>
          <w:rFonts w:hAnsi="宋体"/>
          <w:color w:val="auto"/>
          <w:kern w:val="0"/>
          <w:sz w:val="24"/>
          <w:u w:val="none" w:color="auto"/>
        </w:rPr>
        <w:t>、督促建设单位将配套建设的环境保护设施在试生产阶段必须与主体工程同时试运行。</w:t>
      </w:r>
    </w:p>
    <w:p>
      <w:pPr>
        <w:widowControl w:val="0"/>
        <w:spacing w:line="360" w:lineRule="auto"/>
        <w:ind w:firstLine="480" w:firstLineChars="200"/>
        <w:rPr>
          <w:color w:val="auto"/>
          <w:kern w:val="0"/>
          <w:sz w:val="24"/>
          <w:u w:val="none" w:color="auto"/>
        </w:rPr>
      </w:pPr>
      <w:r>
        <w:rPr>
          <w:color w:val="auto"/>
          <w:kern w:val="0"/>
          <w:sz w:val="24"/>
          <w:u w:val="none" w:color="auto"/>
        </w:rPr>
        <w:fldChar w:fldCharType="begin"/>
      </w:r>
      <w:r>
        <w:rPr>
          <w:color w:val="auto"/>
          <w:kern w:val="0"/>
          <w:sz w:val="24"/>
          <w:u w:val="none" w:color="auto"/>
        </w:rPr>
        <w:instrText xml:space="preserve"> = 2 \* alphabetic </w:instrText>
      </w:r>
      <w:r>
        <w:rPr>
          <w:color w:val="auto"/>
          <w:kern w:val="0"/>
          <w:sz w:val="24"/>
          <w:u w:val="none" w:color="auto"/>
        </w:rPr>
        <w:fldChar w:fldCharType="separate"/>
      </w:r>
      <w:r>
        <w:rPr>
          <w:color w:val="auto"/>
          <w:kern w:val="0"/>
          <w:sz w:val="24"/>
          <w:u w:val="none" w:color="auto"/>
        </w:rPr>
        <w:t>b</w:t>
      </w:r>
      <w:r>
        <w:rPr>
          <w:color w:val="auto"/>
          <w:kern w:val="0"/>
          <w:sz w:val="24"/>
          <w:u w:val="none" w:color="auto"/>
        </w:rPr>
        <w:fldChar w:fldCharType="end"/>
      </w:r>
      <w:r>
        <w:rPr>
          <w:rFonts w:hAnsi="宋体"/>
          <w:color w:val="auto"/>
          <w:kern w:val="0"/>
          <w:sz w:val="24"/>
          <w:u w:val="none" w:color="auto"/>
        </w:rPr>
        <w:t>、协助建设单位配合好环境保护部门对本项目环境保护设施的</w:t>
      </w:r>
      <w:r>
        <w:rPr>
          <w:color w:val="auto"/>
          <w:kern w:val="0"/>
          <w:sz w:val="24"/>
          <w:u w:val="none" w:color="auto"/>
        </w:rPr>
        <w:t>“</w:t>
      </w:r>
      <w:r>
        <w:rPr>
          <w:rFonts w:hAnsi="宋体"/>
          <w:color w:val="auto"/>
          <w:kern w:val="0"/>
          <w:sz w:val="24"/>
          <w:u w:val="none" w:color="auto"/>
        </w:rPr>
        <w:t>三同时</w:t>
      </w:r>
      <w:r>
        <w:rPr>
          <w:color w:val="auto"/>
          <w:kern w:val="0"/>
          <w:sz w:val="24"/>
          <w:u w:val="none" w:color="auto"/>
        </w:rPr>
        <w:t>”</w:t>
      </w:r>
      <w:r>
        <w:rPr>
          <w:rFonts w:hAnsi="宋体"/>
          <w:color w:val="auto"/>
          <w:kern w:val="0"/>
          <w:sz w:val="24"/>
          <w:u w:val="none" w:color="auto"/>
        </w:rPr>
        <w:t>现场监督检查和竣工环境保护验收工作。对不符合试生产条件的提出限期整改要求。</w:t>
      </w:r>
    </w:p>
    <w:p>
      <w:pPr>
        <w:widowControl w:val="0"/>
        <w:spacing w:line="360" w:lineRule="auto"/>
        <w:ind w:firstLine="480" w:firstLineChars="200"/>
        <w:rPr>
          <w:color w:val="auto"/>
          <w:kern w:val="0"/>
          <w:sz w:val="24"/>
          <w:u w:val="none" w:color="auto"/>
        </w:rPr>
      </w:pPr>
      <w:r>
        <w:rPr>
          <w:rFonts w:hint="eastAsia"/>
          <w:color w:val="auto"/>
          <w:kern w:val="0"/>
          <w:sz w:val="24"/>
          <w:u w:val="none" w:color="auto"/>
          <w:lang w:val="en-US" w:eastAsia="zh-CN"/>
        </w:rPr>
        <w:t>3</w:t>
      </w:r>
      <w:r>
        <w:rPr>
          <w:rFonts w:hAnsi="宋体"/>
          <w:color w:val="auto"/>
          <w:kern w:val="0"/>
          <w:sz w:val="24"/>
          <w:u w:val="none" w:color="auto"/>
        </w:rPr>
        <w:t>）竣工环境保护验收阶段的环境监理</w:t>
      </w:r>
    </w:p>
    <w:p>
      <w:pPr>
        <w:widowControl w:val="0"/>
        <w:spacing w:line="360" w:lineRule="auto"/>
        <w:ind w:firstLine="480" w:firstLineChars="200"/>
        <w:rPr>
          <w:color w:val="auto"/>
          <w:kern w:val="0"/>
          <w:sz w:val="24"/>
          <w:u w:val="none" w:color="auto"/>
        </w:rPr>
      </w:pPr>
      <w:r>
        <w:rPr>
          <w:color w:val="auto"/>
          <w:kern w:val="0"/>
          <w:sz w:val="24"/>
          <w:u w:val="none" w:color="auto"/>
        </w:rPr>
        <w:fldChar w:fldCharType="begin"/>
      </w:r>
      <w:r>
        <w:rPr>
          <w:color w:val="auto"/>
          <w:kern w:val="0"/>
          <w:sz w:val="24"/>
          <w:u w:val="none" w:color="auto"/>
        </w:rPr>
        <w:instrText xml:space="preserve"> = 1 \* alphabetic </w:instrText>
      </w:r>
      <w:r>
        <w:rPr>
          <w:color w:val="auto"/>
          <w:kern w:val="0"/>
          <w:sz w:val="24"/>
          <w:u w:val="none" w:color="auto"/>
        </w:rPr>
        <w:fldChar w:fldCharType="separate"/>
      </w:r>
      <w:r>
        <w:rPr>
          <w:color w:val="auto"/>
          <w:kern w:val="0"/>
          <w:sz w:val="24"/>
          <w:u w:val="none" w:color="auto"/>
        </w:rPr>
        <w:t>a</w:t>
      </w:r>
      <w:r>
        <w:rPr>
          <w:color w:val="auto"/>
          <w:kern w:val="0"/>
          <w:sz w:val="24"/>
          <w:u w:val="none" w:color="auto"/>
        </w:rPr>
        <w:fldChar w:fldCharType="end"/>
      </w:r>
      <w:r>
        <w:rPr>
          <w:rFonts w:hAnsi="宋体"/>
          <w:color w:val="auto"/>
          <w:kern w:val="0"/>
          <w:sz w:val="24"/>
          <w:u w:val="none" w:color="auto"/>
        </w:rPr>
        <w:t>、协助建设单位应具有审批权的环境保护部门申请本项目配套环境保护设施竣工验收。需要延期的，协助建设单位申请延期验收。</w:t>
      </w:r>
    </w:p>
    <w:p>
      <w:pPr>
        <w:widowControl w:val="0"/>
        <w:spacing w:line="360" w:lineRule="auto"/>
        <w:ind w:firstLine="480" w:firstLineChars="200"/>
        <w:rPr>
          <w:color w:val="auto"/>
          <w:kern w:val="0"/>
          <w:sz w:val="24"/>
          <w:u w:val="none" w:color="auto"/>
        </w:rPr>
      </w:pPr>
      <w:r>
        <w:rPr>
          <w:color w:val="auto"/>
          <w:kern w:val="0"/>
          <w:sz w:val="24"/>
          <w:u w:val="none" w:color="auto"/>
        </w:rPr>
        <w:fldChar w:fldCharType="begin"/>
      </w:r>
      <w:r>
        <w:rPr>
          <w:color w:val="auto"/>
          <w:kern w:val="0"/>
          <w:sz w:val="24"/>
          <w:u w:val="none" w:color="auto"/>
        </w:rPr>
        <w:instrText xml:space="preserve"> = 2 \* alphabetic </w:instrText>
      </w:r>
      <w:r>
        <w:rPr>
          <w:color w:val="auto"/>
          <w:kern w:val="0"/>
          <w:sz w:val="24"/>
          <w:u w:val="none" w:color="auto"/>
        </w:rPr>
        <w:fldChar w:fldCharType="separate"/>
      </w:r>
      <w:r>
        <w:rPr>
          <w:color w:val="auto"/>
          <w:kern w:val="0"/>
          <w:sz w:val="24"/>
          <w:u w:val="none" w:color="auto"/>
        </w:rPr>
        <w:t>b</w:t>
      </w:r>
      <w:r>
        <w:rPr>
          <w:color w:val="auto"/>
          <w:kern w:val="0"/>
          <w:sz w:val="24"/>
          <w:u w:val="none" w:color="auto"/>
        </w:rPr>
        <w:fldChar w:fldCharType="end"/>
      </w:r>
      <w:r>
        <w:rPr>
          <w:rFonts w:hAnsi="宋体"/>
          <w:color w:val="auto"/>
          <w:kern w:val="0"/>
          <w:sz w:val="24"/>
          <w:u w:val="none" w:color="auto"/>
        </w:rPr>
        <w:t>、监督试运行至竣工环境保护验收期间建设单位正常运行和维护本项目的环境保护设施。</w:t>
      </w:r>
    </w:p>
    <w:p>
      <w:pPr>
        <w:ind w:firstLine="480"/>
        <w:rPr>
          <w:rFonts w:ascii="Times New Roman" w:cs="Times New Roman"/>
          <w:color w:val="000000" w:themeColor="text1"/>
          <w:u w:val="none" w:color="auto"/>
          <w14:textFill>
            <w14:solidFill>
              <w14:schemeClr w14:val="tx1"/>
            </w14:solidFill>
          </w14:textFill>
        </w:rPr>
      </w:pPr>
      <w:r>
        <w:rPr>
          <w:color w:val="auto"/>
          <w:kern w:val="0"/>
          <w:sz w:val="24"/>
          <w:u w:val="none" w:color="auto"/>
        </w:rPr>
        <w:fldChar w:fldCharType="begin"/>
      </w:r>
      <w:r>
        <w:rPr>
          <w:color w:val="auto"/>
          <w:kern w:val="0"/>
          <w:sz w:val="24"/>
          <w:u w:val="none" w:color="auto"/>
        </w:rPr>
        <w:instrText xml:space="preserve"> = 3 \* alphabetic </w:instrText>
      </w:r>
      <w:r>
        <w:rPr>
          <w:color w:val="auto"/>
          <w:kern w:val="0"/>
          <w:sz w:val="24"/>
          <w:u w:val="none" w:color="auto"/>
        </w:rPr>
        <w:fldChar w:fldCharType="separate"/>
      </w:r>
      <w:r>
        <w:rPr>
          <w:color w:val="auto"/>
          <w:kern w:val="0"/>
          <w:sz w:val="24"/>
          <w:u w:val="none" w:color="auto"/>
        </w:rPr>
        <w:t>c</w:t>
      </w:r>
      <w:r>
        <w:rPr>
          <w:color w:val="auto"/>
          <w:kern w:val="0"/>
          <w:sz w:val="24"/>
          <w:u w:val="none" w:color="auto"/>
        </w:rPr>
        <w:fldChar w:fldCharType="end"/>
      </w:r>
      <w:r>
        <w:rPr>
          <w:rFonts w:hAnsi="宋体"/>
          <w:color w:val="auto"/>
          <w:kern w:val="0"/>
          <w:sz w:val="24"/>
          <w:u w:val="none" w:color="auto"/>
        </w:rPr>
        <w:t>、竣工环境保护验收前向具有审批权的环境保护部门提交本项目环境监理报告</w:t>
      </w:r>
    </w:p>
    <w:p>
      <w:pPr>
        <w:pStyle w:val="457"/>
        <w:ind w:firstLine="643"/>
        <w:rPr>
          <w:rFonts w:ascii="Times New Roman" w:cs="Times New Roman"/>
          <w:color w:val="000000" w:themeColor="text1"/>
          <w:u w:val="none" w:color="auto"/>
          <w14:textFill>
            <w14:solidFill>
              <w14:schemeClr w14:val="tx1"/>
            </w14:solidFill>
          </w14:textFill>
        </w:rPr>
      </w:pPr>
      <w:bookmarkStart w:id="194" w:name="_Toc2037"/>
      <w:r>
        <w:rPr>
          <w:rFonts w:ascii="Times New Roman" w:cs="Times New Roman"/>
          <w:color w:val="000000" w:themeColor="text1"/>
          <w:u w:val="none" w:color="auto"/>
          <w14:textFill>
            <w14:solidFill>
              <w14:schemeClr w14:val="tx1"/>
            </w14:solidFill>
          </w14:textFill>
        </w:rPr>
        <w:t>环境监测</w:t>
      </w:r>
      <w:bookmarkEnd w:id="193"/>
      <w:bookmarkEnd w:id="194"/>
    </w:p>
    <w:p>
      <w:pPr>
        <w:bidi w:val="0"/>
        <w:rPr>
          <w:rFonts w:ascii="Times New Roman" w:hAnsi="Times New Roman" w:eastAsia="宋体" w:cs="Times New Roman"/>
        </w:rPr>
      </w:pPr>
      <w:bookmarkStart w:id="195" w:name="_Toc345395931"/>
      <w:r>
        <w:rPr>
          <w:rFonts w:hint="eastAsia" w:ascii="Times New Roman" w:hAnsi="Times New Roman" w:eastAsia="宋体" w:cs="Times New Roman"/>
        </w:rPr>
        <w:t>项目施工期</w:t>
      </w:r>
      <w:r>
        <w:rPr>
          <w:rFonts w:hint="eastAsia" w:ascii="Times New Roman" w:hAnsi="Times New Roman" w:eastAsia="宋体" w:cs="Times New Roman"/>
          <w:lang w:val="en-US" w:eastAsia="zh-CN"/>
        </w:rPr>
        <w:t>已由</w:t>
      </w:r>
      <w:r>
        <w:rPr>
          <w:rFonts w:hint="eastAsia"/>
          <w:lang w:val="en-US" w:eastAsia="zh-CN"/>
        </w:rPr>
        <w:t>环境监理单位</w:t>
      </w:r>
      <w:r>
        <w:rPr>
          <w:rFonts w:hint="eastAsia" w:ascii="Times New Roman" w:hAnsi="Times New Roman" w:eastAsia="宋体" w:cs="Times New Roman"/>
        </w:rPr>
        <w:t>进行监测，本次变更环境监测计划仅考虑运</w:t>
      </w:r>
      <w:r>
        <w:rPr>
          <w:rFonts w:hint="eastAsia" w:ascii="Times New Roman" w:hAnsi="Times New Roman" w:eastAsia="宋体" w:cs="Times New Roman"/>
          <w:lang w:val="en-US" w:eastAsia="zh-CN"/>
        </w:rPr>
        <w:t>营</w:t>
      </w:r>
      <w:r>
        <w:rPr>
          <w:rFonts w:hint="eastAsia" w:ascii="Times New Roman" w:hAnsi="Times New Roman" w:eastAsia="宋体" w:cs="Times New Roman"/>
        </w:rPr>
        <w:t>期。</w:t>
      </w:r>
    </w:p>
    <w:p>
      <w:pPr>
        <w:bidi w:val="0"/>
      </w:pPr>
      <w:r>
        <w:t>（1）水质监测</w:t>
      </w:r>
      <w:bookmarkEnd w:id="195"/>
    </w:p>
    <w:p>
      <w:pPr>
        <w:bidi w:val="0"/>
      </w:pPr>
      <w:r>
        <w:t>在正常情况下，风机运行不会产生生产废水，仅</w:t>
      </w:r>
      <w:r>
        <w:rPr>
          <w:rFonts w:hint="eastAsia"/>
          <w:lang w:eastAsia="zh-CN"/>
        </w:rPr>
        <w:t>汇集站</w:t>
      </w:r>
      <w:r>
        <w:t>值守人员产生少量生活污水。</w:t>
      </w:r>
      <w:r>
        <w:rPr>
          <w:rFonts w:hint="eastAsia"/>
          <w:lang w:eastAsia="zh-CN"/>
        </w:rPr>
        <w:t>汇集站</w:t>
      </w:r>
      <w:r>
        <w:t>内人员生活污水采用一体化污水处理设备进行处理后回用于站内绿化</w:t>
      </w:r>
      <w:r>
        <w:rPr>
          <w:rFonts w:hint="eastAsia"/>
        </w:rPr>
        <w:t>。</w:t>
      </w:r>
      <w:r>
        <w:t>运营期拟定监测断面1个，设在</w:t>
      </w:r>
      <w:r>
        <w:rPr>
          <w:rFonts w:hint="eastAsia"/>
        </w:rPr>
        <w:t>升压站</w:t>
      </w:r>
      <w:r>
        <w:t>生活污水处理系统</w:t>
      </w:r>
      <w:r>
        <w:rPr>
          <w:rFonts w:hint="eastAsia"/>
        </w:rPr>
        <w:t>（清水池）</w:t>
      </w:r>
      <w:r>
        <w:rPr>
          <w:rFonts w:hint="default"/>
        </w:rPr>
        <w:t>。</w:t>
      </w:r>
    </w:p>
    <w:p>
      <w:pPr>
        <w:bidi w:val="0"/>
      </w:pPr>
      <w:bookmarkStart w:id="196" w:name="_Toc345395933"/>
      <w:bookmarkStart w:id="197" w:name="_Toc288747704"/>
      <w:bookmarkStart w:id="198" w:name="_Toc288736237"/>
      <w:r>
        <w:t>（</w:t>
      </w:r>
      <w:r>
        <w:rPr>
          <w:rFonts w:hint="eastAsia"/>
          <w:lang w:val="en-US" w:eastAsia="zh-CN"/>
        </w:rPr>
        <w:t>2</w:t>
      </w:r>
      <w:r>
        <w:t>）声环境监测</w:t>
      </w:r>
      <w:bookmarkEnd w:id="196"/>
      <w:bookmarkEnd w:id="197"/>
      <w:bookmarkEnd w:id="198"/>
    </w:p>
    <w:p>
      <w:pPr>
        <w:bidi w:val="0"/>
      </w:pPr>
      <w:r>
        <w:t>运营期在</w:t>
      </w:r>
      <w:r>
        <w:rPr>
          <w:rFonts w:hint="eastAsia"/>
          <w:lang w:val="en-US" w:eastAsia="zh-CN"/>
        </w:rPr>
        <w:t>汇集站边界和</w:t>
      </w:r>
      <w:r>
        <w:rPr>
          <w:rFonts w:hint="eastAsia"/>
          <w:lang w:eastAsia="zh-CN"/>
        </w:rPr>
        <w:t>风机</w:t>
      </w:r>
      <w:r>
        <w:rPr>
          <w:rFonts w:hint="eastAsia"/>
          <w:lang w:val="en-US" w:eastAsia="zh-CN"/>
        </w:rPr>
        <w:t>最近</w:t>
      </w:r>
      <w:r>
        <w:t>居民点</w:t>
      </w:r>
      <w:r>
        <w:rPr>
          <w:rFonts w:hint="eastAsia"/>
          <w:lang w:eastAsia="zh-CN"/>
        </w:rPr>
        <w:t>（</w:t>
      </w:r>
      <w:r>
        <w:rPr>
          <w:rFonts w:hint="eastAsia"/>
          <w:lang w:val="en-US" w:eastAsia="zh-CN"/>
        </w:rPr>
        <w:t>五龙爪</w:t>
      </w:r>
      <w:r>
        <w:rPr>
          <w:rFonts w:hint="eastAsia"/>
          <w:lang w:eastAsia="zh-CN"/>
        </w:rPr>
        <w:t>）</w:t>
      </w:r>
      <w:r>
        <w:t>设置</w:t>
      </w:r>
      <w:r>
        <w:rPr>
          <w:rFonts w:hint="eastAsia"/>
          <w:lang w:eastAsia="zh-CN"/>
        </w:rPr>
        <w:t>声环境</w:t>
      </w:r>
      <w:r>
        <w:t>监测点，监测项目</w:t>
      </w:r>
      <w:r>
        <w:rPr>
          <w:rFonts w:hint="eastAsia"/>
          <w:lang w:eastAsia="zh-CN"/>
        </w:rPr>
        <w:t>为</w:t>
      </w:r>
      <w:r>
        <w:t>等效连续A声级，并且进行昼间和夜间测量。每年各季度监测1天，共4次，监测2年。监测方法按国家规定的噪声监测方法进行。</w:t>
      </w:r>
    </w:p>
    <w:p>
      <w:pPr>
        <w:bidi w:val="0"/>
        <w:rPr>
          <w:rFonts w:ascii="Times New Roman" w:hAnsi="Times New Roman" w:eastAsia="宋体" w:cs="Times New Roman"/>
          <w:lang w:val="zh-C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3</w:t>
      </w:r>
      <w:r>
        <w:rPr>
          <w:rFonts w:hint="eastAsia" w:ascii="Times New Roman" w:hAnsi="Times New Roman" w:eastAsia="宋体" w:cs="Times New Roman"/>
          <w:lang w:eastAsia="zh-CN"/>
        </w:rPr>
        <w:t>）</w:t>
      </w:r>
      <w:r>
        <w:rPr>
          <w:rFonts w:hint="eastAsia" w:ascii="Times New Roman" w:hAnsi="Times New Roman" w:eastAsia="宋体" w:cs="Times New Roman"/>
          <w:lang w:val="zh-CN"/>
        </w:rPr>
        <w:t>电磁环境监测</w:t>
      </w:r>
    </w:p>
    <w:p>
      <w:pPr>
        <w:bidi w:val="0"/>
        <w:rPr>
          <w:rFonts w:ascii="Times New Roman" w:hAnsi="Times New Roman" w:eastAsia="宋体" w:cs="Times New Roman"/>
        </w:rPr>
      </w:pPr>
      <w:r>
        <w:rPr>
          <w:rFonts w:hint="eastAsia" w:ascii="Times New Roman" w:hAnsi="Times New Roman" w:eastAsia="宋体" w:cs="Times New Roman"/>
        </w:rPr>
        <w:t>本工程完成后，正式投产后第一年结合竣工环境保护验收监测一次。按相关规范在</w:t>
      </w:r>
      <w:r>
        <w:rPr>
          <w:rFonts w:hint="eastAsia" w:ascii="Times New Roman" w:hAnsi="Times New Roman" w:eastAsia="宋体" w:cs="Times New Roman"/>
          <w:lang w:val="en-US" w:eastAsia="zh-CN"/>
        </w:rPr>
        <w:t>汇集</w:t>
      </w:r>
      <w:r>
        <w:rPr>
          <w:rFonts w:hint="eastAsia" w:ascii="Times New Roman" w:hAnsi="Times New Roman" w:eastAsia="宋体" w:cs="Times New Roman"/>
        </w:rPr>
        <w:t>站围墙外进行电场强度、磁感应强度监测。</w:t>
      </w:r>
    </w:p>
    <w:p>
      <w:pPr>
        <w:adjustRightInd w:val="0"/>
        <w:snapToGrid w:val="0"/>
        <w:spacing w:line="360" w:lineRule="auto"/>
        <w:ind w:left="0" w:leftChars="0" w:firstLine="0" w:firstLineChars="0"/>
        <w:jc w:val="center"/>
        <w:rPr>
          <w:rFonts w:hint="eastAsia" w:hAnsi="宋体" w:eastAsia="宋体"/>
          <w:b/>
          <w:bCs/>
          <w:color w:val="auto"/>
          <w:sz w:val="21"/>
          <w:szCs w:val="21"/>
          <w:u w:val="none" w:color="auto"/>
          <w:lang w:eastAsia="zh-CN"/>
        </w:rPr>
      </w:pPr>
      <w:r>
        <w:rPr>
          <w:rFonts w:hint="eastAsia" w:hAnsi="宋体"/>
          <w:b/>
          <w:bCs/>
          <w:color w:val="auto"/>
          <w:sz w:val="21"/>
          <w:szCs w:val="21"/>
          <w:u w:val="none" w:color="auto"/>
          <w:lang w:eastAsia="zh-CN"/>
        </w:rPr>
        <w:t>表</w:t>
      </w:r>
      <w:r>
        <w:rPr>
          <w:rFonts w:hint="eastAsia" w:hAnsi="宋体"/>
          <w:b/>
          <w:bCs/>
          <w:color w:val="auto"/>
          <w:sz w:val="21"/>
          <w:szCs w:val="21"/>
          <w:u w:val="none" w:color="auto"/>
          <w:lang w:val="en-US" w:eastAsia="zh-CN"/>
        </w:rPr>
        <w:t xml:space="preserve">9-2  </w:t>
      </w:r>
      <w:r>
        <w:rPr>
          <w:b/>
          <w:bCs/>
          <w:sz w:val="21"/>
          <w:szCs w:val="21"/>
          <w:u w:val="none" w:color="auto"/>
        </w:rPr>
        <w:t>环境监测计划表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99"/>
        <w:gridCol w:w="2581"/>
        <w:gridCol w:w="2336"/>
        <w:gridCol w:w="22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color="auto"/>
              </w:rPr>
            </w:pPr>
            <w:r>
              <w:rPr>
                <w:sz w:val="21"/>
                <w:szCs w:val="21"/>
                <w:u w:val="none" w:color="auto"/>
              </w:rPr>
              <w:t>监测项目</w:t>
            </w:r>
          </w:p>
        </w:tc>
        <w:tc>
          <w:tcPr>
            <w:tcW w:w="258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color="auto"/>
              </w:rPr>
            </w:pPr>
            <w:r>
              <w:rPr>
                <w:sz w:val="21"/>
                <w:szCs w:val="21"/>
                <w:u w:val="none" w:color="auto"/>
              </w:rPr>
              <w:t>监测点</w:t>
            </w:r>
          </w:p>
        </w:tc>
        <w:tc>
          <w:tcPr>
            <w:tcW w:w="23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color="auto"/>
              </w:rPr>
            </w:pPr>
            <w:r>
              <w:rPr>
                <w:sz w:val="21"/>
                <w:szCs w:val="21"/>
                <w:u w:val="none" w:color="auto"/>
              </w:rPr>
              <w:t>监测内容</w:t>
            </w:r>
          </w:p>
        </w:tc>
        <w:tc>
          <w:tcPr>
            <w:tcW w:w="22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color="auto"/>
              </w:rPr>
            </w:pPr>
            <w:r>
              <w:rPr>
                <w:sz w:val="21"/>
                <w:szCs w:val="21"/>
                <w:u w:val="none" w:color="auto"/>
              </w:rPr>
              <w:t>监测时段</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color="auto"/>
              </w:rPr>
            </w:pPr>
            <w:r>
              <w:rPr>
                <w:sz w:val="21"/>
                <w:szCs w:val="21"/>
                <w:u w:val="none" w:color="auto"/>
              </w:rPr>
              <w:t>和频次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12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u w:val="none" w:color="auto"/>
                <w:lang w:val="en-US" w:eastAsia="zh-CN"/>
              </w:rPr>
            </w:pPr>
            <w:r>
              <w:rPr>
                <w:rFonts w:hint="eastAsia"/>
                <w:sz w:val="21"/>
                <w:szCs w:val="21"/>
                <w:u w:val="none" w:color="auto"/>
                <w:lang w:val="en-US" w:eastAsia="zh-CN"/>
              </w:rPr>
              <w:t>废水</w:t>
            </w:r>
          </w:p>
        </w:tc>
        <w:tc>
          <w:tcPr>
            <w:tcW w:w="2581" w:type="dxa"/>
            <w:tcBorders>
              <w:tl2br w:val="nil"/>
              <w:tr2bl w:val="nil"/>
            </w:tcBorders>
            <w:shd w:val="clear" w:color="auto" w:fill="auto"/>
            <w:noWrap w:val="0"/>
            <w:vAlign w:val="center"/>
          </w:tcPr>
          <w:p>
            <w:pPr>
              <w:tabs>
                <w:tab w:val="clear" w:pos="480"/>
              </w:tabs>
              <w:spacing w:line="320" w:lineRule="exact"/>
              <w:ind w:firstLine="0" w:firstLineChars="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bCs/>
                <w:sz w:val="21"/>
                <w:szCs w:val="21"/>
                <w:u w:val="none"/>
                <w:lang w:val="en-US" w:eastAsia="zh-CN"/>
              </w:rPr>
              <w:t>汇集</w:t>
            </w:r>
            <w:r>
              <w:rPr>
                <w:bCs/>
                <w:sz w:val="21"/>
                <w:szCs w:val="21"/>
                <w:u w:val="none"/>
              </w:rPr>
              <w:t>站一体化污水处理设备处理后废水暂存池</w:t>
            </w:r>
          </w:p>
        </w:tc>
        <w:tc>
          <w:tcPr>
            <w:tcW w:w="2336" w:type="dxa"/>
            <w:tcBorders>
              <w:tl2br w:val="nil"/>
              <w:tr2bl w:val="nil"/>
            </w:tcBorders>
            <w:shd w:val="clear" w:color="auto" w:fill="auto"/>
            <w:noWrap w:val="0"/>
            <w:vAlign w:val="center"/>
          </w:tcPr>
          <w:p>
            <w:pPr>
              <w:spacing w:line="240" w:lineRule="auto"/>
              <w:ind w:firstLine="0" w:firstLineChars="0"/>
              <w:jc w:val="center"/>
              <w:rPr>
                <w:rFonts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bCs/>
                <w:sz w:val="21"/>
                <w:szCs w:val="21"/>
                <w:u w:val="none"/>
              </w:rPr>
              <w:t>pH、SS、CODcr、BOD</w:t>
            </w:r>
            <w:r>
              <w:rPr>
                <w:bCs/>
                <w:sz w:val="21"/>
                <w:szCs w:val="21"/>
                <w:u w:val="none"/>
                <w:vertAlign w:val="subscript"/>
              </w:rPr>
              <w:t>5</w:t>
            </w:r>
            <w:r>
              <w:rPr>
                <w:bCs/>
                <w:sz w:val="21"/>
                <w:szCs w:val="21"/>
                <w:u w:val="none"/>
              </w:rPr>
              <w:t>、氨氮、</w:t>
            </w:r>
            <w:r>
              <w:rPr>
                <w:rFonts w:hint="eastAsia" w:hAnsi="宋体"/>
                <w:sz w:val="21"/>
                <w:szCs w:val="21"/>
                <w:u w:val="none"/>
              </w:rPr>
              <w:t>动植物油</w:t>
            </w:r>
          </w:p>
        </w:tc>
        <w:tc>
          <w:tcPr>
            <w:tcW w:w="2220" w:type="dxa"/>
            <w:tcBorders>
              <w:tl2br w:val="nil"/>
              <w:tr2bl w:val="nil"/>
            </w:tcBorders>
            <w:shd w:val="clear" w:color="auto" w:fill="auto"/>
            <w:noWrap w:val="0"/>
            <w:vAlign w:val="center"/>
          </w:tcPr>
          <w:p>
            <w:pPr>
              <w:tabs>
                <w:tab w:val="clear" w:pos="480"/>
              </w:tabs>
              <w:spacing w:line="320" w:lineRule="exact"/>
              <w:ind w:firstLine="0" w:firstLineChars="0"/>
              <w:jc w:val="center"/>
              <w:rPr>
                <w:rFonts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hAnsi="宋体"/>
                <w:sz w:val="21"/>
                <w:szCs w:val="21"/>
                <w:u w:val="none"/>
                <w:lang w:val="en-US" w:eastAsia="zh-CN"/>
              </w:rPr>
              <w:t>运营</w:t>
            </w:r>
            <w:r>
              <w:rPr>
                <w:rFonts w:hAnsi="宋体"/>
                <w:sz w:val="21"/>
                <w:szCs w:val="21"/>
                <w:u w:val="none"/>
              </w:rPr>
              <w:t>期</w:t>
            </w:r>
            <w:r>
              <w:rPr>
                <w:rFonts w:hint="eastAsia" w:hAnsi="宋体"/>
                <w:sz w:val="21"/>
                <w:szCs w:val="21"/>
                <w:u w:val="none"/>
              </w:rPr>
              <w:t>：</w:t>
            </w:r>
            <w:r>
              <w:rPr>
                <w:sz w:val="21"/>
                <w:szCs w:val="21"/>
                <w:u w:val="none"/>
              </w:rPr>
              <w:t>1</w:t>
            </w:r>
            <w:r>
              <w:rPr>
                <w:rFonts w:hAnsi="宋体"/>
                <w:sz w:val="21"/>
                <w:szCs w:val="21"/>
                <w:u w:val="none"/>
              </w:rPr>
              <w:t>次</w:t>
            </w:r>
            <w:r>
              <w:rPr>
                <w:sz w:val="21"/>
                <w:szCs w:val="21"/>
                <w:u w:val="none"/>
              </w:rPr>
              <w:t>/</w:t>
            </w:r>
            <w:r>
              <w:rPr>
                <w:rFonts w:hint="eastAsia"/>
                <w:sz w:val="21"/>
                <w:szCs w:val="21"/>
                <w:u w:val="none" w:color="auto"/>
                <w:lang w:val="en-US" w:eastAsia="zh-CN"/>
              </w:rPr>
              <w:t>年</w:t>
            </w:r>
            <w:r>
              <w:rPr>
                <w:rFonts w:hint="eastAsia" w:hAnsi="宋体"/>
                <w:sz w:val="21"/>
                <w:szCs w:val="21"/>
                <w:u w:val="none"/>
              </w:rPr>
              <w:t>，监测2年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u w:val="none" w:color="auto"/>
                <w:lang w:eastAsia="zh-CN"/>
              </w:rPr>
            </w:pPr>
            <w:r>
              <w:rPr>
                <w:rFonts w:hint="eastAsia" w:cs="Times New Roman"/>
                <w:bCs/>
                <w:sz w:val="21"/>
                <w:szCs w:val="21"/>
                <w:u w:val="none" w:color="auto"/>
                <w:lang w:val="en-US" w:eastAsia="zh-CN"/>
              </w:rPr>
              <w:t>地表水</w:t>
            </w:r>
          </w:p>
        </w:tc>
        <w:tc>
          <w:tcPr>
            <w:tcW w:w="258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eastAsia="宋体" w:cs="Times New Roman"/>
                <w:color w:val="auto"/>
                <w:sz w:val="21"/>
                <w:szCs w:val="21"/>
                <w:u w:val="none" w:color="auto"/>
                <w:lang w:val="en-US" w:eastAsia="zh-CN"/>
              </w:rPr>
            </w:pPr>
            <w:r>
              <w:rPr>
                <w:rFonts w:hint="eastAsia" w:cs="Times New Roman"/>
                <w:bCs/>
                <w:sz w:val="21"/>
                <w:szCs w:val="21"/>
                <w:u w:val="none" w:color="auto"/>
                <w:lang w:val="en-US" w:eastAsia="zh-CN"/>
              </w:rPr>
              <w:t>两江口</w:t>
            </w:r>
            <w:r>
              <w:rPr>
                <w:rFonts w:hint="default" w:ascii="Times New Roman" w:hAnsi="Times New Roman" w:cs="Times New Roman"/>
                <w:bCs/>
                <w:sz w:val="21"/>
                <w:szCs w:val="21"/>
                <w:u w:val="none" w:color="auto"/>
              </w:rPr>
              <w:t>水库取水口处</w:t>
            </w:r>
          </w:p>
        </w:tc>
        <w:tc>
          <w:tcPr>
            <w:tcW w:w="23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sz w:val="21"/>
                <w:szCs w:val="21"/>
                <w:u w:val="none" w:color="auto"/>
              </w:rPr>
            </w:pPr>
            <w:r>
              <w:rPr>
                <w:rFonts w:hint="default" w:ascii="Times New Roman" w:hAnsi="Times New Roman" w:cs="Times New Roman"/>
                <w:bCs/>
                <w:sz w:val="21"/>
                <w:szCs w:val="21"/>
                <w:u w:val="none" w:color="auto"/>
              </w:rPr>
              <w:t>pH、SS、CODcr、BOD</w:t>
            </w:r>
            <w:r>
              <w:rPr>
                <w:rFonts w:hint="default" w:ascii="Times New Roman" w:hAnsi="Times New Roman" w:cs="Times New Roman"/>
                <w:bCs/>
                <w:sz w:val="21"/>
                <w:szCs w:val="21"/>
                <w:u w:val="none" w:color="auto"/>
                <w:vertAlign w:val="subscript"/>
              </w:rPr>
              <w:t>5</w:t>
            </w:r>
            <w:r>
              <w:rPr>
                <w:rFonts w:hint="default" w:ascii="Times New Roman" w:hAnsi="Times New Roman" w:cs="Times New Roman"/>
                <w:bCs/>
                <w:sz w:val="21"/>
                <w:szCs w:val="21"/>
                <w:u w:val="none" w:color="auto"/>
              </w:rPr>
              <w:t>、总磷、氨氮、石油类</w:t>
            </w:r>
          </w:p>
        </w:tc>
        <w:tc>
          <w:tcPr>
            <w:tcW w:w="22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color="auto"/>
              </w:rPr>
            </w:pPr>
            <w:r>
              <w:rPr>
                <w:rFonts w:hint="eastAsia" w:cs="Times New Roman"/>
                <w:bCs/>
                <w:sz w:val="21"/>
                <w:szCs w:val="21"/>
                <w:u w:val="none" w:color="auto"/>
                <w:lang w:val="en-US" w:eastAsia="zh-CN"/>
              </w:rPr>
              <w:t>运营</w:t>
            </w:r>
            <w:r>
              <w:rPr>
                <w:rFonts w:hint="eastAsia" w:ascii="Times New Roman" w:hAnsi="Times New Roman" w:cs="Times New Roman"/>
                <w:bCs/>
                <w:sz w:val="21"/>
                <w:szCs w:val="21"/>
                <w:u w:val="none" w:color="auto"/>
                <w:lang w:eastAsia="zh-CN"/>
              </w:rPr>
              <w:t>期，</w:t>
            </w:r>
            <w:r>
              <w:rPr>
                <w:sz w:val="21"/>
                <w:szCs w:val="21"/>
                <w:u w:val="none" w:color="auto"/>
              </w:rPr>
              <w:t>1次/</w:t>
            </w:r>
            <w:r>
              <w:rPr>
                <w:rFonts w:hint="eastAsia"/>
                <w:sz w:val="21"/>
                <w:szCs w:val="21"/>
                <w:u w:val="none" w:color="auto"/>
                <w:lang w:val="en-US" w:eastAsia="zh-CN"/>
              </w:rPr>
              <w:t>年</w:t>
            </w:r>
            <w:r>
              <w:rPr>
                <w:sz w:val="21"/>
                <w:szCs w:val="21"/>
                <w:u w:val="none" w:color="auto"/>
              </w:rPr>
              <w:t>，监测</w:t>
            </w:r>
            <w:r>
              <w:rPr>
                <w:rFonts w:hint="eastAsia"/>
                <w:sz w:val="21"/>
                <w:szCs w:val="21"/>
                <w:u w:val="none" w:color="auto"/>
                <w:lang w:val="en-US" w:eastAsia="zh-CN"/>
              </w:rPr>
              <w:t>2</w:t>
            </w:r>
            <w:r>
              <w:rPr>
                <w:sz w:val="21"/>
                <w:szCs w:val="21"/>
                <w:u w:val="none" w:color="auto"/>
              </w:rPr>
              <w:t>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99"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sz w:val="21"/>
                <w:szCs w:val="21"/>
                <w:u w:val="none" w:color="auto"/>
                <w:lang w:eastAsia="zh-CN"/>
              </w:rPr>
              <w:t>噪声</w:t>
            </w:r>
          </w:p>
        </w:tc>
        <w:tc>
          <w:tcPr>
            <w:tcW w:w="2581"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sz w:val="21"/>
                <w:szCs w:val="21"/>
                <w:lang w:val="en-US" w:eastAsia="zh-CN"/>
              </w:rPr>
              <w:t>汇集站厂界四周、五龙爪</w:t>
            </w:r>
            <w:r>
              <w:rPr>
                <w:sz w:val="21"/>
                <w:szCs w:val="21"/>
                <w:u w:val="none" w:color="auto"/>
              </w:rPr>
              <w:t>居民点</w:t>
            </w:r>
          </w:p>
        </w:tc>
        <w:tc>
          <w:tcPr>
            <w:tcW w:w="2336"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sz w:val="21"/>
                <w:szCs w:val="21"/>
                <w:u w:val="none" w:color="auto"/>
              </w:rPr>
              <w:t>Leq(A)，昼间、夜间</w:t>
            </w:r>
          </w:p>
        </w:tc>
        <w:tc>
          <w:tcPr>
            <w:tcW w:w="2220"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bCs/>
                <w:sz w:val="21"/>
                <w:szCs w:val="21"/>
                <w:u w:val="none" w:color="auto"/>
                <w:lang w:val="en-US" w:eastAsia="zh-CN"/>
              </w:rPr>
              <w:t>运营</w:t>
            </w:r>
            <w:r>
              <w:rPr>
                <w:sz w:val="21"/>
                <w:szCs w:val="21"/>
                <w:u w:val="none" w:color="auto"/>
              </w:rPr>
              <w:t>期，</w:t>
            </w:r>
            <w:r>
              <w:rPr>
                <w:rFonts w:hint="eastAsia"/>
                <w:sz w:val="21"/>
                <w:szCs w:val="21"/>
                <w:u w:val="none" w:color="auto"/>
                <w:lang w:val="en-US" w:eastAsia="zh-CN"/>
              </w:rPr>
              <w:t>2</w:t>
            </w:r>
            <w:r>
              <w:rPr>
                <w:sz w:val="21"/>
                <w:szCs w:val="21"/>
                <w:u w:val="none" w:color="auto"/>
              </w:rPr>
              <w:t>次/</w:t>
            </w:r>
            <w:r>
              <w:rPr>
                <w:rFonts w:hint="eastAsia"/>
                <w:sz w:val="21"/>
                <w:szCs w:val="21"/>
                <w:u w:val="none" w:color="auto"/>
                <w:lang w:val="en-US" w:eastAsia="zh-CN"/>
              </w:rPr>
              <w:t>年</w:t>
            </w:r>
            <w:r>
              <w:rPr>
                <w:sz w:val="21"/>
                <w:szCs w:val="21"/>
                <w:u w:val="none" w:color="auto"/>
              </w:rPr>
              <w:t>，监测</w:t>
            </w:r>
            <w:r>
              <w:rPr>
                <w:rFonts w:hint="eastAsia"/>
                <w:sz w:val="21"/>
                <w:szCs w:val="21"/>
                <w:u w:val="none" w:color="auto"/>
                <w:lang w:val="en-US" w:eastAsia="zh-CN"/>
              </w:rPr>
              <w:t>2</w:t>
            </w:r>
            <w:r>
              <w:rPr>
                <w:sz w:val="21"/>
                <w:szCs w:val="21"/>
                <w:u w:val="none" w:color="auto"/>
              </w:rPr>
              <w:t>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99"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u w:val="none" w:color="auto"/>
                <w:lang w:val="en-US" w:eastAsia="zh-CN"/>
              </w:rPr>
            </w:pPr>
            <w:r>
              <w:rPr>
                <w:rFonts w:hint="eastAsia"/>
                <w:sz w:val="21"/>
                <w:szCs w:val="21"/>
                <w:u w:val="none" w:color="auto"/>
                <w:lang w:val="en-US" w:eastAsia="zh-CN"/>
              </w:rPr>
              <w:t>电磁辐射</w:t>
            </w:r>
          </w:p>
        </w:tc>
        <w:tc>
          <w:tcPr>
            <w:tcW w:w="2581"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汇集站</w:t>
            </w:r>
            <w:r>
              <w:rPr>
                <w:rFonts w:hint="eastAsia"/>
                <w:sz w:val="21"/>
                <w:szCs w:val="21"/>
                <w:lang w:val="en-US" w:eastAsia="zh-CN"/>
              </w:rPr>
              <w:t>厂</w:t>
            </w:r>
            <w:r>
              <w:rPr>
                <w:rFonts w:hint="eastAsia" w:ascii="Times New Roman" w:hAnsi="Times New Roman" w:eastAsia="宋体" w:cs="Times New Roman"/>
                <w:sz w:val="21"/>
                <w:szCs w:val="21"/>
                <w:lang w:val="en-US" w:eastAsia="zh-CN"/>
              </w:rPr>
              <w:t>界四周</w:t>
            </w:r>
          </w:p>
        </w:tc>
        <w:tc>
          <w:tcPr>
            <w:tcW w:w="2336"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工频电场、工频磁场</w:t>
            </w:r>
          </w:p>
        </w:tc>
        <w:tc>
          <w:tcPr>
            <w:tcW w:w="2220"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投运后结合竣工环保验收监测1次，有投诉时补充检测</w:t>
            </w:r>
          </w:p>
        </w:tc>
      </w:tr>
      <w:bookmarkEnd w:id="186"/>
      <w:bookmarkEnd w:id="187"/>
      <w:bookmarkEnd w:id="188"/>
      <w:bookmarkEnd w:id="189"/>
      <w:bookmarkEnd w:id="190"/>
    </w:tbl>
    <w:p>
      <w:pPr>
        <w:ind w:firstLine="496"/>
        <w:rPr>
          <w:rFonts w:hint="eastAsia"/>
          <w:b/>
          <w:bCs/>
          <w:sz w:val="24"/>
          <w:szCs w:val="32"/>
          <w:u w:val="none" w:color="auto"/>
        </w:rPr>
      </w:pPr>
    </w:p>
    <w:p>
      <w:pPr>
        <w:pStyle w:val="151"/>
        <w:jc w:val="both"/>
        <w:rPr>
          <w:rFonts w:hint="eastAsia" w:ascii="Times New Roman" w:hAnsi="Times New Roman" w:cs="Times New Roman"/>
          <w:color w:val="000000" w:themeColor="text1"/>
          <w:u w:val="none" w:color="auto"/>
          <w:lang w:eastAsia="zh-CN"/>
          <w14:textFill>
            <w14:solidFill>
              <w14:schemeClr w14:val="tx1"/>
            </w14:solidFill>
          </w14:textFill>
        </w:rPr>
        <w:sectPr>
          <w:pgSz w:w="11905"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3" w:charSpace="0"/>
        </w:sectPr>
      </w:pPr>
    </w:p>
    <w:p>
      <w:pPr>
        <w:pStyle w:val="457"/>
        <w:ind w:firstLine="643"/>
        <w:rPr>
          <w:u w:val="none" w:color="auto"/>
        </w:rPr>
      </w:pPr>
      <w:bookmarkStart w:id="199" w:name="_Toc29718"/>
      <w:r>
        <w:rPr>
          <w:rFonts w:hint="eastAsia" w:ascii="Times New Roman" w:cs="Times New Roman"/>
          <w:color w:val="000000" w:themeColor="text1"/>
          <w:u w:val="none" w:color="auto"/>
          <w:lang w:eastAsia="zh-CN"/>
          <w14:textFill>
            <w14:solidFill>
              <w14:schemeClr w14:val="tx1"/>
            </w14:solidFill>
          </w14:textFill>
        </w:rPr>
        <w:t>项目竣工环境保护验收</w:t>
      </w:r>
      <w:bookmarkEnd w:id="199"/>
    </w:p>
    <w:p>
      <w:pPr>
        <w:jc w:val="both"/>
        <w:rPr>
          <w:rFonts w:hint="eastAsia" w:ascii="Times New Roman" w:hAnsi="Times New Roman" w:cs="Times New Roman"/>
          <w:color w:val="000000" w:themeColor="text1"/>
          <w:u w:val="none" w:color="auto"/>
          <w:lang w:eastAsia="zh-CN"/>
          <w14:textFill>
            <w14:solidFill>
              <w14:schemeClr w14:val="tx1"/>
            </w14:solidFill>
          </w14:textFill>
        </w:rPr>
      </w:pPr>
      <w:r>
        <w:rPr>
          <w:rFonts w:hint="eastAsia" w:ascii="Times New Roman" w:hAnsi="Times New Roman" w:cs="Times New Roman"/>
          <w:color w:val="000000" w:themeColor="text1"/>
          <w:u w:val="none" w:color="auto"/>
          <w14:textFill>
            <w14:solidFill>
              <w14:schemeClr w14:val="tx1"/>
            </w14:solidFill>
          </w14:textFill>
        </w:rPr>
        <w:t>项目竣工环境保护验收一览表</w:t>
      </w:r>
      <w:r>
        <w:rPr>
          <w:rFonts w:hint="eastAsia" w:ascii="Times New Roman" w:hAnsi="Times New Roman" w:cs="Times New Roman"/>
          <w:color w:val="000000" w:themeColor="text1"/>
          <w:u w:val="none" w:color="auto"/>
          <w:lang w:eastAsia="zh-CN"/>
          <w14:textFill>
            <w14:solidFill>
              <w14:schemeClr w14:val="tx1"/>
            </w14:solidFill>
          </w14:textFill>
        </w:rPr>
        <w:t>见下表。</w:t>
      </w:r>
    </w:p>
    <w:p>
      <w:pPr>
        <w:jc w:val="center"/>
        <w:rPr>
          <w:rFonts w:hint="eastAsia"/>
          <w:b/>
          <w:bCs/>
          <w:sz w:val="21"/>
          <w:szCs w:val="24"/>
          <w:u w:val="none" w:color="auto"/>
        </w:rPr>
      </w:pPr>
      <w:r>
        <w:rPr>
          <w:rFonts w:hint="eastAsia"/>
          <w:b/>
          <w:bCs/>
          <w:sz w:val="21"/>
          <w:szCs w:val="24"/>
          <w:u w:val="none" w:color="auto"/>
        </w:rPr>
        <w:t>表</w:t>
      </w:r>
      <w:r>
        <w:rPr>
          <w:rFonts w:hint="eastAsia"/>
          <w:b/>
          <w:bCs/>
          <w:sz w:val="21"/>
          <w:szCs w:val="24"/>
          <w:u w:val="none" w:color="auto"/>
          <w:lang w:val="en-US" w:eastAsia="zh-CN"/>
        </w:rPr>
        <w:t>9-3</w:t>
      </w:r>
      <w:r>
        <w:rPr>
          <w:rFonts w:hint="eastAsia"/>
          <w:b/>
          <w:bCs/>
          <w:sz w:val="21"/>
          <w:szCs w:val="24"/>
          <w:u w:val="none" w:color="auto"/>
        </w:rPr>
        <w:t xml:space="preserve"> 建设项目竣工环境保护验收内容一览表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84"/>
        <w:gridCol w:w="1399"/>
        <w:gridCol w:w="4501"/>
        <w:gridCol w:w="26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2" w:type="pc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r>
              <w:rPr>
                <w:sz w:val="21"/>
                <w:szCs w:val="21"/>
                <w:u w:val="none" w:color="auto"/>
              </w:rPr>
              <w:t>时段</w:t>
            </w:r>
          </w:p>
        </w:tc>
        <w:tc>
          <w:tcPr>
            <w:tcW w:w="753" w:type="pc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r>
              <w:rPr>
                <w:sz w:val="21"/>
                <w:szCs w:val="21"/>
                <w:u w:val="none" w:color="auto"/>
              </w:rPr>
              <w:t>项目</w:t>
            </w:r>
          </w:p>
        </w:tc>
        <w:tc>
          <w:tcPr>
            <w:tcW w:w="2423" w:type="pc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r>
              <w:rPr>
                <w:sz w:val="21"/>
                <w:szCs w:val="21"/>
                <w:u w:val="none" w:color="auto"/>
              </w:rPr>
              <w:t>治理措施</w:t>
            </w:r>
          </w:p>
        </w:tc>
        <w:tc>
          <w:tcPr>
            <w:tcW w:w="1401" w:type="pc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r>
              <w:rPr>
                <w:sz w:val="21"/>
                <w:szCs w:val="21"/>
                <w:u w:val="none" w:color="auto"/>
              </w:rPr>
              <w:t>治理效果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2" w:type="pct"/>
            <w:vMerge w:val="restar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r>
              <w:rPr>
                <w:sz w:val="21"/>
                <w:szCs w:val="21"/>
                <w:u w:val="none" w:color="auto"/>
              </w:rPr>
              <w:t>施工期</w:t>
            </w:r>
          </w:p>
        </w:tc>
        <w:tc>
          <w:tcPr>
            <w:tcW w:w="753" w:type="pc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bCs/>
                <w:sz w:val="21"/>
                <w:szCs w:val="21"/>
                <w:u w:val="none" w:color="auto"/>
              </w:rPr>
            </w:pPr>
            <w:r>
              <w:rPr>
                <w:bCs/>
                <w:sz w:val="21"/>
                <w:szCs w:val="21"/>
                <w:u w:val="none" w:color="auto"/>
              </w:rPr>
              <w:t>水环境</w:t>
            </w:r>
          </w:p>
        </w:tc>
        <w:tc>
          <w:tcPr>
            <w:tcW w:w="2423" w:type="pct"/>
            <w:tcBorders>
              <w:tl2br w:val="nil"/>
              <w:tr2bl w:val="nil"/>
            </w:tcBorders>
            <w:shd w:val="clear" w:color="auto" w:fill="auto"/>
            <w:vAlign w:val="center"/>
          </w:tcPr>
          <w:p>
            <w:pPr>
              <w:tabs>
                <w:tab w:val="clear" w:pos="480"/>
              </w:tabs>
              <w:adjustRightInd w:val="0"/>
              <w:snapToGrid w:val="0"/>
              <w:spacing w:line="240" w:lineRule="auto"/>
              <w:ind w:firstLine="0" w:firstLineChars="0"/>
              <w:rPr>
                <w:sz w:val="21"/>
                <w:szCs w:val="21"/>
                <w:u w:val="none" w:color="auto"/>
              </w:rPr>
            </w:pPr>
            <w:r>
              <w:rPr>
                <w:rFonts w:hint="eastAsia"/>
                <w:sz w:val="21"/>
                <w:szCs w:val="21"/>
                <w:u w:val="none" w:color="auto"/>
              </w:rPr>
              <w:t>（1）路面径流采用沉砂池沉淀后外排，穿越饮用水源路段施工期道路边缘设置拦挡措施,路面径流经沉淀后排放。</w:t>
            </w:r>
          </w:p>
          <w:p>
            <w:pPr>
              <w:tabs>
                <w:tab w:val="clear" w:pos="480"/>
              </w:tabs>
              <w:adjustRightInd w:val="0"/>
              <w:snapToGrid w:val="0"/>
              <w:spacing w:line="240" w:lineRule="auto"/>
              <w:ind w:firstLine="0" w:firstLineChars="0"/>
              <w:rPr>
                <w:sz w:val="21"/>
                <w:szCs w:val="21"/>
                <w:u w:val="none" w:color="auto"/>
              </w:rPr>
            </w:pPr>
            <w:r>
              <w:rPr>
                <w:rFonts w:hint="eastAsia"/>
                <w:sz w:val="21"/>
                <w:szCs w:val="21"/>
                <w:u w:val="none" w:color="auto"/>
              </w:rPr>
              <w:t>（2）租</w:t>
            </w:r>
            <w:r>
              <w:rPr>
                <w:rFonts w:hint="eastAsia"/>
                <w:sz w:val="21"/>
                <w:szCs w:val="21"/>
                <w:u w:val="none" w:color="auto"/>
                <w:lang w:val="en-US" w:eastAsia="zh-CN"/>
              </w:rPr>
              <w:t>用</w:t>
            </w:r>
            <w:r>
              <w:rPr>
                <w:rFonts w:hint="eastAsia"/>
                <w:sz w:val="21"/>
                <w:szCs w:val="21"/>
                <w:u w:val="none" w:color="auto"/>
              </w:rPr>
              <w:t>民房施工人员生活污水依托当地民房的化粪池处理后用于周边菜地用肥。</w:t>
            </w:r>
          </w:p>
          <w:p>
            <w:pPr>
              <w:tabs>
                <w:tab w:val="clear" w:pos="480"/>
              </w:tabs>
              <w:adjustRightInd w:val="0"/>
              <w:snapToGrid w:val="0"/>
              <w:spacing w:line="240" w:lineRule="auto"/>
              <w:ind w:firstLine="0" w:firstLineChars="0"/>
              <w:rPr>
                <w:sz w:val="21"/>
                <w:szCs w:val="21"/>
                <w:u w:val="none" w:color="auto"/>
              </w:rPr>
            </w:pPr>
            <w:r>
              <w:rPr>
                <w:sz w:val="21"/>
                <w:szCs w:val="21"/>
                <w:u w:val="none" w:color="auto"/>
              </w:rPr>
              <w:t>（</w:t>
            </w:r>
            <w:r>
              <w:rPr>
                <w:rFonts w:hint="eastAsia"/>
                <w:sz w:val="21"/>
                <w:szCs w:val="21"/>
                <w:u w:val="none" w:color="auto"/>
              </w:rPr>
              <w:t>3</w:t>
            </w:r>
            <w:r>
              <w:rPr>
                <w:sz w:val="21"/>
                <w:szCs w:val="21"/>
                <w:u w:val="none" w:color="auto"/>
              </w:rPr>
              <w:t>）</w:t>
            </w:r>
            <w:r>
              <w:rPr>
                <w:rFonts w:hint="eastAsia"/>
                <w:sz w:val="21"/>
                <w:szCs w:val="21"/>
                <w:u w:val="none" w:color="auto"/>
              </w:rPr>
              <w:t>落实水土保持措施，完善</w:t>
            </w:r>
            <w:r>
              <w:rPr>
                <w:sz w:val="21"/>
                <w:szCs w:val="21"/>
                <w:u w:val="none" w:color="auto"/>
              </w:rPr>
              <w:t>设置截、排、引流</w:t>
            </w:r>
            <w:r>
              <w:rPr>
                <w:rFonts w:hint="eastAsia"/>
                <w:sz w:val="21"/>
                <w:szCs w:val="21"/>
                <w:u w:val="none" w:color="auto"/>
              </w:rPr>
              <w:t>、</w:t>
            </w:r>
            <w:r>
              <w:rPr>
                <w:sz w:val="21"/>
                <w:szCs w:val="21"/>
                <w:u w:val="none" w:color="auto"/>
              </w:rPr>
              <w:t>拦挡措施</w:t>
            </w:r>
            <w:r>
              <w:rPr>
                <w:rFonts w:hint="eastAsia"/>
                <w:sz w:val="21"/>
                <w:szCs w:val="21"/>
                <w:u w:val="none" w:color="auto"/>
              </w:rPr>
              <w:t>，</w:t>
            </w:r>
            <w:r>
              <w:rPr>
                <w:sz w:val="21"/>
                <w:szCs w:val="21"/>
                <w:u w:val="none" w:color="auto"/>
              </w:rPr>
              <w:t>确保</w:t>
            </w:r>
            <w:r>
              <w:rPr>
                <w:rFonts w:hint="eastAsia"/>
                <w:sz w:val="21"/>
                <w:szCs w:val="21"/>
                <w:u w:val="none" w:color="auto"/>
              </w:rPr>
              <w:t>道路边坡及弃渣场不发生溜渣、滑坡现象。</w:t>
            </w:r>
          </w:p>
        </w:tc>
        <w:tc>
          <w:tcPr>
            <w:tcW w:w="1401" w:type="pct"/>
            <w:tcBorders>
              <w:tl2br w:val="nil"/>
              <w:tr2bl w:val="nil"/>
            </w:tcBorders>
            <w:shd w:val="clear" w:color="auto" w:fill="auto"/>
            <w:vAlign w:val="center"/>
          </w:tcPr>
          <w:p>
            <w:pPr>
              <w:tabs>
                <w:tab w:val="clear" w:pos="480"/>
              </w:tabs>
              <w:adjustRightInd w:val="0"/>
              <w:snapToGrid w:val="0"/>
              <w:spacing w:line="240" w:lineRule="auto"/>
              <w:ind w:firstLine="0" w:firstLineChars="0"/>
              <w:jc w:val="center"/>
              <w:rPr>
                <w:sz w:val="21"/>
                <w:szCs w:val="21"/>
                <w:u w:val="none" w:color="auto"/>
              </w:rPr>
            </w:pPr>
            <w:r>
              <w:rPr>
                <w:rFonts w:hint="eastAsia"/>
                <w:sz w:val="21"/>
                <w:szCs w:val="21"/>
                <w:u w:val="none" w:color="auto"/>
              </w:rPr>
              <w:t>不影响饮用水源保护区水质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2" w:type="pct"/>
            <w:vMerge w:val="continue"/>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p>
        </w:tc>
        <w:tc>
          <w:tcPr>
            <w:tcW w:w="753" w:type="pc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bCs/>
                <w:sz w:val="21"/>
                <w:szCs w:val="21"/>
                <w:u w:val="none" w:color="auto"/>
              </w:rPr>
            </w:pPr>
            <w:r>
              <w:rPr>
                <w:bCs/>
                <w:sz w:val="21"/>
                <w:szCs w:val="21"/>
                <w:u w:val="none" w:color="auto"/>
              </w:rPr>
              <w:t>大气环境</w:t>
            </w:r>
          </w:p>
        </w:tc>
        <w:tc>
          <w:tcPr>
            <w:tcW w:w="2423"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left"/>
              <w:rPr>
                <w:kern w:val="0"/>
                <w:sz w:val="21"/>
                <w:szCs w:val="21"/>
                <w:u w:val="none" w:color="auto"/>
              </w:rPr>
            </w:pPr>
            <w:r>
              <w:rPr>
                <w:sz w:val="21"/>
                <w:szCs w:val="21"/>
                <w:u w:val="none" w:color="auto"/>
              </w:rPr>
              <w:t>洒水降尘，施工机械和运输车辆定期维修保养</w:t>
            </w:r>
          </w:p>
        </w:tc>
        <w:tc>
          <w:tcPr>
            <w:tcW w:w="1401"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center"/>
              <w:rPr>
                <w:bCs/>
                <w:sz w:val="21"/>
                <w:szCs w:val="21"/>
                <w:u w:val="none" w:color="auto"/>
              </w:rPr>
            </w:pPr>
            <w:r>
              <w:rPr>
                <w:bCs/>
                <w:sz w:val="21"/>
                <w:szCs w:val="21"/>
                <w:u w:val="none" w:color="auto"/>
              </w:rPr>
              <w:t>符合《大气污染物综合排放标准》（GB16297-1996）二级标准及无组织排放限值要求。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2" w:type="pct"/>
            <w:vMerge w:val="continue"/>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p>
        </w:tc>
        <w:tc>
          <w:tcPr>
            <w:tcW w:w="753" w:type="pc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bCs/>
                <w:sz w:val="21"/>
                <w:szCs w:val="21"/>
                <w:u w:val="none" w:color="auto"/>
              </w:rPr>
            </w:pPr>
            <w:r>
              <w:rPr>
                <w:bCs/>
                <w:sz w:val="21"/>
                <w:szCs w:val="21"/>
                <w:u w:val="none" w:color="auto"/>
              </w:rPr>
              <w:t>声环境</w:t>
            </w:r>
          </w:p>
        </w:tc>
        <w:tc>
          <w:tcPr>
            <w:tcW w:w="2423"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left"/>
              <w:rPr>
                <w:rFonts w:hint="eastAsia" w:eastAsia="宋体"/>
                <w:bCs/>
                <w:sz w:val="21"/>
                <w:szCs w:val="21"/>
                <w:u w:val="none" w:color="auto"/>
                <w:lang w:eastAsia="zh-CN"/>
              </w:rPr>
            </w:pPr>
            <w:r>
              <w:rPr>
                <w:bCs/>
                <w:sz w:val="21"/>
                <w:szCs w:val="21"/>
                <w:u w:val="none" w:color="auto"/>
              </w:rPr>
              <w:t>施工营地夜间</w:t>
            </w:r>
            <w:r>
              <w:rPr>
                <w:rFonts w:hint="eastAsia"/>
                <w:bCs/>
                <w:sz w:val="21"/>
                <w:szCs w:val="21"/>
                <w:u w:val="none" w:color="auto"/>
              </w:rPr>
              <w:t>不</w:t>
            </w:r>
            <w:r>
              <w:rPr>
                <w:bCs/>
                <w:sz w:val="21"/>
                <w:szCs w:val="21"/>
                <w:u w:val="none" w:color="auto"/>
              </w:rPr>
              <w:t xml:space="preserve">施工，禁止夜间运行高噪声设备；道路施工、材料设备运输必须安排在昼间进行 </w:t>
            </w:r>
            <w:r>
              <w:rPr>
                <w:rFonts w:hint="eastAsia"/>
                <w:bCs/>
                <w:sz w:val="21"/>
                <w:szCs w:val="21"/>
                <w:u w:val="none" w:color="auto"/>
                <w:lang w:eastAsia="zh-CN"/>
              </w:rPr>
              <w:t>。</w:t>
            </w:r>
          </w:p>
        </w:tc>
        <w:tc>
          <w:tcPr>
            <w:tcW w:w="1401"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center"/>
              <w:rPr>
                <w:bCs/>
                <w:sz w:val="21"/>
                <w:szCs w:val="21"/>
                <w:u w:val="none" w:color="auto"/>
              </w:rPr>
            </w:pPr>
            <w:r>
              <w:rPr>
                <w:bCs/>
                <w:sz w:val="21"/>
                <w:szCs w:val="21"/>
                <w:u w:val="none" w:color="auto"/>
              </w:rPr>
              <w:t>符合《建筑施工场界环境噪声排放标准》（GB12523-2011）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2" w:type="pct"/>
            <w:vMerge w:val="continue"/>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p>
        </w:tc>
        <w:tc>
          <w:tcPr>
            <w:tcW w:w="753" w:type="pc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bCs/>
                <w:sz w:val="21"/>
                <w:szCs w:val="21"/>
                <w:u w:val="none" w:color="auto"/>
              </w:rPr>
            </w:pPr>
            <w:r>
              <w:rPr>
                <w:bCs/>
                <w:sz w:val="21"/>
                <w:szCs w:val="21"/>
                <w:u w:val="none" w:color="auto"/>
              </w:rPr>
              <w:t>固体废物</w:t>
            </w:r>
          </w:p>
        </w:tc>
        <w:tc>
          <w:tcPr>
            <w:tcW w:w="2423"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left"/>
              <w:rPr>
                <w:rFonts w:hint="eastAsia" w:eastAsia="宋体"/>
                <w:bCs/>
                <w:sz w:val="21"/>
                <w:szCs w:val="21"/>
                <w:u w:val="none" w:color="auto"/>
                <w:lang w:eastAsia="zh-CN"/>
              </w:rPr>
            </w:pPr>
            <w:r>
              <w:rPr>
                <w:bCs/>
                <w:sz w:val="21"/>
                <w:szCs w:val="21"/>
                <w:u w:val="none" w:color="auto"/>
              </w:rPr>
              <w:t>生活垃圾采用垃圾桶收集后定期交由环卫部门处理</w:t>
            </w:r>
            <w:r>
              <w:rPr>
                <w:rFonts w:hint="eastAsia"/>
                <w:bCs/>
                <w:sz w:val="21"/>
                <w:szCs w:val="21"/>
                <w:u w:val="none" w:color="auto"/>
              </w:rPr>
              <w:t>；禁止将弃渣场设置在饮用水水源保护区及其汇水范围内</w:t>
            </w:r>
            <w:r>
              <w:rPr>
                <w:rFonts w:hint="eastAsia"/>
                <w:bCs/>
                <w:sz w:val="21"/>
                <w:szCs w:val="21"/>
                <w:u w:val="none" w:color="auto"/>
                <w:lang w:eastAsia="zh-CN"/>
              </w:rPr>
              <w:t>。</w:t>
            </w:r>
          </w:p>
        </w:tc>
        <w:tc>
          <w:tcPr>
            <w:tcW w:w="1401" w:type="pc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bCs/>
                <w:sz w:val="21"/>
                <w:szCs w:val="21"/>
                <w:u w:val="none" w:color="auto"/>
              </w:rPr>
            </w:pPr>
            <w:r>
              <w:rPr>
                <w:bCs/>
                <w:sz w:val="21"/>
                <w:szCs w:val="21"/>
                <w:u w:val="none" w:color="auto"/>
              </w:rPr>
              <w:t>统一处置，不外排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422" w:type="pct"/>
            <w:vMerge w:val="continue"/>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p>
        </w:tc>
        <w:tc>
          <w:tcPr>
            <w:tcW w:w="753" w:type="pc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bCs/>
                <w:sz w:val="21"/>
                <w:szCs w:val="21"/>
                <w:u w:val="none" w:color="auto"/>
              </w:rPr>
            </w:pPr>
            <w:r>
              <w:rPr>
                <w:bCs/>
                <w:sz w:val="21"/>
                <w:szCs w:val="21"/>
                <w:u w:val="none" w:color="auto"/>
              </w:rPr>
              <w:t>生态环境</w:t>
            </w:r>
          </w:p>
        </w:tc>
        <w:tc>
          <w:tcPr>
            <w:tcW w:w="2423" w:type="pc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left"/>
              <w:rPr>
                <w:sz w:val="21"/>
                <w:szCs w:val="21"/>
                <w:u w:val="none" w:color="auto"/>
              </w:rPr>
            </w:pPr>
            <w:r>
              <w:rPr>
                <w:bCs/>
                <w:sz w:val="21"/>
                <w:szCs w:val="21"/>
                <w:u w:val="none" w:color="auto"/>
              </w:rPr>
              <w:t>选择</w:t>
            </w:r>
            <w:r>
              <w:rPr>
                <w:rFonts w:hint="eastAsia"/>
                <w:bCs/>
                <w:sz w:val="21"/>
                <w:szCs w:val="21"/>
                <w:u w:val="none" w:color="auto"/>
              </w:rPr>
              <w:t>扰动区域易种植的</w:t>
            </w:r>
            <w:r>
              <w:rPr>
                <w:bCs/>
                <w:sz w:val="21"/>
                <w:szCs w:val="21"/>
                <w:u w:val="none" w:color="auto"/>
              </w:rPr>
              <w:t>常见种或优势种进行植被恢复</w:t>
            </w:r>
          </w:p>
        </w:tc>
        <w:tc>
          <w:tcPr>
            <w:tcW w:w="1401" w:type="pc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r>
              <w:rPr>
                <w:rFonts w:hint="eastAsia" w:hAnsi="宋体"/>
                <w:sz w:val="21"/>
                <w:szCs w:val="21"/>
                <w:u w:val="none" w:color="auto"/>
              </w:rPr>
              <w:t>避免或减少对植被和动物的影响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2" w:type="pct"/>
            <w:vMerge w:val="continue"/>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p>
        </w:tc>
        <w:tc>
          <w:tcPr>
            <w:tcW w:w="753" w:type="pct"/>
            <w:vMerge w:val="restar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r>
              <w:rPr>
                <w:sz w:val="21"/>
                <w:szCs w:val="21"/>
                <w:u w:val="none" w:color="auto"/>
              </w:rPr>
              <w:t>环境风险</w:t>
            </w:r>
          </w:p>
        </w:tc>
        <w:tc>
          <w:tcPr>
            <w:tcW w:w="2423"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left"/>
              <w:rPr>
                <w:kern w:val="0"/>
                <w:sz w:val="21"/>
                <w:szCs w:val="21"/>
                <w:u w:val="none" w:color="auto"/>
              </w:rPr>
            </w:pPr>
            <w:r>
              <w:rPr>
                <w:kern w:val="0"/>
                <w:sz w:val="21"/>
                <w:szCs w:val="21"/>
                <w:u w:val="none" w:color="auto"/>
              </w:rPr>
              <w:t>加强防火宣传，提高施工人员的防火意识。加强组织领导，建立健全防火组织机构。设置防火隔离带，构建防火通信网络，配备相应数量的灭火器材。</w:t>
            </w:r>
          </w:p>
        </w:tc>
        <w:tc>
          <w:tcPr>
            <w:tcW w:w="1401"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left"/>
              <w:rPr>
                <w:kern w:val="0"/>
                <w:sz w:val="21"/>
                <w:szCs w:val="21"/>
                <w:u w:val="none" w:color="auto"/>
              </w:rPr>
            </w:pPr>
            <w:r>
              <w:rPr>
                <w:kern w:val="0"/>
                <w:sz w:val="21"/>
                <w:szCs w:val="21"/>
                <w:u w:val="none" w:color="auto"/>
              </w:rPr>
              <w:t>环境风险控制在可接受的水平。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2" w:type="pct"/>
            <w:vMerge w:val="continue"/>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p>
        </w:tc>
        <w:tc>
          <w:tcPr>
            <w:tcW w:w="753" w:type="pct"/>
            <w:vMerge w:val="continue"/>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p>
        </w:tc>
        <w:tc>
          <w:tcPr>
            <w:tcW w:w="2423"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left"/>
              <w:rPr>
                <w:kern w:val="0"/>
                <w:sz w:val="21"/>
                <w:szCs w:val="21"/>
                <w:u w:val="none" w:color="auto"/>
              </w:rPr>
            </w:pPr>
            <w:r>
              <w:rPr>
                <w:rFonts w:hint="eastAsia"/>
                <w:kern w:val="0"/>
                <w:sz w:val="21"/>
                <w:szCs w:val="21"/>
                <w:u w:val="none" w:color="auto"/>
                <w:lang w:val="en-US" w:eastAsia="zh-CN"/>
              </w:rPr>
              <w:t>邻近</w:t>
            </w:r>
            <w:r>
              <w:rPr>
                <w:rFonts w:hint="eastAsia"/>
                <w:kern w:val="0"/>
                <w:sz w:val="21"/>
                <w:szCs w:val="21"/>
                <w:u w:val="none" w:color="auto"/>
              </w:rPr>
              <w:t>饮用水源路段合理设置沉淀池（兼事故池），路面径流经沉淀后排放。设置饮用水保护警示标牌，路边设置防撞护栏</w:t>
            </w:r>
          </w:p>
        </w:tc>
        <w:tc>
          <w:tcPr>
            <w:tcW w:w="1401"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left"/>
              <w:rPr>
                <w:kern w:val="0"/>
                <w:sz w:val="21"/>
                <w:szCs w:val="21"/>
                <w:u w:val="none" w:color="auto"/>
              </w:rPr>
            </w:pPr>
            <w:r>
              <w:rPr>
                <w:rFonts w:hint="eastAsia"/>
                <w:kern w:val="0"/>
                <w:sz w:val="21"/>
                <w:szCs w:val="21"/>
                <w:u w:val="none" w:color="auto"/>
              </w:rPr>
              <w:t>不对</w:t>
            </w:r>
            <w:r>
              <w:rPr>
                <w:rFonts w:hint="eastAsia" w:ascii="Times New Roman" w:hAnsi="Times New Roman" w:cs="Times New Roman"/>
                <w:sz w:val="21"/>
                <w:szCs w:val="21"/>
                <w:u w:val="none" w:color="auto"/>
                <w:lang w:val="en-US" w:eastAsia="zh-CN"/>
              </w:rPr>
              <w:t>塔峰镇两江口水库饮用水水源保护区、新田湾河饮用水水源保护区、</w:t>
            </w:r>
            <w:r>
              <w:rPr>
                <w:rFonts w:hint="default" w:ascii="Times New Roman" w:hAnsi="Times New Roman" w:eastAsia="宋体" w:cs="Times New Roman"/>
                <w:sz w:val="21"/>
                <w:szCs w:val="21"/>
                <w:u w:val="none" w:color="auto"/>
              </w:rPr>
              <w:t>岭脚村山溪水饮用水水源保护区</w:t>
            </w:r>
            <w:r>
              <w:rPr>
                <w:rFonts w:hint="eastAsia"/>
                <w:kern w:val="0"/>
                <w:sz w:val="21"/>
                <w:szCs w:val="21"/>
                <w:u w:val="none" w:color="auto"/>
              </w:rPr>
              <w:t>水质造成污染影响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2" w:type="pct"/>
            <w:vMerge w:val="continue"/>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p>
        </w:tc>
        <w:tc>
          <w:tcPr>
            <w:tcW w:w="753" w:type="pc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r>
              <w:rPr>
                <w:sz w:val="21"/>
                <w:szCs w:val="21"/>
                <w:u w:val="none" w:color="auto"/>
              </w:rPr>
              <w:t>环境管理与监测</w:t>
            </w:r>
          </w:p>
        </w:tc>
        <w:tc>
          <w:tcPr>
            <w:tcW w:w="2423"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center"/>
              <w:rPr>
                <w:kern w:val="0"/>
                <w:sz w:val="21"/>
                <w:szCs w:val="21"/>
                <w:u w:val="none" w:color="auto"/>
              </w:rPr>
            </w:pPr>
            <w:r>
              <w:rPr>
                <w:kern w:val="0"/>
                <w:sz w:val="21"/>
                <w:szCs w:val="21"/>
                <w:u w:val="none" w:color="auto"/>
              </w:rPr>
              <w:t>落实本报告提出的环境监测及环境管理措施。</w:t>
            </w:r>
          </w:p>
        </w:tc>
        <w:tc>
          <w:tcPr>
            <w:tcW w:w="1401"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center"/>
              <w:rPr>
                <w:kern w:val="0"/>
                <w:sz w:val="21"/>
                <w:szCs w:val="21"/>
                <w:u w:val="none" w:color="auto"/>
              </w:rPr>
            </w:pPr>
            <w:r>
              <w:rPr>
                <w:kern w:val="0"/>
                <w:sz w:val="21"/>
                <w:szCs w:val="21"/>
                <w:u w:val="none" w:color="auto"/>
              </w:rPr>
              <w:t>及时报告施工期所产生的环境问题，并得到及时得到处理，使环境问题得到有效控制。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2" w:type="pct"/>
            <w:vMerge w:val="restar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r>
              <w:rPr>
                <w:sz w:val="21"/>
                <w:szCs w:val="21"/>
                <w:u w:val="none" w:color="auto"/>
              </w:rPr>
              <w:t>运行期</w:t>
            </w:r>
          </w:p>
        </w:tc>
        <w:tc>
          <w:tcPr>
            <w:tcW w:w="753" w:type="pc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r>
              <w:rPr>
                <w:sz w:val="21"/>
                <w:szCs w:val="21"/>
                <w:u w:val="none" w:color="auto"/>
              </w:rPr>
              <w:t>水环境</w:t>
            </w:r>
          </w:p>
        </w:tc>
        <w:tc>
          <w:tcPr>
            <w:tcW w:w="2423"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center"/>
              <w:rPr>
                <w:kern w:val="0"/>
                <w:sz w:val="21"/>
                <w:szCs w:val="21"/>
                <w:u w:val="none" w:color="auto"/>
              </w:rPr>
            </w:pPr>
            <w:r>
              <w:rPr>
                <w:kern w:val="0"/>
                <w:sz w:val="21"/>
                <w:szCs w:val="21"/>
                <w:u w:val="none" w:color="auto"/>
              </w:rPr>
              <w:t>项目生活污水</w:t>
            </w:r>
            <w:r>
              <w:rPr>
                <w:rFonts w:hint="eastAsia"/>
                <w:kern w:val="0"/>
                <w:sz w:val="21"/>
                <w:szCs w:val="21"/>
                <w:u w:val="none" w:color="auto"/>
              </w:rPr>
              <w:t>通过</w:t>
            </w:r>
            <w:r>
              <w:rPr>
                <w:kern w:val="0"/>
                <w:sz w:val="21"/>
                <w:szCs w:val="21"/>
                <w:u w:val="none" w:color="auto"/>
              </w:rPr>
              <w:t>一体化污水处理装置处理，回用于站区绿化</w:t>
            </w:r>
          </w:p>
        </w:tc>
        <w:tc>
          <w:tcPr>
            <w:tcW w:w="1401"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center"/>
              <w:rPr>
                <w:kern w:val="0"/>
                <w:sz w:val="21"/>
                <w:szCs w:val="21"/>
                <w:u w:val="none" w:color="auto"/>
              </w:rPr>
            </w:pPr>
            <w:r>
              <w:rPr>
                <w:rFonts w:hint="eastAsia"/>
                <w:kern w:val="0"/>
                <w:sz w:val="21"/>
                <w:szCs w:val="21"/>
                <w:u w:val="none" w:color="auto"/>
              </w:rPr>
              <w:t>《污水综合排放标准》（GB8978-1996）一级标准后用于站区绿化。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2" w:type="pct"/>
            <w:vMerge w:val="continue"/>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p>
        </w:tc>
        <w:tc>
          <w:tcPr>
            <w:tcW w:w="753" w:type="pc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r>
              <w:rPr>
                <w:bCs/>
                <w:sz w:val="21"/>
                <w:szCs w:val="21"/>
                <w:u w:val="none" w:color="auto"/>
              </w:rPr>
              <w:t>大气环境</w:t>
            </w:r>
          </w:p>
        </w:tc>
        <w:tc>
          <w:tcPr>
            <w:tcW w:w="2423"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center"/>
              <w:rPr>
                <w:kern w:val="0"/>
                <w:sz w:val="21"/>
                <w:szCs w:val="21"/>
                <w:u w:val="none" w:color="auto"/>
              </w:rPr>
            </w:pPr>
            <w:r>
              <w:rPr>
                <w:rFonts w:hint="eastAsia"/>
                <w:kern w:val="0"/>
                <w:sz w:val="21"/>
                <w:szCs w:val="21"/>
                <w:u w:val="none" w:color="auto"/>
                <w:lang w:val="en-US" w:eastAsia="zh-CN"/>
              </w:rPr>
              <w:t>汇集</w:t>
            </w:r>
            <w:r>
              <w:rPr>
                <w:rFonts w:hint="eastAsia"/>
                <w:kern w:val="0"/>
                <w:sz w:val="21"/>
                <w:szCs w:val="21"/>
                <w:u w:val="none" w:color="auto"/>
              </w:rPr>
              <w:t>站食堂安装油烟净化器</w:t>
            </w:r>
          </w:p>
        </w:tc>
        <w:tc>
          <w:tcPr>
            <w:tcW w:w="1401"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center"/>
              <w:rPr>
                <w:kern w:val="0"/>
                <w:sz w:val="21"/>
                <w:szCs w:val="21"/>
                <w:u w:val="none" w:color="auto"/>
              </w:rPr>
            </w:pPr>
            <w:r>
              <w:rPr>
                <w:rFonts w:hint="eastAsia"/>
                <w:kern w:val="0"/>
                <w:sz w:val="21"/>
                <w:szCs w:val="21"/>
                <w:u w:val="none" w:color="auto"/>
              </w:rPr>
              <w:t>满足《饮食业油烟排放标准（试行）》（GB18483-2001）表2标准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2" w:type="pct"/>
            <w:vMerge w:val="continue"/>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p>
        </w:tc>
        <w:tc>
          <w:tcPr>
            <w:tcW w:w="753"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center"/>
              <w:rPr>
                <w:kern w:val="0"/>
                <w:sz w:val="21"/>
                <w:szCs w:val="21"/>
                <w:u w:val="none" w:color="auto"/>
              </w:rPr>
            </w:pPr>
            <w:r>
              <w:rPr>
                <w:kern w:val="0"/>
                <w:sz w:val="21"/>
                <w:szCs w:val="21"/>
                <w:u w:val="none" w:color="auto"/>
              </w:rPr>
              <w:t>声环境</w:t>
            </w:r>
          </w:p>
        </w:tc>
        <w:tc>
          <w:tcPr>
            <w:tcW w:w="2423"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left"/>
              <w:rPr>
                <w:kern w:val="0"/>
                <w:sz w:val="21"/>
                <w:szCs w:val="21"/>
                <w:u w:val="none" w:color="auto"/>
              </w:rPr>
            </w:pPr>
            <w:r>
              <w:rPr>
                <w:rFonts w:hint="eastAsia"/>
                <w:kern w:val="0"/>
                <w:sz w:val="21"/>
                <w:szCs w:val="21"/>
                <w:u w:val="none" w:color="auto"/>
              </w:rPr>
              <w:t>风机周围合理控规，</w:t>
            </w:r>
            <w:r>
              <w:rPr>
                <w:kern w:val="0"/>
                <w:sz w:val="21"/>
                <w:szCs w:val="21"/>
                <w:u w:val="none" w:color="auto"/>
              </w:rPr>
              <w:t>运营期加强风机、主变维护</w:t>
            </w:r>
            <w:r>
              <w:rPr>
                <w:rFonts w:hint="eastAsia"/>
                <w:kern w:val="0"/>
                <w:sz w:val="21"/>
                <w:szCs w:val="21"/>
                <w:u w:val="none" w:color="auto"/>
              </w:rPr>
              <w:t>，主变减震、隔声</w:t>
            </w:r>
          </w:p>
        </w:tc>
        <w:tc>
          <w:tcPr>
            <w:tcW w:w="1401"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center"/>
              <w:rPr>
                <w:sz w:val="21"/>
                <w:szCs w:val="21"/>
                <w:u w:val="none" w:color="auto"/>
              </w:rPr>
            </w:pPr>
            <w:r>
              <w:rPr>
                <w:sz w:val="21"/>
                <w:szCs w:val="21"/>
                <w:u w:val="none" w:color="auto"/>
              </w:rPr>
              <w:t>声环境保护目标处满足《声环境质量标准》(GB3096-2008)2类声环境功能区限值、夜间突发噪声限值65dB(A)的要求。升压站厂界噪声排放达到《工业企业厂界环境噪声排放标准》（GB12348-2008）中2类标准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2" w:type="pct"/>
            <w:vMerge w:val="continue"/>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p>
        </w:tc>
        <w:tc>
          <w:tcPr>
            <w:tcW w:w="753" w:type="pc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r>
              <w:rPr>
                <w:sz w:val="21"/>
                <w:szCs w:val="21"/>
                <w:u w:val="none" w:color="auto"/>
              </w:rPr>
              <w:t>固体废物</w:t>
            </w:r>
          </w:p>
        </w:tc>
        <w:tc>
          <w:tcPr>
            <w:tcW w:w="2423"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left"/>
              <w:rPr>
                <w:kern w:val="0"/>
                <w:sz w:val="21"/>
                <w:szCs w:val="21"/>
                <w:u w:val="none" w:color="auto"/>
              </w:rPr>
            </w:pPr>
            <w:r>
              <w:rPr>
                <w:sz w:val="21"/>
                <w:szCs w:val="21"/>
                <w:u w:val="none" w:color="auto"/>
              </w:rPr>
              <w:t>生活垃圾采用垃圾桶收集后定期清运；废</w:t>
            </w:r>
            <w:r>
              <w:rPr>
                <w:rFonts w:hint="eastAsia"/>
                <w:sz w:val="21"/>
                <w:szCs w:val="21"/>
                <w:u w:val="none" w:color="auto"/>
              </w:rPr>
              <w:t>油</w:t>
            </w:r>
            <w:r>
              <w:rPr>
                <w:sz w:val="21"/>
                <w:szCs w:val="21"/>
                <w:u w:val="none" w:color="auto"/>
              </w:rPr>
              <w:t>、废蓄电池</w:t>
            </w:r>
            <w:r>
              <w:rPr>
                <w:rFonts w:hint="eastAsia"/>
                <w:sz w:val="21"/>
                <w:szCs w:val="21"/>
                <w:u w:val="none" w:color="auto"/>
              </w:rPr>
              <w:t>等危险废物</w:t>
            </w:r>
            <w:r>
              <w:rPr>
                <w:sz w:val="21"/>
                <w:szCs w:val="21"/>
                <w:u w:val="none" w:color="auto"/>
              </w:rPr>
              <w:t>交有资质单位处置</w:t>
            </w:r>
            <w:r>
              <w:rPr>
                <w:rFonts w:hint="eastAsia"/>
                <w:sz w:val="21"/>
                <w:szCs w:val="21"/>
                <w:u w:val="none" w:color="auto"/>
              </w:rPr>
              <w:t>；</w:t>
            </w:r>
            <w:r>
              <w:rPr>
                <w:rFonts w:hint="eastAsia"/>
                <w:sz w:val="21"/>
                <w:szCs w:val="21"/>
                <w:u w:val="none" w:color="auto"/>
                <w:lang w:val="en-US" w:eastAsia="zh-CN"/>
              </w:rPr>
              <w:t>汇集</w:t>
            </w:r>
            <w:r>
              <w:rPr>
                <w:rFonts w:hint="eastAsia"/>
                <w:sz w:val="21"/>
                <w:szCs w:val="21"/>
                <w:u w:val="none" w:color="auto"/>
              </w:rPr>
              <w:t>站设置1座危废暂存间；箱变底部各设置1个集油池；主变压器设置</w:t>
            </w:r>
            <w:r>
              <w:rPr>
                <w:rFonts w:hint="eastAsia"/>
                <w:sz w:val="21"/>
                <w:szCs w:val="21"/>
                <w:u w:val="none" w:color="auto"/>
                <w:lang w:val="en-US" w:eastAsia="zh-CN"/>
              </w:rPr>
              <w:t>90</w:t>
            </w:r>
            <w:r>
              <w:rPr>
                <w:rFonts w:hint="eastAsia"/>
                <w:sz w:val="21"/>
                <w:szCs w:val="21"/>
                <w:u w:val="none" w:color="auto"/>
              </w:rPr>
              <w:t>m</w:t>
            </w:r>
            <w:r>
              <w:rPr>
                <w:sz w:val="21"/>
                <w:szCs w:val="21"/>
                <w:u w:val="none" w:color="auto"/>
                <w:vertAlign w:val="superscript"/>
              </w:rPr>
              <w:t>3</w:t>
            </w:r>
            <w:r>
              <w:rPr>
                <w:rFonts w:hint="eastAsia"/>
                <w:sz w:val="21"/>
                <w:szCs w:val="21"/>
                <w:u w:val="none" w:color="auto"/>
              </w:rPr>
              <w:t>的事故油池</w:t>
            </w:r>
            <w:r>
              <w:rPr>
                <w:kern w:val="0"/>
                <w:sz w:val="21"/>
                <w:szCs w:val="21"/>
                <w:u w:val="none" w:color="auto"/>
              </w:rPr>
              <w:t xml:space="preserve"> </w:t>
            </w:r>
          </w:p>
        </w:tc>
        <w:tc>
          <w:tcPr>
            <w:tcW w:w="1401"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center"/>
              <w:rPr>
                <w:sz w:val="21"/>
                <w:szCs w:val="21"/>
                <w:u w:val="none" w:color="auto"/>
              </w:rPr>
            </w:pPr>
            <w:r>
              <w:rPr>
                <w:sz w:val="21"/>
                <w:szCs w:val="21"/>
                <w:u w:val="none" w:color="auto"/>
              </w:rPr>
              <w:t>固废合理处置，不外排。危险废物按《危险废物收集贮存运输技术规范》（HJ 2025-2012）、《危险废物贮存污染控制标准》（GB18597-2023）的相关规定进行管理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2" w:type="pct"/>
            <w:vMerge w:val="continue"/>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p>
        </w:tc>
        <w:tc>
          <w:tcPr>
            <w:tcW w:w="753" w:type="pc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r>
              <w:rPr>
                <w:sz w:val="21"/>
                <w:szCs w:val="21"/>
                <w:u w:val="none" w:color="auto"/>
              </w:rPr>
              <w:t>生态环境</w:t>
            </w:r>
          </w:p>
        </w:tc>
        <w:tc>
          <w:tcPr>
            <w:tcW w:w="2423" w:type="pc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r>
              <w:rPr>
                <w:sz w:val="21"/>
                <w:szCs w:val="21"/>
                <w:u w:val="none" w:color="auto"/>
              </w:rPr>
              <w:t>优化风机叶片、</w:t>
            </w:r>
            <w:r>
              <w:rPr>
                <w:bCs/>
                <w:sz w:val="21"/>
                <w:szCs w:val="21"/>
                <w:u w:val="none" w:color="auto"/>
              </w:rPr>
              <w:t>生态恢复措施植物群落特征协调性</w:t>
            </w:r>
            <w:r>
              <w:rPr>
                <w:kern w:val="0"/>
                <w:sz w:val="21"/>
                <w:szCs w:val="21"/>
                <w:u w:val="none" w:color="auto"/>
              </w:rPr>
              <w:t>。</w:t>
            </w:r>
          </w:p>
        </w:tc>
        <w:tc>
          <w:tcPr>
            <w:tcW w:w="1401"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left"/>
              <w:rPr>
                <w:kern w:val="0"/>
                <w:sz w:val="21"/>
                <w:szCs w:val="21"/>
                <w:u w:val="none" w:color="auto"/>
              </w:rPr>
            </w:pPr>
            <w:r>
              <w:rPr>
                <w:sz w:val="21"/>
                <w:szCs w:val="21"/>
                <w:u w:val="none" w:color="auto"/>
              </w:rPr>
              <w:t>避免或减少对野生鸟类的影响，减少对区域景观生态环境影响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2" w:type="pct"/>
            <w:vMerge w:val="continue"/>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p>
        </w:tc>
        <w:tc>
          <w:tcPr>
            <w:tcW w:w="753" w:type="pct"/>
            <w:tcBorders>
              <w:tl2br w:val="nil"/>
              <w:tr2bl w:val="nil"/>
            </w:tcBorders>
            <w:shd w:val="clear" w:color="auto" w:fill="auto"/>
            <w:vAlign w:val="center"/>
          </w:tcPr>
          <w:p>
            <w:pPr>
              <w:widowControl/>
              <w:tabs>
                <w:tab w:val="clear" w:pos="480"/>
              </w:tabs>
              <w:adjustRightInd w:val="0"/>
              <w:snapToGrid w:val="0"/>
              <w:spacing w:line="240" w:lineRule="auto"/>
              <w:ind w:firstLine="0" w:firstLineChars="0"/>
              <w:jc w:val="center"/>
              <w:rPr>
                <w:sz w:val="21"/>
                <w:szCs w:val="21"/>
                <w:u w:val="none" w:color="auto"/>
              </w:rPr>
            </w:pPr>
            <w:r>
              <w:rPr>
                <w:sz w:val="21"/>
                <w:szCs w:val="21"/>
                <w:u w:val="none" w:color="auto"/>
              </w:rPr>
              <w:t>环境风险</w:t>
            </w:r>
          </w:p>
        </w:tc>
        <w:tc>
          <w:tcPr>
            <w:tcW w:w="2423"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jc w:val="center"/>
              <w:rPr>
                <w:rFonts w:hint="eastAsia" w:eastAsia="宋体"/>
                <w:kern w:val="0"/>
                <w:sz w:val="21"/>
                <w:szCs w:val="21"/>
                <w:u w:val="none" w:color="auto"/>
                <w:lang w:eastAsia="zh-CN"/>
              </w:rPr>
            </w:pPr>
            <w:r>
              <w:rPr>
                <w:rFonts w:hint="eastAsia"/>
                <w:sz w:val="21"/>
                <w:szCs w:val="21"/>
                <w:u w:val="none" w:color="auto"/>
              </w:rPr>
              <w:t>箱变底部各设置1个集油池；主变压器设置</w:t>
            </w:r>
            <w:r>
              <w:rPr>
                <w:rFonts w:hint="eastAsia"/>
                <w:sz w:val="21"/>
                <w:szCs w:val="21"/>
                <w:u w:val="none" w:color="auto"/>
                <w:lang w:val="en-US" w:eastAsia="zh-CN"/>
              </w:rPr>
              <w:t>90</w:t>
            </w:r>
            <w:r>
              <w:rPr>
                <w:rFonts w:hint="eastAsia"/>
                <w:sz w:val="21"/>
                <w:szCs w:val="21"/>
                <w:u w:val="none" w:color="auto"/>
              </w:rPr>
              <w:t>m</w:t>
            </w:r>
            <w:r>
              <w:rPr>
                <w:sz w:val="21"/>
                <w:szCs w:val="21"/>
                <w:u w:val="none" w:color="auto"/>
                <w:vertAlign w:val="superscript"/>
              </w:rPr>
              <w:t>3</w:t>
            </w:r>
            <w:r>
              <w:rPr>
                <w:rFonts w:hint="eastAsia"/>
                <w:sz w:val="21"/>
                <w:szCs w:val="21"/>
                <w:u w:val="none" w:color="auto"/>
              </w:rPr>
              <w:t>的事故油池</w:t>
            </w:r>
            <w:r>
              <w:rPr>
                <w:rFonts w:hint="eastAsia"/>
                <w:sz w:val="21"/>
                <w:szCs w:val="21"/>
                <w:u w:val="none" w:color="auto"/>
                <w:lang w:eastAsia="zh-CN"/>
              </w:rPr>
              <w:t>。</w:t>
            </w:r>
          </w:p>
        </w:tc>
        <w:tc>
          <w:tcPr>
            <w:tcW w:w="1401" w:type="pct"/>
            <w:tcBorders>
              <w:tl2br w:val="nil"/>
              <w:tr2bl w:val="nil"/>
            </w:tcBorders>
            <w:shd w:val="clear" w:color="auto" w:fill="auto"/>
            <w:vAlign w:val="center"/>
          </w:tcPr>
          <w:p>
            <w:pPr>
              <w:widowControl/>
              <w:tabs>
                <w:tab w:val="clear" w:pos="480"/>
              </w:tabs>
              <w:autoSpaceDE w:val="0"/>
              <w:autoSpaceDN w:val="0"/>
              <w:adjustRightInd w:val="0"/>
              <w:snapToGrid w:val="0"/>
              <w:spacing w:line="240" w:lineRule="auto"/>
              <w:ind w:firstLine="0" w:firstLineChars="0"/>
              <w:rPr>
                <w:kern w:val="0"/>
                <w:sz w:val="21"/>
                <w:szCs w:val="21"/>
                <w:u w:val="none" w:color="auto"/>
              </w:rPr>
            </w:pPr>
            <w:r>
              <w:rPr>
                <w:kern w:val="0"/>
                <w:sz w:val="21"/>
                <w:szCs w:val="21"/>
                <w:u w:val="none" w:color="auto"/>
              </w:rPr>
              <w:t>环境风险控制在可接受的水平。</w:t>
            </w:r>
          </w:p>
        </w:tc>
      </w:tr>
    </w:tbl>
    <w:p>
      <w:pPr>
        <w:pStyle w:val="151"/>
        <w:rPr>
          <w:rFonts w:hint="eastAsia" w:ascii="Times New Roman" w:hAnsi="Times New Roman" w:cs="Times New Roman"/>
          <w:color w:val="000000" w:themeColor="text1"/>
          <w:u w:val="none" w:color="auto"/>
          <w:lang w:eastAsia="zh-CN"/>
          <w14:textFill>
            <w14:solidFill>
              <w14:schemeClr w14:val="tx1"/>
            </w14:solidFill>
          </w14:textFill>
        </w:rPr>
        <w:sectPr>
          <w:pgSz w:w="11905"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3" w:charSpace="0"/>
        </w:sectPr>
      </w:pPr>
    </w:p>
    <w:p>
      <w:pPr>
        <w:pStyle w:val="461"/>
        <w:bidi w:val="0"/>
        <w:rPr>
          <w:rFonts w:ascii="Times New Roman" w:hAnsi="Times New Roman" w:cs="Times New Roman"/>
          <w:color w:val="000000" w:themeColor="text1"/>
          <w:u w:val="none" w:color="auto"/>
          <w14:textFill>
            <w14:solidFill>
              <w14:schemeClr w14:val="tx1"/>
            </w14:solidFill>
          </w14:textFill>
        </w:rPr>
      </w:pPr>
      <w:bookmarkStart w:id="200" w:name="_Toc13022399"/>
      <w:bookmarkStart w:id="201" w:name="_Toc18773501"/>
      <w:bookmarkStart w:id="202" w:name="_Toc12953652"/>
      <w:bookmarkStart w:id="203" w:name="_Toc12959091"/>
      <w:bookmarkStart w:id="204" w:name="_Toc12960238"/>
      <w:bookmarkStart w:id="205" w:name="_Toc12960137"/>
      <w:bookmarkStart w:id="206" w:name="_Toc12959572"/>
      <w:r>
        <w:rPr>
          <w:rFonts w:hint="eastAsia" w:ascii="Times New Roman" w:hAnsi="Times New Roman" w:cs="Times New Roman"/>
          <w:color w:val="000000" w:themeColor="text1"/>
          <w:u w:val="none" w:color="auto"/>
          <w:lang w:val="en-US" w:eastAsia="zh-CN"/>
          <w14:textFill>
            <w14:solidFill>
              <w14:schemeClr w14:val="tx1"/>
            </w14:solidFill>
          </w14:textFill>
        </w:rPr>
        <w:t xml:space="preserve"> </w:t>
      </w:r>
      <w:bookmarkEnd w:id="200"/>
      <w:bookmarkEnd w:id="201"/>
      <w:bookmarkEnd w:id="202"/>
      <w:bookmarkEnd w:id="203"/>
      <w:bookmarkEnd w:id="204"/>
      <w:bookmarkEnd w:id="205"/>
      <w:bookmarkEnd w:id="206"/>
      <w:r>
        <w:rPr>
          <w:rFonts w:hint="eastAsia" w:ascii="Times New Roman" w:hAnsi="Times New Roman" w:cs="Times New Roman"/>
          <w:color w:val="000000" w:themeColor="text1"/>
          <w:u w:val="none" w:color="auto"/>
          <w:lang w:val="en-US" w:eastAsia="zh-CN"/>
          <w14:textFill>
            <w14:solidFill>
              <w14:schemeClr w14:val="tx1"/>
            </w14:solidFill>
          </w14:textFill>
        </w:rPr>
        <w:t xml:space="preserve"> </w:t>
      </w:r>
      <w:bookmarkStart w:id="207" w:name="_Toc16949"/>
      <w:r>
        <w:rPr>
          <w:rFonts w:ascii="Times New Roman" w:hAnsi="Times New Roman" w:cs="Times New Roman"/>
          <w:color w:val="000000" w:themeColor="text1"/>
          <w:u w:val="none" w:color="auto"/>
          <w14:textFill>
            <w14:solidFill>
              <w14:schemeClr w14:val="tx1"/>
            </w14:solidFill>
          </w14:textFill>
        </w:rPr>
        <w:t>结论</w:t>
      </w:r>
      <w:bookmarkEnd w:id="207"/>
    </w:p>
    <w:p>
      <w:pPr>
        <w:pStyle w:val="457"/>
        <w:ind w:firstLine="643"/>
        <w:rPr>
          <w:rFonts w:hint="default" w:ascii="Times New Roman" w:cs="Times New Roman"/>
          <w:color w:val="000000" w:themeColor="text1"/>
          <w:u w:val="none" w:color="auto"/>
          <w:lang w:eastAsia="zh-CN"/>
          <w14:textFill>
            <w14:solidFill>
              <w14:schemeClr w14:val="tx1"/>
            </w14:solidFill>
          </w14:textFill>
        </w:rPr>
      </w:pPr>
      <w:bookmarkStart w:id="208" w:name="_Toc15682"/>
      <w:bookmarkStart w:id="209" w:name="_Toc11835_WPSOffice_Level2"/>
      <w:bookmarkStart w:id="210" w:name="_Toc23457"/>
      <w:bookmarkStart w:id="211" w:name="_Toc27173_WPSOffice_Level2"/>
      <w:bookmarkStart w:id="212" w:name="_Toc15529"/>
      <w:bookmarkStart w:id="213" w:name="_Toc32253_WPSOffice_Level2"/>
      <w:bookmarkStart w:id="214" w:name="_Toc30380_WPSOffice_Level2"/>
      <w:bookmarkStart w:id="215" w:name="_Toc61423281"/>
      <w:bookmarkStart w:id="216" w:name="_Toc25235"/>
      <w:bookmarkStart w:id="217" w:name="_Toc27536_WPSOffice_Level2"/>
      <w:bookmarkStart w:id="218" w:name="_Toc393721005"/>
      <w:r>
        <w:rPr>
          <w:rFonts w:hint="default" w:ascii="Times New Roman" w:cs="Times New Roman"/>
          <w:color w:val="000000" w:themeColor="text1"/>
          <w:u w:val="none" w:color="auto"/>
          <w:lang w:eastAsia="zh-CN"/>
          <w14:textFill>
            <w14:solidFill>
              <w14:schemeClr w14:val="tx1"/>
            </w14:solidFill>
          </w14:textFill>
        </w:rPr>
        <w:t>项目概况</w:t>
      </w:r>
      <w:bookmarkEnd w:id="208"/>
    </w:p>
    <w:p>
      <w:pPr>
        <w:bidi w:val="0"/>
        <w:rPr>
          <w:rFonts w:hint="eastAsia" w:eastAsia="宋体"/>
          <w:lang w:val="en-US" w:eastAsia="zh-CN"/>
        </w:rPr>
      </w:pPr>
      <w:r>
        <w:rPr>
          <w:rFonts w:hint="default"/>
        </w:rPr>
        <w:t>项目名称：</w:t>
      </w:r>
      <w:r>
        <w:rPr>
          <w:rFonts w:hint="eastAsia"/>
        </w:rPr>
        <w:t>湖南华电永州蓝山大源风电项目</w:t>
      </w:r>
      <w:r>
        <w:rPr>
          <w:rFonts w:hint="eastAsia"/>
          <w:lang w:val="en-US" w:eastAsia="zh-CN"/>
        </w:rPr>
        <w:t>变更</w:t>
      </w:r>
    </w:p>
    <w:p>
      <w:pPr>
        <w:bidi w:val="0"/>
        <w:rPr>
          <w:rFonts w:hint="default"/>
        </w:rPr>
      </w:pPr>
      <w:r>
        <w:rPr>
          <w:rFonts w:hint="default"/>
        </w:rPr>
        <w:t>建设性质：新建</w:t>
      </w:r>
    </w:p>
    <w:p>
      <w:pPr>
        <w:bidi w:val="0"/>
        <w:rPr>
          <w:rFonts w:hint="default"/>
          <w:lang w:eastAsia="zh-CN"/>
        </w:rPr>
      </w:pPr>
      <w:r>
        <w:rPr>
          <w:rFonts w:hint="default"/>
        </w:rPr>
        <w:t>建设单位：</w:t>
      </w:r>
      <w:r>
        <w:rPr>
          <w:rFonts w:hint="eastAsia"/>
        </w:rPr>
        <w:t>湖南华电</w:t>
      </w:r>
      <w:r>
        <w:rPr>
          <w:rFonts w:hint="eastAsia"/>
          <w:lang w:val="en-US" w:eastAsia="zh-CN"/>
        </w:rPr>
        <w:t>永蓝</w:t>
      </w:r>
      <w:r>
        <w:rPr>
          <w:rFonts w:hint="eastAsia"/>
        </w:rPr>
        <w:t>新能源有限公司</w:t>
      </w:r>
    </w:p>
    <w:p>
      <w:pPr>
        <w:bidi w:val="0"/>
      </w:pPr>
      <w:r>
        <w:rPr>
          <w:rFonts w:hint="default"/>
        </w:rPr>
        <w:t>建设地点：</w:t>
      </w:r>
      <w:r>
        <w:rPr>
          <w:rFonts w:hint="eastAsia"/>
        </w:rPr>
        <w:t>永州市蓝山县汇源瑶族乡</w:t>
      </w:r>
      <w:r>
        <w:rPr>
          <w:rFonts w:hint="eastAsia"/>
          <w:lang w:eastAsia="zh-CN"/>
        </w:rPr>
        <w:t>、</w:t>
      </w:r>
      <w:r>
        <w:rPr>
          <w:rFonts w:hint="eastAsia"/>
          <w:lang w:val="en-US" w:eastAsia="zh-CN"/>
        </w:rPr>
        <w:t>所城镇</w:t>
      </w:r>
    </w:p>
    <w:p>
      <w:pPr>
        <w:bidi w:val="0"/>
        <w:rPr>
          <w:rFonts w:hint="eastAsia" w:eastAsia="宋体"/>
          <w:color w:val="0000FF"/>
          <w:u w:val="none"/>
          <w:vertAlign w:val="baseline"/>
          <w:lang w:val="en-US" w:eastAsia="zh-CN"/>
        </w:rPr>
      </w:pPr>
      <w:r>
        <w:rPr>
          <w:rFonts w:hint="default"/>
        </w:rPr>
        <w:t>建设</w:t>
      </w:r>
      <w:r>
        <w:rPr>
          <w:rFonts w:hint="eastAsia"/>
          <w:lang w:eastAsia="zh-CN"/>
        </w:rPr>
        <w:t>内容与</w:t>
      </w:r>
      <w:r>
        <w:rPr>
          <w:rFonts w:hint="default"/>
        </w:rPr>
        <w:t>规模：</w:t>
      </w:r>
      <w:r>
        <w:rPr>
          <w:rFonts w:hint="eastAsia" w:cs="Times New Roman"/>
          <w:sz w:val="24"/>
          <w:szCs w:val="24"/>
          <w:u w:val="none" w:color="auto"/>
          <w:lang w:val="en-US" w:eastAsia="zh-CN"/>
        </w:rPr>
        <w:t>项目设计安装15</w:t>
      </w:r>
      <w:r>
        <w:rPr>
          <w:rFonts w:hint="default" w:ascii="Times New Roman" w:hAnsi="Times New Roman" w:cs="Times New Roman"/>
          <w:sz w:val="24"/>
          <w:u w:val="none" w:color="auto"/>
        </w:rPr>
        <w:t>台单机容量为</w:t>
      </w:r>
      <w:r>
        <w:rPr>
          <w:rFonts w:hint="eastAsia" w:cs="Times New Roman"/>
          <w:sz w:val="24"/>
          <w:u w:val="none" w:color="auto"/>
          <w:lang w:val="en-US" w:eastAsia="zh-CN"/>
        </w:rPr>
        <w:t>5.0</w:t>
      </w:r>
      <w:r>
        <w:rPr>
          <w:rFonts w:hint="default" w:ascii="Times New Roman" w:hAnsi="Times New Roman" w:cs="Times New Roman"/>
          <w:sz w:val="24"/>
          <w:u w:val="none" w:color="auto"/>
        </w:rPr>
        <w:t>MW</w:t>
      </w:r>
      <w:r>
        <w:rPr>
          <w:rFonts w:hint="eastAsia" w:ascii="Times New Roman" w:hAnsi="Times New Roman" w:cs="Times New Roman"/>
          <w:sz w:val="24"/>
          <w:u w:val="none" w:color="auto"/>
          <w:lang w:val="en-US" w:eastAsia="zh-CN"/>
        </w:rPr>
        <w:t>的风力发电机组，</w:t>
      </w:r>
      <w:r>
        <w:rPr>
          <w:rFonts w:hint="default" w:ascii="Times New Roman" w:hAnsi="Times New Roman" w:cs="Times New Roman"/>
          <w:sz w:val="24"/>
          <w:u w:val="none" w:color="auto"/>
        </w:rPr>
        <w:t>总装机</w:t>
      </w:r>
      <w:r>
        <w:rPr>
          <w:rFonts w:hint="eastAsia" w:ascii="Times New Roman" w:hAnsi="Times New Roman" w:cs="Times New Roman"/>
          <w:sz w:val="24"/>
          <w:u w:val="none" w:color="auto"/>
          <w:lang w:val="en-US" w:eastAsia="zh-CN"/>
        </w:rPr>
        <w:t>规模</w:t>
      </w:r>
      <w:r>
        <w:rPr>
          <w:rFonts w:hint="default" w:ascii="Times New Roman" w:hAnsi="Times New Roman" w:cs="Times New Roman"/>
          <w:sz w:val="24"/>
          <w:u w:val="none" w:color="auto"/>
        </w:rPr>
        <w:t>为</w:t>
      </w:r>
      <w:r>
        <w:rPr>
          <w:rFonts w:hint="eastAsia" w:cs="Times New Roman"/>
          <w:sz w:val="24"/>
          <w:u w:val="none" w:color="auto"/>
          <w:lang w:val="en-US" w:eastAsia="zh-CN"/>
        </w:rPr>
        <w:t>75</w:t>
      </w:r>
      <w:r>
        <w:rPr>
          <w:rFonts w:hint="default" w:ascii="Times New Roman" w:hAnsi="Times New Roman" w:cs="Times New Roman"/>
          <w:sz w:val="24"/>
          <w:u w:val="none" w:color="auto"/>
        </w:rPr>
        <w:t>MW</w:t>
      </w:r>
      <w:r>
        <w:rPr>
          <w:rFonts w:hint="eastAsia" w:cs="Times New Roman"/>
          <w:sz w:val="24"/>
          <w:u w:val="none" w:color="auto"/>
          <w:lang w:eastAsia="zh-CN"/>
        </w:rPr>
        <w:t>，</w:t>
      </w:r>
      <w:r>
        <w:rPr>
          <w:rFonts w:hint="eastAsia"/>
          <w:color w:val="auto"/>
          <w:u w:val="none"/>
        </w:rPr>
        <w:t>预计年上网电量为</w:t>
      </w:r>
      <w:r>
        <w:rPr>
          <w:rFonts w:hint="eastAsia"/>
          <w:color w:val="auto"/>
          <w:u w:val="none"/>
          <w:lang w:val="en-US" w:eastAsia="zh-CN"/>
        </w:rPr>
        <w:t>15409</w:t>
      </w:r>
      <w:r>
        <w:rPr>
          <w:rFonts w:hint="eastAsia"/>
          <w:color w:val="auto"/>
          <w:u w:val="none"/>
        </w:rPr>
        <w:t>万kW·h，年等效满负荷小时数为</w:t>
      </w:r>
      <w:r>
        <w:rPr>
          <w:rFonts w:hint="eastAsia"/>
          <w:color w:val="auto"/>
          <w:u w:val="none"/>
          <w:lang w:val="en-US" w:eastAsia="zh-CN"/>
        </w:rPr>
        <w:t>2055</w:t>
      </w:r>
      <w:r>
        <w:rPr>
          <w:rFonts w:hint="eastAsia"/>
          <w:color w:val="auto"/>
          <w:u w:val="none"/>
        </w:rPr>
        <w:t>h，容量系数为0.2</w:t>
      </w:r>
      <w:r>
        <w:rPr>
          <w:rFonts w:hint="eastAsia"/>
          <w:color w:val="auto"/>
          <w:u w:val="none"/>
          <w:lang w:val="en-US" w:eastAsia="zh-CN"/>
        </w:rPr>
        <w:t>35。</w:t>
      </w:r>
      <w:r>
        <w:rPr>
          <w:rFonts w:hint="eastAsia" w:ascii="Times New Roman" w:hAnsi="Times New Roman" w:cs="Times New Roman"/>
          <w:sz w:val="24"/>
          <w:u w:val="none" w:color="auto"/>
          <w:lang w:val="en-US" w:eastAsia="zh-CN"/>
        </w:rPr>
        <w:t>新建一座220</w:t>
      </w:r>
      <w:r>
        <w:rPr>
          <w:rFonts w:hint="eastAsia" w:cs="Times New Roman"/>
          <w:sz w:val="24"/>
          <w:u w:val="none" w:color="auto"/>
          <w:lang w:val="en-US" w:eastAsia="zh-CN"/>
        </w:rPr>
        <w:t>kV</w:t>
      </w:r>
      <w:r>
        <w:rPr>
          <w:rFonts w:hint="eastAsia" w:ascii="Times New Roman" w:hAnsi="Times New Roman" w:cs="Times New Roman"/>
          <w:sz w:val="24"/>
          <w:u w:val="none" w:color="auto"/>
          <w:lang w:val="en-US" w:eastAsia="zh-CN"/>
        </w:rPr>
        <w:t>汇集站，集电线路长度</w:t>
      </w:r>
      <w:r>
        <w:rPr>
          <w:rFonts w:hint="eastAsia" w:cs="Times New Roman"/>
          <w:sz w:val="24"/>
          <w:u w:val="none" w:color="auto"/>
          <w:lang w:val="en-US" w:eastAsia="zh-CN"/>
        </w:rPr>
        <w:t>26.7</w:t>
      </w:r>
      <w:r>
        <w:rPr>
          <w:rFonts w:hint="eastAsia" w:ascii="Times New Roman" w:hAnsi="Times New Roman" w:cs="Times New Roman"/>
          <w:sz w:val="24"/>
          <w:u w:val="none" w:color="auto"/>
          <w:lang w:val="en-US" w:eastAsia="zh-CN"/>
        </w:rPr>
        <w:t>km；</w:t>
      </w:r>
      <w:r>
        <w:rPr>
          <w:rFonts w:hint="eastAsia" w:ascii="Times New Roman" w:hAnsi="Times New Roman" w:eastAsia="宋体" w:cs="Times New Roman"/>
          <w:sz w:val="24"/>
          <w:u w:val="none" w:color="auto"/>
          <w:lang w:val="en-US" w:eastAsia="zh-CN"/>
        </w:rPr>
        <w:t>进场道路</w:t>
      </w:r>
      <w:r>
        <w:rPr>
          <w:rFonts w:hint="default" w:ascii="Times New Roman" w:hAnsi="Times New Roman" w:eastAsia="宋体" w:cs="Times New Roman"/>
          <w:sz w:val="24"/>
          <w:u w:val="none" w:color="auto"/>
          <w:lang w:val="en-US" w:eastAsia="zh-CN"/>
        </w:rPr>
        <w:t>依托</w:t>
      </w:r>
      <w:r>
        <w:rPr>
          <w:rFonts w:hint="eastAsia" w:ascii="Times New Roman" w:hAnsi="Times New Roman" w:eastAsia="宋体" w:cs="Times New Roman"/>
          <w:sz w:val="24"/>
          <w:u w:val="none" w:color="auto"/>
          <w:lang w:val="en-US" w:eastAsia="zh-CN"/>
        </w:rPr>
        <w:t>现有</w:t>
      </w:r>
      <w:r>
        <w:rPr>
          <w:rFonts w:hint="default" w:ascii="Times New Roman" w:hAnsi="Times New Roman" w:eastAsia="宋体" w:cs="Times New Roman"/>
          <w:sz w:val="24"/>
          <w:u w:val="none" w:color="auto"/>
          <w:lang w:val="en-US" w:eastAsia="zh-CN"/>
        </w:rPr>
        <w:t>防火巡护林道</w:t>
      </w:r>
      <w:r>
        <w:rPr>
          <w:rFonts w:hint="eastAsia" w:ascii="Times New Roman" w:hAnsi="Times New Roman" w:eastAsia="宋体" w:cs="Times New Roman"/>
          <w:sz w:val="24"/>
          <w:u w:val="none" w:color="auto"/>
          <w:lang w:val="en-US" w:eastAsia="zh-CN"/>
        </w:rPr>
        <w:t>，</w:t>
      </w:r>
      <w:r>
        <w:rPr>
          <w:rFonts w:hint="eastAsia" w:ascii="Times New Roman" w:hAnsi="Times New Roman" w:cs="Times New Roman"/>
          <w:sz w:val="24"/>
          <w:u w:val="none" w:color="auto"/>
          <w:lang w:val="en-US" w:eastAsia="zh-CN"/>
        </w:rPr>
        <w:t>新建场内道路</w:t>
      </w:r>
      <w:r>
        <w:rPr>
          <w:rFonts w:hint="eastAsia"/>
          <w:u w:val="none" w:color="auto"/>
          <w:lang w:val="en-US" w:eastAsia="zh-CN" w:bidi="ar"/>
        </w:rPr>
        <w:t>长度</w:t>
      </w:r>
      <w:r>
        <w:rPr>
          <w:rFonts w:hint="eastAsia" w:cs="Times New Roman"/>
          <w:sz w:val="24"/>
          <w:u w:val="none" w:color="auto"/>
          <w:lang w:val="en-US" w:eastAsia="zh-CN"/>
        </w:rPr>
        <w:t>22.5</w:t>
      </w:r>
      <w:r>
        <w:rPr>
          <w:rFonts w:hint="eastAsia" w:ascii="Times New Roman" w:hAnsi="Times New Roman" w:cs="Times New Roman"/>
          <w:sz w:val="24"/>
          <w:u w:val="none" w:color="auto"/>
          <w:lang w:val="en-US" w:eastAsia="zh-CN"/>
        </w:rPr>
        <w:t>km</w:t>
      </w:r>
      <w:r>
        <w:rPr>
          <w:rFonts w:hint="eastAsia" w:ascii="Times New Roman" w:hAnsi="Times New Roman" w:cs="Times New Roman"/>
          <w:sz w:val="24"/>
          <w:szCs w:val="24"/>
          <w:u w:val="none" w:color="auto"/>
          <w:lang w:eastAsia="zh-CN"/>
        </w:rPr>
        <w:t>。</w:t>
      </w:r>
      <w:r>
        <w:rPr>
          <w:rFonts w:hint="eastAsia" w:ascii="Times New Roman" w:hAnsi="Times New Roman" w:cs="Times New Roman"/>
          <w:sz w:val="24"/>
          <w:u w:val="none" w:color="auto"/>
          <w:lang w:val="en-US" w:eastAsia="zh-CN"/>
        </w:rPr>
        <w:t>项目总投资5.01亿元。</w:t>
      </w:r>
    </w:p>
    <w:p>
      <w:pPr>
        <w:spacing w:line="360" w:lineRule="auto"/>
        <w:ind w:firstLine="480" w:firstLineChars="200"/>
        <w:rPr>
          <w:rFonts w:hint="default"/>
          <w:u w:val="none" w:color="auto"/>
        </w:rPr>
      </w:pPr>
      <w:r>
        <w:rPr>
          <w:rFonts w:hint="default"/>
        </w:rPr>
        <w:t>建设工期：12个月。</w:t>
      </w:r>
    </w:p>
    <w:p>
      <w:pPr>
        <w:pStyle w:val="457"/>
        <w:ind w:firstLine="643"/>
        <w:rPr>
          <w:rFonts w:hint="default" w:ascii="Times New Roman" w:cs="Times New Roman"/>
          <w:color w:val="000000" w:themeColor="text1"/>
          <w:u w:val="none" w:color="auto"/>
          <w:lang w:eastAsia="zh-CN"/>
          <w14:textFill>
            <w14:solidFill>
              <w14:schemeClr w14:val="tx1"/>
            </w14:solidFill>
          </w14:textFill>
        </w:rPr>
      </w:pPr>
      <w:bookmarkStart w:id="219" w:name="_Toc1296"/>
      <w:r>
        <w:rPr>
          <w:rFonts w:hint="default" w:ascii="Times New Roman" w:cs="Times New Roman"/>
          <w:color w:val="000000" w:themeColor="text1"/>
          <w:u w:val="none" w:color="auto"/>
          <w:lang w:eastAsia="zh-CN"/>
          <w14:textFill>
            <w14:solidFill>
              <w14:schemeClr w14:val="tx1"/>
            </w14:solidFill>
          </w14:textFill>
        </w:rPr>
        <w:t>区域环境质量现状评价</w:t>
      </w:r>
      <w:bookmarkEnd w:id="219"/>
    </w:p>
    <w:p>
      <w:pPr>
        <w:bidi w:val="0"/>
        <w:rPr>
          <w:rFonts w:hint="default"/>
        </w:rPr>
      </w:pPr>
      <w:r>
        <w:rPr>
          <w:rFonts w:hint="default"/>
        </w:rPr>
        <w:t>（1）环境空气质量现状</w:t>
      </w:r>
    </w:p>
    <w:p>
      <w:pPr>
        <w:bidi w:val="0"/>
        <w:rPr>
          <w:rFonts w:hint="default"/>
        </w:rPr>
      </w:pPr>
      <w:r>
        <w:rPr>
          <w:rFonts w:hint="default"/>
        </w:rPr>
        <w:t>20</w:t>
      </w:r>
      <w:r>
        <w:rPr>
          <w:rFonts w:hint="default"/>
          <w:lang w:val="en-US" w:eastAsia="zh-CN"/>
        </w:rPr>
        <w:t>2</w:t>
      </w:r>
      <w:r>
        <w:rPr>
          <w:rFonts w:hint="eastAsia"/>
          <w:lang w:val="en-US" w:eastAsia="zh-CN"/>
        </w:rPr>
        <w:t>3</w:t>
      </w:r>
      <w:r>
        <w:rPr>
          <w:rFonts w:hint="default"/>
        </w:rPr>
        <w:t>年</w:t>
      </w:r>
      <w:r>
        <w:rPr>
          <w:rFonts w:hint="eastAsia"/>
          <w:lang w:eastAsia="zh-CN"/>
        </w:rPr>
        <w:t>蓝山</w:t>
      </w:r>
      <w:r>
        <w:rPr>
          <w:rFonts w:hint="default"/>
        </w:rPr>
        <w:t>县的常规监测因子年均值均达标，</w:t>
      </w:r>
      <w:r>
        <w:rPr>
          <w:rFonts w:hint="eastAsia"/>
          <w:lang w:eastAsia="zh-CN"/>
        </w:rPr>
        <w:t>蓝山</w:t>
      </w:r>
      <w:r>
        <w:rPr>
          <w:rFonts w:hint="default"/>
        </w:rPr>
        <w:t>县属于环境空气达标区。根据</w:t>
      </w:r>
      <w:r>
        <w:rPr>
          <w:rFonts w:hint="default"/>
          <w:lang w:eastAsia="zh-CN"/>
        </w:rPr>
        <w:t>现状</w:t>
      </w:r>
      <w:r>
        <w:rPr>
          <w:rFonts w:hint="default"/>
        </w:rPr>
        <w:t>监测结果可知，</w:t>
      </w:r>
      <w:r>
        <w:rPr>
          <w:color w:val="auto"/>
          <w:szCs w:val="21"/>
        </w:rPr>
        <w:t>监测期间TSP的监测值满足《环境空气质量标准》(GB3095-2012)中的二级标准要求。</w:t>
      </w:r>
    </w:p>
    <w:p>
      <w:pPr>
        <w:bidi w:val="0"/>
        <w:rPr>
          <w:rFonts w:hint="default"/>
        </w:rPr>
      </w:pPr>
      <w:r>
        <w:rPr>
          <w:rFonts w:hint="default"/>
        </w:rPr>
        <w:t>（2）水环境质量现状</w:t>
      </w:r>
    </w:p>
    <w:p>
      <w:pPr>
        <w:bidi w:val="0"/>
        <w:rPr>
          <w:rFonts w:hint="default"/>
        </w:rPr>
      </w:pPr>
      <w:r>
        <w:rPr>
          <w:rFonts w:hint="eastAsia"/>
          <w:lang w:val="en-US" w:eastAsia="zh-CN"/>
        </w:rPr>
        <w:t>项目周边舜</w:t>
      </w:r>
      <w:r>
        <w:rPr>
          <w:rFonts w:hint="eastAsia" w:ascii="Times New Roman" w:hAnsi="Times New Roman" w:eastAsia="宋体" w:cs="Times New Roman"/>
          <w:lang w:val="en-US" w:eastAsia="zh-CN"/>
        </w:rPr>
        <w:t>水河、新田湾河</w:t>
      </w:r>
      <w:r>
        <w:rPr>
          <w:rFonts w:hint="eastAsia" w:cs="Times New Roman"/>
          <w:lang w:val="en-US" w:eastAsia="zh-CN"/>
        </w:rPr>
        <w:t>的国控</w:t>
      </w:r>
      <w:r>
        <w:rPr>
          <w:rFonts w:hint="eastAsia" w:ascii="Times New Roman" w:hAnsi="Times New Roman" w:eastAsia="宋体" w:cs="Times New Roman"/>
        </w:rPr>
        <w:t>断面</w:t>
      </w:r>
      <w:r>
        <w:rPr>
          <w:rFonts w:hint="eastAsia" w:cs="Times New Roman"/>
          <w:lang w:val="en-US" w:eastAsia="zh-CN"/>
        </w:rPr>
        <w:t>、省控</w:t>
      </w:r>
      <w:r>
        <w:rPr>
          <w:rFonts w:hint="eastAsia" w:ascii="Times New Roman" w:hAnsi="Times New Roman" w:eastAsia="宋体" w:cs="Times New Roman"/>
        </w:rPr>
        <w:t>断面</w:t>
      </w:r>
      <w:r>
        <w:rPr>
          <w:rFonts w:hint="eastAsia" w:cs="Times New Roman"/>
          <w:lang w:val="en-US" w:eastAsia="zh-CN"/>
        </w:rPr>
        <w:t>和饮用水源地</w:t>
      </w:r>
      <w:r>
        <w:rPr>
          <w:rFonts w:hint="eastAsia" w:ascii="Times New Roman" w:hAnsi="Times New Roman" w:eastAsia="宋体" w:cs="Times New Roman"/>
        </w:rPr>
        <w:t>水质良好，各</w:t>
      </w:r>
      <w:r>
        <w:rPr>
          <w:rFonts w:hint="eastAsia"/>
        </w:rPr>
        <w:t>断面可达《地表水环境质量标准》(GB3838-2002)</w:t>
      </w:r>
      <w:r>
        <w:rPr>
          <w:rFonts w:hint="eastAsia"/>
          <w:lang w:val="en-US" w:eastAsia="zh-CN"/>
        </w:rPr>
        <w:t xml:space="preserve"> I类或</w:t>
      </w:r>
      <w:r>
        <w:rPr>
          <w:rFonts w:hint="eastAsia"/>
        </w:rPr>
        <w:t>II类水质标准，优于Ⅲ类水质标准。</w:t>
      </w:r>
      <w:r>
        <w:rPr>
          <w:rFonts w:hint="default"/>
        </w:rPr>
        <w:t>根据</w:t>
      </w:r>
      <w:r>
        <w:rPr>
          <w:rFonts w:hint="default"/>
          <w:lang w:eastAsia="zh-CN"/>
        </w:rPr>
        <w:t>现状</w:t>
      </w:r>
      <w:r>
        <w:rPr>
          <w:rFonts w:hint="default"/>
        </w:rPr>
        <w:t>监测结果可知，</w:t>
      </w:r>
      <w:r>
        <w:rPr>
          <w:rFonts w:hint="eastAsia" w:ascii="宋体" w:hAnsi="宋体" w:cs="Times New Roman"/>
          <w:u w:val="none" w:color="auto"/>
          <w:lang w:val="en-US" w:eastAsia="zh-CN"/>
        </w:rPr>
        <w:t>两江口</w:t>
      </w:r>
      <w:r>
        <w:rPr>
          <w:rFonts w:hint="default" w:ascii="Times New Roman" w:hAnsi="Times New Roman" w:cs="Times New Roman"/>
          <w:color w:val="000000"/>
          <w:sz w:val="24"/>
          <w:u w:val="none" w:color="auto"/>
        </w:rPr>
        <w:t>水库</w:t>
      </w:r>
      <w:r>
        <w:rPr>
          <w:rFonts w:ascii="宋体" w:hAnsi="宋体" w:cs="Times New Roman"/>
          <w:u w:val="none" w:color="auto"/>
        </w:rPr>
        <w:t>各监测因子均符合《地表水环境质量标准》</w:t>
      </w:r>
      <w:r>
        <w:rPr>
          <w:rFonts w:cs="Times New Roman"/>
          <w:u w:val="none" w:color="auto"/>
        </w:rPr>
        <w:t>(GB3838-2002)</w:t>
      </w:r>
      <w:r>
        <w:rPr>
          <w:rFonts w:hint="eastAsia" w:hAnsi="宋体" w:cs="Times New Roman"/>
          <w:u w:val="none" w:color="auto"/>
          <w:lang w:val="en-US" w:eastAsia="zh-CN"/>
        </w:rPr>
        <w:t>II</w:t>
      </w:r>
      <w:r>
        <w:rPr>
          <w:rFonts w:hAnsi="宋体" w:cs="Times New Roman"/>
          <w:u w:val="none" w:color="auto"/>
        </w:rPr>
        <w:t>类标准要求</w:t>
      </w:r>
      <w:r>
        <w:rPr>
          <w:color w:val="000000" w:themeColor="text1"/>
          <w:sz w:val="24"/>
          <w:szCs w:val="24"/>
          <w:u w:val="none" w:color="auto"/>
          <w14:textFill>
            <w14:solidFill>
              <w14:schemeClr w14:val="tx1"/>
            </w14:solidFill>
          </w14:textFill>
        </w:rPr>
        <w:t>。</w:t>
      </w:r>
    </w:p>
    <w:p>
      <w:pPr>
        <w:bidi w:val="0"/>
        <w:rPr>
          <w:rFonts w:hint="default"/>
        </w:rPr>
      </w:pPr>
      <w:r>
        <w:rPr>
          <w:rFonts w:hint="default"/>
        </w:rPr>
        <w:t>（3）声环境质量现状</w:t>
      </w:r>
    </w:p>
    <w:p>
      <w:pPr>
        <w:bidi w:val="0"/>
        <w:rPr>
          <w:rFonts w:hint="default"/>
        </w:rPr>
      </w:pPr>
      <w:r>
        <w:rPr>
          <w:rFonts w:hint="default"/>
        </w:rPr>
        <w:t>区域声环境质量能达到《声环境质量标准》（GB3096-2008）中的2类标准，区域声环境质量良好。</w:t>
      </w:r>
    </w:p>
    <w:p>
      <w:pPr>
        <w:bidi w:val="0"/>
        <w:rPr>
          <w:rFonts w:hint="default"/>
          <w:lang w:eastAsia="zh-CN"/>
        </w:rPr>
      </w:pPr>
      <w:r>
        <w:rPr>
          <w:rFonts w:hint="default"/>
          <w:lang w:eastAsia="zh-CN"/>
        </w:rPr>
        <w:t>（</w:t>
      </w:r>
      <w:r>
        <w:rPr>
          <w:rFonts w:hint="default"/>
          <w:lang w:val="en-US" w:eastAsia="zh-CN"/>
        </w:rPr>
        <w:t>4</w:t>
      </w:r>
      <w:r>
        <w:rPr>
          <w:rFonts w:hint="default"/>
          <w:lang w:eastAsia="zh-CN"/>
        </w:rPr>
        <w:t>）生态环境现状</w:t>
      </w:r>
    </w:p>
    <w:p>
      <w:pPr>
        <w:bidi w:val="0"/>
        <w:rPr>
          <w:rFonts w:hint="default"/>
        </w:rPr>
      </w:pPr>
      <w:r>
        <w:rPr>
          <w:rFonts w:hint="eastAsia"/>
        </w:rPr>
        <w:t>评价区土地类型以灌草地、林地为主。林地主要为有林地、疏林地、灌木林地，有林地广泛分布于各施工区，主要为防护林和经济林地；疏林地多分布于山坡下部沟谷区；灌木林地多分布山脊区及路边。评价区灌草地广泛分布于山坡中上部和山脊区。耕地、建设用地、水域主要分布于山坡下部平缓区。</w:t>
      </w:r>
    </w:p>
    <w:p>
      <w:pPr>
        <w:bidi w:val="0"/>
        <w:rPr>
          <w:rFonts w:hint="default"/>
          <w:sz w:val="24"/>
          <w:szCs w:val="24"/>
        </w:rPr>
      </w:pPr>
      <w:r>
        <w:rPr>
          <w:rFonts w:hint="eastAsia" w:ascii="Times New Roman" w:hAnsi="Times New Roman" w:eastAsia="宋体" w:cs="Times New Roman"/>
        </w:rPr>
        <w:t>评价区自然植被初步划分为4个植被型</w:t>
      </w:r>
      <w:r>
        <w:rPr>
          <w:rFonts w:hint="eastAsia" w:ascii="Times New Roman" w:hAnsi="Times New Roman" w:eastAsia="宋体" w:cs="Times New Roman"/>
          <w:sz w:val="24"/>
          <w:szCs w:val="24"/>
        </w:rPr>
        <w:t>组、6个植被型、9个群系。</w:t>
      </w:r>
      <w:r>
        <w:rPr>
          <w:rFonts w:hint="default"/>
          <w:sz w:val="24"/>
          <w:szCs w:val="24"/>
        </w:rPr>
        <w:t>分别有杉木林、</w:t>
      </w:r>
      <w:r>
        <w:rPr>
          <w:rFonts w:hint="eastAsia"/>
          <w:sz w:val="24"/>
          <w:szCs w:val="24"/>
          <w:lang w:val="en-US" w:eastAsia="zh-CN"/>
        </w:rPr>
        <w:t>马尾</w:t>
      </w:r>
      <w:r>
        <w:rPr>
          <w:rFonts w:hint="default"/>
          <w:sz w:val="24"/>
          <w:szCs w:val="24"/>
        </w:rPr>
        <w:t>松林、</w:t>
      </w:r>
      <w:r>
        <w:rPr>
          <w:rFonts w:hint="eastAsia"/>
          <w:sz w:val="24"/>
          <w:szCs w:val="24"/>
          <w:lang w:val="en-US" w:eastAsia="zh-CN"/>
        </w:rPr>
        <w:t>毛竹</w:t>
      </w:r>
      <w:r>
        <w:rPr>
          <w:rFonts w:hint="default"/>
          <w:sz w:val="24"/>
          <w:szCs w:val="24"/>
        </w:rPr>
        <w:t>林、</w:t>
      </w:r>
      <w:r>
        <w:rPr>
          <w:rFonts w:hint="eastAsia" w:ascii="Times New Roman" w:hAnsi="Times New Roman" w:eastAsia="宋体" w:cs="Times New Roman"/>
          <w:i w:val="0"/>
          <w:iCs w:val="0"/>
          <w:color w:val="000000"/>
          <w:kern w:val="0"/>
          <w:sz w:val="24"/>
          <w:szCs w:val="24"/>
          <w:u w:val="none" w:color="auto"/>
          <w:lang w:val="en-US" w:eastAsia="zh-CN" w:bidi="ar"/>
        </w:rPr>
        <w:t>大叶胡枝子灌丛</w:t>
      </w:r>
      <w:r>
        <w:rPr>
          <w:rFonts w:hint="default"/>
          <w:sz w:val="24"/>
          <w:szCs w:val="24"/>
        </w:rPr>
        <w:t>、</w:t>
      </w:r>
      <w:r>
        <w:rPr>
          <w:rFonts w:hint="eastAsia" w:ascii="Times New Roman" w:hAnsi="Times New Roman" w:eastAsia="宋体" w:cs="Times New Roman"/>
          <w:i w:val="0"/>
          <w:iCs w:val="0"/>
          <w:color w:val="000000"/>
          <w:kern w:val="0"/>
          <w:sz w:val="24"/>
          <w:szCs w:val="24"/>
          <w:u w:val="none" w:color="auto"/>
          <w:lang w:val="en-US" w:eastAsia="zh-CN" w:bidi="ar"/>
        </w:rPr>
        <w:t>锐齿槲栎灌丛</w:t>
      </w:r>
      <w:r>
        <w:rPr>
          <w:rFonts w:hint="default"/>
          <w:sz w:val="24"/>
          <w:szCs w:val="24"/>
        </w:rPr>
        <w:t>、</w:t>
      </w:r>
      <w:r>
        <w:rPr>
          <w:rFonts w:hint="eastAsia" w:ascii="Times New Roman" w:hAnsi="Times New Roman" w:eastAsia="宋体" w:cs="Times New Roman"/>
          <w:i w:val="0"/>
          <w:iCs w:val="0"/>
          <w:color w:val="000000"/>
          <w:kern w:val="0"/>
          <w:sz w:val="24"/>
          <w:szCs w:val="24"/>
          <w:u w:val="none" w:color="auto"/>
          <w:lang w:val="en-US" w:eastAsia="zh-CN" w:bidi="ar"/>
        </w:rPr>
        <w:t>油茶灌丛</w:t>
      </w:r>
      <w:r>
        <w:rPr>
          <w:rFonts w:hint="default"/>
          <w:sz w:val="24"/>
          <w:szCs w:val="24"/>
        </w:rPr>
        <w:t>、</w:t>
      </w:r>
      <w:r>
        <w:rPr>
          <w:rFonts w:hint="eastAsia" w:ascii="Times New Roman" w:hAnsi="Times New Roman" w:eastAsia="宋体" w:cs="Times New Roman"/>
          <w:i w:val="0"/>
          <w:iCs w:val="0"/>
          <w:color w:val="000000"/>
          <w:kern w:val="0"/>
          <w:sz w:val="24"/>
          <w:szCs w:val="24"/>
          <w:u w:val="none" w:color="auto"/>
          <w:lang w:val="en-US" w:eastAsia="zh-CN" w:bidi="ar"/>
        </w:rPr>
        <w:t>橙香海桐灌丛</w:t>
      </w:r>
      <w:r>
        <w:rPr>
          <w:rFonts w:hint="default"/>
          <w:sz w:val="24"/>
          <w:szCs w:val="24"/>
        </w:rPr>
        <w:t>、</w:t>
      </w:r>
      <w:r>
        <w:rPr>
          <w:rFonts w:hint="eastAsia" w:ascii="Times New Roman" w:hAnsi="Times New Roman" w:eastAsia="宋体" w:cs="Times New Roman"/>
          <w:i w:val="0"/>
          <w:iCs w:val="0"/>
          <w:color w:val="000000"/>
          <w:kern w:val="0"/>
          <w:sz w:val="24"/>
          <w:szCs w:val="24"/>
          <w:u w:val="none" w:color="auto"/>
          <w:lang w:val="en-US" w:eastAsia="zh-CN" w:bidi="ar"/>
        </w:rPr>
        <w:t>五节芒草丛</w:t>
      </w:r>
      <w:r>
        <w:rPr>
          <w:rFonts w:hint="default"/>
          <w:sz w:val="24"/>
          <w:szCs w:val="24"/>
        </w:rPr>
        <w:t>、</w:t>
      </w:r>
      <w:r>
        <w:rPr>
          <w:rFonts w:hint="eastAsia" w:ascii="Times New Roman" w:hAnsi="Times New Roman" w:eastAsia="宋体" w:cs="Times New Roman"/>
          <w:i w:val="0"/>
          <w:iCs w:val="0"/>
          <w:color w:val="000000"/>
          <w:kern w:val="0"/>
          <w:sz w:val="24"/>
          <w:szCs w:val="24"/>
          <w:u w:val="none" w:color="auto"/>
          <w:lang w:val="en-US" w:eastAsia="zh-CN" w:bidi="ar"/>
        </w:rPr>
        <w:t>蕨灌草丛</w:t>
      </w:r>
      <w:r>
        <w:rPr>
          <w:rFonts w:hint="default"/>
          <w:sz w:val="24"/>
          <w:szCs w:val="24"/>
        </w:rPr>
        <w:t>等。评价区内暂未发现重点保护野生植物。</w:t>
      </w:r>
    </w:p>
    <w:p>
      <w:pPr>
        <w:bidi w:val="0"/>
        <w:rPr>
          <w:rFonts w:hint="eastAsia" w:cs="Times New Roman"/>
          <w:szCs w:val="24"/>
          <w:u w:val="none" w:color="auto"/>
          <w:lang w:eastAsia="zh-CN"/>
        </w:rPr>
      </w:pPr>
      <w:r>
        <w:t>评价区范围内共有陆生野生脊椎动物4纲</w:t>
      </w:r>
      <w:r>
        <w:rPr>
          <w:rFonts w:hint="eastAsia"/>
        </w:rPr>
        <w:t>11</w:t>
      </w:r>
      <w:r>
        <w:t>目</w:t>
      </w:r>
      <w:r>
        <w:rPr>
          <w:rFonts w:hint="eastAsia"/>
        </w:rPr>
        <w:t>36</w:t>
      </w:r>
      <w:r>
        <w:t>科</w:t>
      </w:r>
      <w:r>
        <w:rPr>
          <w:rFonts w:hint="eastAsia"/>
        </w:rPr>
        <w:t>84</w:t>
      </w:r>
      <w:r>
        <w:t>种。评价区内无国家Ⅰ级重点保护野生动物，有国家Ⅱ级重点保护野生动物</w:t>
      </w:r>
      <w:r>
        <w:rPr>
          <w:rFonts w:hint="eastAsia"/>
          <w:lang w:val="en-US" w:eastAsia="zh-CN"/>
        </w:rPr>
        <w:t>7</w:t>
      </w:r>
      <w:r>
        <w:t>种，有湖南省级重点保护野生动物</w:t>
      </w:r>
      <w:r>
        <w:rPr>
          <w:rFonts w:hint="eastAsia"/>
          <w:lang w:val="en-US" w:eastAsia="zh-CN"/>
        </w:rPr>
        <w:t>56</w:t>
      </w:r>
      <w:r>
        <w:t>种。</w:t>
      </w:r>
    </w:p>
    <w:p>
      <w:pPr>
        <w:pStyle w:val="457"/>
        <w:ind w:firstLine="643"/>
        <w:rPr>
          <w:rFonts w:hint="default" w:ascii="Times New Roman" w:cs="Times New Roman"/>
          <w:color w:val="000000" w:themeColor="text1"/>
          <w:u w:val="none" w:color="auto"/>
          <w:lang w:eastAsia="zh-CN"/>
          <w14:textFill>
            <w14:solidFill>
              <w14:schemeClr w14:val="tx1"/>
            </w14:solidFill>
          </w14:textFill>
        </w:rPr>
      </w:pPr>
      <w:bookmarkStart w:id="220" w:name="_Toc1845"/>
      <w:r>
        <w:rPr>
          <w:rFonts w:hint="default" w:ascii="Times New Roman" w:cs="Times New Roman"/>
          <w:color w:val="000000" w:themeColor="text1"/>
          <w:u w:val="none" w:color="auto"/>
          <w:lang w:eastAsia="zh-CN"/>
          <w14:textFill>
            <w14:solidFill>
              <w14:schemeClr w14:val="tx1"/>
            </w14:solidFill>
          </w14:textFill>
        </w:rPr>
        <w:t>环境影响</w:t>
      </w:r>
      <w:r>
        <w:rPr>
          <w:rFonts w:hint="eastAsia" w:ascii="Times New Roman" w:cs="Times New Roman"/>
          <w:color w:val="000000" w:themeColor="text1"/>
          <w:u w:val="none" w:color="auto"/>
          <w:lang w:val="en-US" w:eastAsia="zh-CN"/>
          <w14:textFill>
            <w14:solidFill>
              <w14:schemeClr w14:val="tx1"/>
            </w14:solidFill>
          </w14:textFill>
        </w:rPr>
        <w:t>预测与分析</w:t>
      </w:r>
      <w:bookmarkEnd w:id="220"/>
    </w:p>
    <w:p>
      <w:pPr>
        <w:pStyle w:val="458"/>
        <w:ind w:firstLine="602"/>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施工期环境影响回顾</w:t>
      </w:r>
    </w:p>
    <w:p>
      <w:pPr>
        <w:bidi w:val="0"/>
        <w:rPr>
          <w:rFonts w:hint="default"/>
        </w:rPr>
      </w:pPr>
      <w:r>
        <w:rPr>
          <w:rFonts w:hint="eastAsia"/>
          <w:lang w:eastAsia="zh-CN"/>
        </w:rPr>
        <w:t>本项目</w:t>
      </w:r>
      <w:r>
        <w:rPr>
          <w:rFonts w:hint="eastAsia"/>
          <w:lang w:val="en-US" w:eastAsia="zh-CN"/>
        </w:rPr>
        <w:t>已于2024年12月建成</w:t>
      </w:r>
      <w:r>
        <w:rPr>
          <w:rFonts w:hint="eastAsia"/>
          <w:lang w:eastAsia="zh-CN"/>
        </w:rPr>
        <w:t>，施工期生态</w:t>
      </w:r>
      <w:r>
        <w:rPr>
          <w:rFonts w:hint="eastAsia"/>
          <w:lang w:val="en-US" w:eastAsia="zh-CN"/>
        </w:rPr>
        <w:t>环境</w:t>
      </w:r>
      <w:r>
        <w:rPr>
          <w:rFonts w:hint="eastAsia"/>
          <w:lang w:eastAsia="zh-CN"/>
        </w:rPr>
        <w:t>影响已形成，本次仅对施工期影响进行回顾性影响分析。</w:t>
      </w:r>
      <w:r>
        <w:rPr>
          <w:rFonts w:hint="eastAsia" w:ascii="Times New Roman" w:hAnsi="Times New Roman" w:eastAsia="宋体" w:cs="宋体"/>
          <w:sz w:val="24"/>
          <w:u w:val="none" w:color="auto"/>
          <w:lang w:val="en-US" w:eastAsia="zh-CN"/>
        </w:rPr>
        <w:t>建设单位在施工过程中采取了水、大气、噪声、固体废物污染防治措施和生态影响减缓措施，采取了水土保持措施，没有发生生态环境破坏和地表水体污染事故。根据调查，</w:t>
      </w:r>
      <w:r>
        <w:rPr>
          <w:rFonts w:hint="eastAsia"/>
          <w:kern w:val="0"/>
          <w:sz w:val="24"/>
          <w:u w:val="none" w:color="auto"/>
        </w:rPr>
        <w:t>施工期间未发生</w:t>
      </w:r>
      <w:r>
        <w:rPr>
          <w:rFonts w:hint="eastAsia"/>
          <w:kern w:val="0"/>
          <w:sz w:val="24"/>
          <w:u w:val="none" w:color="auto"/>
          <w:lang w:eastAsia="zh-CN"/>
        </w:rPr>
        <w:t>环境</w:t>
      </w:r>
      <w:r>
        <w:rPr>
          <w:rFonts w:hint="eastAsia"/>
          <w:kern w:val="0"/>
          <w:sz w:val="24"/>
          <w:u w:val="none" w:color="auto"/>
        </w:rPr>
        <w:t>污染</w:t>
      </w:r>
      <w:r>
        <w:rPr>
          <w:rFonts w:hint="eastAsia"/>
          <w:kern w:val="0"/>
          <w:sz w:val="24"/>
          <w:u w:val="none" w:color="auto"/>
          <w:lang w:eastAsia="zh-CN"/>
        </w:rPr>
        <w:t>和生态破坏</w:t>
      </w:r>
      <w:r>
        <w:rPr>
          <w:rFonts w:hint="eastAsia"/>
          <w:kern w:val="0"/>
          <w:sz w:val="24"/>
          <w:u w:val="none" w:color="auto"/>
        </w:rPr>
        <w:t>投诉事件</w:t>
      </w:r>
      <w:r>
        <w:rPr>
          <w:rFonts w:hint="eastAsia" w:ascii="Times New Roman" w:hAnsi="Times New Roman" w:eastAsia="宋体" w:cs="宋体"/>
          <w:sz w:val="24"/>
          <w:u w:val="none" w:color="auto"/>
          <w:lang w:val="en-US" w:eastAsia="zh-CN"/>
        </w:rPr>
        <w:t>。</w:t>
      </w:r>
    </w:p>
    <w:p>
      <w:pPr>
        <w:pStyle w:val="458"/>
        <w:ind w:firstLine="602"/>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运营期环境影响分析</w:t>
      </w:r>
    </w:p>
    <w:p>
      <w:pPr>
        <w:bidi w:val="0"/>
        <w:rPr>
          <w:rFonts w:hint="default"/>
        </w:rPr>
      </w:pPr>
      <w:r>
        <w:rPr>
          <w:rFonts w:hint="eastAsia"/>
          <w:lang w:val="en-US" w:eastAsia="zh-CN"/>
        </w:rPr>
        <w:t>（1）</w:t>
      </w:r>
      <w:r>
        <w:rPr>
          <w:rFonts w:hint="default"/>
        </w:rPr>
        <w:t>环境空气影响</w:t>
      </w:r>
    </w:p>
    <w:p>
      <w:pPr>
        <w:bidi w:val="0"/>
        <w:rPr>
          <w:rFonts w:hint="default"/>
        </w:rPr>
      </w:pPr>
      <w:r>
        <w:rPr>
          <w:rFonts w:hint="default"/>
        </w:rPr>
        <w:t>本项目运营期产生的大气污染物主要为</w:t>
      </w:r>
      <w:r>
        <w:rPr>
          <w:rFonts w:hint="eastAsia"/>
          <w:lang w:eastAsia="zh-CN"/>
        </w:rPr>
        <w:t>汇集站</w:t>
      </w:r>
      <w:r>
        <w:rPr>
          <w:rFonts w:hint="default"/>
        </w:rPr>
        <w:t>食堂烹饪过程中产生的油烟，由于项目</w:t>
      </w:r>
      <w:r>
        <w:rPr>
          <w:rFonts w:hint="eastAsia"/>
          <w:lang w:eastAsia="zh-CN"/>
        </w:rPr>
        <w:t>汇集站新增</w:t>
      </w:r>
      <w:r>
        <w:rPr>
          <w:rFonts w:hint="default"/>
        </w:rPr>
        <w:t>运营期劳动人数较少，就餐人数少，因而食堂油烟产生量很少，烹饪产生的油烟经油烟净化装置处理后引至屋顶排放，可以达到《饮食业油烟排放标准》（GB18483-2001）小型标准要求，对周围环境影响较小。</w:t>
      </w:r>
    </w:p>
    <w:p>
      <w:pPr>
        <w:bidi w:val="0"/>
        <w:rPr>
          <w:rFonts w:hint="default"/>
        </w:rPr>
      </w:pPr>
      <w:r>
        <w:rPr>
          <w:rFonts w:hint="eastAsia"/>
          <w:lang w:val="en-US" w:eastAsia="zh-CN"/>
        </w:rPr>
        <w:t>（2）</w:t>
      </w:r>
      <w:r>
        <w:rPr>
          <w:rFonts w:hint="default"/>
        </w:rPr>
        <w:t>水环境影响分析结论</w:t>
      </w:r>
    </w:p>
    <w:p>
      <w:pPr>
        <w:bidi w:val="0"/>
        <w:rPr>
          <w:rFonts w:hint="default"/>
        </w:rPr>
      </w:pPr>
      <w:r>
        <w:rPr>
          <w:rFonts w:hint="default"/>
        </w:rPr>
        <w:t>本项目营运期废水主要为</w:t>
      </w:r>
      <w:r>
        <w:rPr>
          <w:rFonts w:hint="eastAsia"/>
          <w:lang w:eastAsia="zh-CN"/>
        </w:rPr>
        <w:t>汇集站</w:t>
      </w:r>
      <w:r>
        <w:rPr>
          <w:rFonts w:hint="default"/>
        </w:rPr>
        <w:t>员工产生的生活污水和食堂废水，</w:t>
      </w:r>
      <w:r>
        <w:rPr>
          <w:rFonts w:hint="eastAsia"/>
          <w:lang w:val="en-US" w:eastAsia="zh-CN"/>
        </w:rPr>
        <w:t>变更后汇集站员工为10人不变，产生的生活污水产生量不变</w:t>
      </w:r>
      <w:r>
        <w:rPr>
          <w:rFonts w:hint="default"/>
        </w:rPr>
        <w:t>，</w:t>
      </w:r>
      <w:r>
        <w:rPr>
          <w:rFonts w:hint="eastAsia"/>
          <w:lang w:val="en-US" w:eastAsia="zh-CN"/>
        </w:rPr>
        <w:t>通过</w:t>
      </w:r>
      <w:r>
        <w:rPr>
          <w:rFonts w:hint="eastAsia"/>
          <w:lang w:eastAsia="zh-CN"/>
        </w:rPr>
        <w:t>汇集站</w:t>
      </w:r>
      <w:r>
        <w:rPr>
          <w:rFonts w:hint="default"/>
        </w:rPr>
        <w:t>一体化污水处理系统处理。生活污水经化粪池预处理、食堂废水经隔油沉淀池预处理后，一并通过污水管道进入调节池，然后经一体化污水处理设施处理后用于厂区及周边绿化，不外排，对地表水环境基本无影响。</w:t>
      </w:r>
    </w:p>
    <w:p>
      <w:pPr>
        <w:bidi w:val="0"/>
        <w:rPr>
          <w:rFonts w:hint="default"/>
        </w:rPr>
      </w:pPr>
      <w:r>
        <w:rPr>
          <w:rFonts w:hint="default"/>
        </w:rPr>
        <w:t>（3）声环境影响分析结论</w:t>
      </w:r>
    </w:p>
    <w:p>
      <w:pPr>
        <w:bidi w:val="0"/>
        <w:rPr>
          <w:rFonts w:hint="eastAsia" w:cs="Times New Roman"/>
          <w:color w:val="auto"/>
          <w:u w:val="none" w:color="auto"/>
          <w:lang w:val="en-US" w:eastAsia="zh-CN"/>
        </w:rPr>
      </w:pPr>
      <w:r>
        <w:rPr>
          <w:rFonts w:hint="eastAsia" w:cs="Times New Roman"/>
          <w:color w:val="auto"/>
          <w:u w:val="none" w:color="auto"/>
          <w:lang w:val="en-US" w:eastAsia="zh-CN"/>
        </w:rPr>
        <w:t>本项目变更后风机和汇集站噪声源强不变，与变更前一致。</w:t>
      </w:r>
      <w:r>
        <w:rPr>
          <w:rFonts w:hint="default"/>
        </w:rPr>
        <w:t>根据预测结果，在最不利情况下，本项目风机</w:t>
      </w:r>
      <w:r>
        <w:rPr>
          <w:rFonts w:hint="eastAsia"/>
          <w:lang w:eastAsia="zh-CN"/>
        </w:rPr>
        <w:t>周边噪声敏感</w:t>
      </w:r>
      <w:r>
        <w:rPr>
          <w:rFonts w:hint="eastAsia" w:ascii="Times New Roman" w:hAnsi="Times New Roman" w:eastAsia="宋体" w:cs="Times New Roman"/>
          <w:lang w:eastAsia="zh-CN"/>
        </w:rPr>
        <w:t>点</w:t>
      </w:r>
      <w:r>
        <w:rPr>
          <w:rFonts w:hint="eastAsia" w:ascii="Times New Roman" w:hAnsi="Times New Roman" w:eastAsia="宋体" w:cs="Times New Roman"/>
          <w:lang w:val="en-US" w:eastAsia="zh-CN"/>
        </w:rPr>
        <w:t>五爪龙居民</w:t>
      </w:r>
      <w:r>
        <w:rPr>
          <w:rFonts w:hint="default" w:ascii="Times New Roman" w:hAnsi="Times New Roman" w:eastAsia="宋体" w:cs="Times New Roman"/>
        </w:rPr>
        <w:t>声</w:t>
      </w:r>
      <w:r>
        <w:rPr>
          <w:rFonts w:hint="default"/>
        </w:rPr>
        <w:t>环境质量可以达到《声环境质量标准》（GB3096-2008）中2类标准，即昼间60dB(A)、夜间50dB(A)，本项目风机运行噪声对周围居民点影响不大。</w:t>
      </w:r>
      <w:r>
        <w:rPr>
          <w:rFonts w:hint="eastAsia"/>
          <w:lang w:val="en-US" w:eastAsia="zh-CN"/>
        </w:rPr>
        <w:t>汇集站厂界噪声预测值均满足GB12348-2008《工业企业厂界环境噪声排放标准》2类标准，声环境保护目标麻池塘和雷家居民点预测结果满足《声环境质量标准》(GB309-2008)的2类标准要求。</w:t>
      </w:r>
    </w:p>
    <w:p>
      <w:pPr>
        <w:bidi w:val="0"/>
        <w:rPr>
          <w:rFonts w:hint="default"/>
        </w:rPr>
      </w:pPr>
      <w:r>
        <w:rPr>
          <w:rFonts w:hint="default"/>
        </w:rPr>
        <w:t>（4）固体废物影响分析结论</w:t>
      </w:r>
    </w:p>
    <w:p>
      <w:pPr>
        <w:bidi w:val="0"/>
        <w:rPr>
          <w:rFonts w:hint="default"/>
        </w:rPr>
      </w:pPr>
      <w:r>
        <w:rPr>
          <w:rFonts w:hint="default"/>
        </w:rPr>
        <w:t>营运期产生的固体废物主要为风电场职工生活垃圾、废旧蓄电池、废油（含风力发电机组废润滑油、变压器废油）等，分类暂存于危险废物暂存间，定期交由有资质的单位处置。生活垃圾</w:t>
      </w:r>
      <w:r>
        <w:rPr>
          <w:rFonts w:hint="eastAsia"/>
          <w:lang w:val="en-US" w:eastAsia="zh-CN"/>
        </w:rPr>
        <w:t>经</w:t>
      </w:r>
      <w:r>
        <w:rPr>
          <w:rFonts w:hint="default"/>
        </w:rPr>
        <w:t>收集后交环卫部门定期</w:t>
      </w:r>
      <w:r>
        <w:rPr>
          <w:rFonts w:hint="eastAsia"/>
          <w:lang w:val="en-US" w:eastAsia="zh-CN"/>
        </w:rPr>
        <w:t>清运</w:t>
      </w:r>
      <w:r>
        <w:rPr>
          <w:rFonts w:hint="default"/>
        </w:rPr>
        <w:t>，纳入当地生活垃圾处理系统处理。采取以上措施后，本项目营运过程中产生的固体废物可实现安全处置，不外排，不会对周围环境造成二次污染。</w:t>
      </w:r>
    </w:p>
    <w:p>
      <w:pPr>
        <w:bidi w:val="0"/>
        <w:rPr>
          <w:rFonts w:hint="default"/>
        </w:rPr>
      </w:pPr>
      <w:r>
        <w:rPr>
          <w:rFonts w:hint="default"/>
        </w:rPr>
        <w:t>（5）生态环境影响分析结论</w:t>
      </w:r>
    </w:p>
    <w:p>
      <w:pPr>
        <w:bidi w:val="0"/>
        <w:rPr>
          <w:rFonts w:hint="default"/>
        </w:rPr>
      </w:pPr>
      <w:r>
        <w:rPr>
          <w:rFonts w:hint="eastAsia"/>
        </w:rPr>
        <w:t>本工程对生态环境的影响主要表现为：工程占地、人为活动、噪声干扰等。总体而言，工程对植物和动物的影响均较小。</w:t>
      </w:r>
      <w:r>
        <w:rPr>
          <w:rFonts w:hint="eastAsia"/>
          <w:lang w:eastAsia="zh-CN"/>
        </w:rPr>
        <w:t>本报告</w:t>
      </w:r>
      <w:r>
        <w:rPr>
          <w:rFonts w:hint="default"/>
        </w:rPr>
        <w:t>提出了一系列</w:t>
      </w:r>
      <w:r>
        <w:rPr>
          <w:rFonts w:hint="eastAsia"/>
          <w:lang w:eastAsia="zh-CN"/>
        </w:rPr>
        <w:t>生态</w:t>
      </w:r>
      <w:r>
        <w:rPr>
          <w:rFonts w:hint="default"/>
        </w:rPr>
        <w:t>恢复补偿及管理措施。在严格落实相关生态保护措施后，本项目的建设对生态的影响是可以接受的，本项目建成后不会对区域生态产生明显影响。</w:t>
      </w:r>
    </w:p>
    <w:p>
      <w:pPr>
        <w:bidi w:val="0"/>
        <w:rPr>
          <w:rFonts w:hint="eastAsia"/>
          <w:lang w:val="en-US" w:eastAsia="zh-CN"/>
        </w:rPr>
      </w:pPr>
      <w:r>
        <w:rPr>
          <w:rFonts w:hint="eastAsia"/>
          <w:lang w:eastAsia="zh-CN"/>
        </w:rPr>
        <w:t>（</w:t>
      </w:r>
      <w:r>
        <w:rPr>
          <w:rFonts w:hint="eastAsia"/>
          <w:lang w:val="en-US" w:eastAsia="zh-CN"/>
        </w:rPr>
        <w:t>6</w:t>
      </w:r>
      <w:r>
        <w:rPr>
          <w:rFonts w:hint="eastAsia"/>
          <w:lang w:eastAsia="zh-CN"/>
        </w:rPr>
        <w:t>）</w:t>
      </w:r>
      <w:r>
        <w:rPr>
          <w:rFonts w:hint="eastAsia"/>
          <w:lang w:val="en-US" w:eastAsia="zh-CN"/>
        </w:rPr>
        <w:t>电磁环境影响分析结论</w:t>
      </w:r>
    </w:p>
    <w:p>
      <w:pPr>
        <w:bidi w:val="0"/>
        <w:rPr>
          <w:rFonts w:hint="default"/>
          <w:lang w:val="en-US" w:eastAsia="zh-CN"/>
        </w:rPr>
      </w:pPr>
      <w:r>
        <w:rPr>
          <w:rFonts w:hint="eastAsia" w:hAnsi="宋体" w:cs="Times New Roman"/>
          <w:color w:val="auto"/>
        </w:rPr>
        <w:t>本项目</w:t>
      </w:r>
      <w:r>
        <w:rPr>
          <w:rFonts w:hint="eastAsia" w:hAnsi="宋体" w:cs="Times New Roman"/>
          <w:color w:val="auto"/>
          <w:lang w:val="en-US" w:eastAsia="zh-CN"/>
        </w:rPr>
        <w:t>汇集站</w:t>
      </w:r>
      <w:r>
        <w:rPr>
          <w:rFonts w:hint="eastAsia" w:hAnsi="宋体" w:cs="Times New Roman"/>
          <w:color w:val="auto"/>
        </w:rPr>
        <w:t>建成投运后厂界外的工频电场强度和工频磁感应强度均满足《电磁环境控制限值》（GB8702-2014）中工频电场 4000V/m及工频磁感应强度100μT的评价标准限值要求。</w:t>
      </w:r>
    </w:p>
    <w:p>
      <w:pPr>
        <w:pStyle w:val="457"/>
        <w:ind w:firstLine="643"/>
        <w:rPr>
          <w:rFonts w:hint="default" w:ascii="Times New Roman" w:cs="Times New Roman"/>
          <w:color w:val="000000" w:themeColor="text1"/>
          <w:u w:val="none" w:color="auto"/>
          <w:lang w:eastAsia="zh-CN"/>
          <w14:textFill>
            <w14:solidFill>
              <w14:schemeClr w14:val="tx1"/>
            </w14:solidFill>
          </w14:textFill>
        </w:rPr>
      </w:pPr>
      <w:bookmarkStart w:id="221" w:name="_Toc9935"/>
      <w:r>
        <w:rPr>
          <w:rFonts w:hint="default" w:ascii="Times New Roman" w:cs="Times New Roman"/>
          <w:color w:val="000000" w:themeColor="text1"/>
          <w:u w:val="none" w:color="auto"/>
          <w:lang w:eastAsia="zh-CN"/>
          <w14:textFill>
            <w14:solidFill>
              <w14:schemeClr w14:val="tx1"/>
            </w14:solidFill>
          </w14:textFill>
        </w:rPr>
        <w:t>总量控制</w:t>
      </w:r>
      <w:bookmarkEnd w:id="221"/>
    </w:p>
    <w:p>
      <w:pPr>
        <w:tabs>
          <w:tab w:val="clear" w:pos="480"/>
        </w:tabs>
        <w:adjustRightInd w:val="0"/>
        <w:snapToGrid w:val="0"/>
        <w:ind w:firstLine="480"/>
        <w:rPr>
          <w:rFonts w:hint="default"/>
        </w:rPr>
      </w:pPr>
      <w:r>
        <w:rPr>
          <w:rFonts w:hint="eastAsia"/>
        </w:rPr>
        <w:t>本项目运营期排放的废气污染物主要为</w:t>
      </w:r>
      <w:r>
        <w:rPr>
          <w:rFonts w:hint="eastAsia"/>
          <w:lang w:val="en-US" w:eastAsia="zh-CN"/>
        </w:rPr>
        <w:t>汇集</w:t>
      </w:r>
      <w:r>
        <w:rPr>
          <w:rFonts w:hint="eastAsia"/>
        </w:rPr>
        <w:t>站内产生的食堂油烟；运营期</w:t>
      </w:r>
      <w:r>
        <w:rPr>
          <w:rFonts w:hint="eastAsia"/>
          <w:lang w:val="en-US" w:eastAsia="zh-CN"/>
        </w:rPr>
        <w:t>汇集</w:t>
      </w:r>
      <w:r>
        <w:rPr>
          <w:rFonts w:hint="eastAsia"/>
        </w:rPr>
        <w:t>站产生的生活污水经站内一体化污水处理设施处理后全部用于站内绿化，不外排。因此，本项目无需设置总量控制指标。</w:t>
      </w:r>
    </w:p>
    <w:p>
      <w:pPr>
        <w:pStyle w:val="457"/>
        <w:ind w:firstLine="643"/>
        <w:rPr>
          <w:rFonts w:hint="default" w:ascii="Times New Roman" w:cs="Times New Roman"/>
          <w:color w:val="000000" w:themeColor="text1"/>
          <w:u w:val="none" w:color="auto"/>
          <w:lang w:eastAsia="zh-CN"/>
          <w14:textFill>
            <w14:solidFill>
              <w14:schemeClr w14:val="tx1"/>
            </w14:solidFill>
          </w14:textFill>
        </w:rPr>
      </w:pPr>
      <w:bookmarkStart w:id="222" w:name="_Toc32213"/>
      <w:r>
        <w:rPr>
          <w:rFonts w:hint="eastAsia" w:ascii="Times New Roman" w:cs="Times New Roman"/>
          <w:color w:val="000000" w:themeColor="text1"/>
          <w:u w:val="none" w:color="auto"/>
          <w:lang w:val="en-US" w:eastAsia="zh-CN"/>
          <w14:textFill>
            <w14:solidFill>
              <w14:schemeClr w14:val="tx1"/>
            </w14:solidFill>
          </w14:textFill>
        </w:rPr>
        <w:t>环境</w:t>
      </w:r>
      <w:r>
        <w:rPr>
          <w:rFonts w:hint="default" w:ascii="Times New Roman" w:cs="Times New Roman"/>
          <w:color w:val="000000" w:themeColor="text1"/>
          <w:u w:val="none" w:color="auto"/>
          <w:lang w:eastAsia="zh-CN"/>
          <w14:textFill>
            <w14:solidFill>
              <w14:schemeClr w14:val="tx1"/>
            </w14:solidFill>
          </w14:textFill>
        </w:rPr>
        <w:t>风险</w:t>
      </w:r>
      <w:bookmarkEnd w:id="222"/>
    </w:p>
    <w:p>
      <w:pPr>
        <w:bidi w:val="0"/>
        <w:rPr>
          <w:rFonts w:hint="default"/>
        </w:rPr>
      </w:pPr>
      <w:r>
        <w:rPr>
          <w:rFonts w:hint="default"/>
        </w:rPr>
        <w:t>本工程环境风险主要为营运期变压器油泄漏</w:t>
      </w:r>
      <w:r>
        <w:rPr>
          <w:rFonts w:hint="eastAsia"/>
          <w:lang w:eastAsia="zh-CN"/>
        </w:rPr>
        <w:t>事故，通过采取各项环境风险防范措施，可降低各种事故的发生，降低对周围环境的不利影响，环境风险在可接受范围内</w:t>
      </w:r>
      <w:r>
        <w:rPr>
          <w:rFonts w:hint="default"/>
        </w:rPr>
        <w:t>。</w:t>
      </w:r>
    </w:p>
    <w:p>
      <w:pPr>
        <w:pStyle w:val="457"/>
        <w:ind w:firstLine="643"/>
        <w:rPr>
          <w:rFonts w:hint="eastAsia" w:ascii="Times New Roman" w:hAnsi="Times New Roman" w:eastAsia="宋体" w:cs="Times New Roman"/>
          <w:color w:val="000000" w:themeColor="text1"/>
          <w:u w:val="none" w:color="auto"/>
          <w:lang w:eastAsia="zh-CN"/>
          <w14:textFill>
            <w14:solidFill>
              <w14:schemeClr w14:val="tx1"/>
            </w14:solidFill>
          </w14:textFill>
        </w:rPr>
      </w:pPr>
      <w:bookmarkStart w:id="223" w:name="_Toc8053"/>
      <w:r>
        <w:rPr>
          <w:rFonts w:hint="eastAsia" w:ascii="Times New Roman" w:hAnsi="Times New Roman" w:eastAsia="宋体" w:cs="Times New Roman"/>
          <w:color w:val="000000" w:themeColor="text1"/>
          <w:u w:val="none" w:color="auto"/>
          <w:lang w:eastAsia="zh-CN"/>
          <w14:textFill>
            <w14:solidFill>
              <w14:schemeClr w14:val="tx1"/>
            </w14:solidFill>
          </w14:textFill>
        </w:rPr>
        <w:t>公众参与</w:t>
      </w:r>
      <w:bookmarkEnd w:id="223"/>
    </w:p>
    <w:p>
      <w:pPr>
        <w:bidi w:val="0"/>
        <w:rPr>
          <w:rFonts w:hint="default"/>
        </w:rPr>
      </w:pPr>
      <w:r>
        <w:rPr>
          <w:rFonts w:hint="eastAsia"/>
        </w:rPr>
        <w:t>项目环评期间</w:t>
      </w:r>
      <w:r>
        <w:rPr>
          <w:rFonts w:hint="eastAsia"/>
          <w:lang w:eastAsia="zh-CN"/>
        </w:rPr>
        <w:t>开展了</w:t>
      </w:r>
      <w:r>
        <w:rPr>
          <w:rFonts w:hint="eastAsia"/>
        </w:rPr>
        <w:t>网上公示、报纸公示、现场公示，建设单位和环评单位均未收到反对本项目建设的意见和相关具体要求，表明项目地公众对本项目的建设基本上是支持的。</w:t>
      </w:r>
    </w:p>
    <w:p>
      <w:pPr>
        <w:pStyle w:val="457"/>
        <w:ind w:firstLine="643"/>
        <w:rPr>
          <w:rFonts w:hint="default" w:ascii="Times New Roman" w:cs="Times New Roman"/>
          <w:color w:val="000000" w:themeColor="text1"/>
          <w:u w:val="none" w:color="auto"/>
          <w:lang w:eastAsia="zh-CN"/>
          <w14:textFill>
            <w14:solidFill>
              <w14:schemeClr w14:val="tx1"/>
            </w14:solidFill>
          </w14:textFill>
        </w:rPr>
      </w:pPr>
      <w:bookmarkStart w:id="224" w:name="_Toc11756"/>
      <w:r>
        <w:rPr>
          <w:rFonts w:hint="default" w:ascii="Times New Roman" w:cs="Times New Roman"/>
          <w:color w:val="000000" w:themeColor="text1"/>
          <w:u w:val="none" w:color="auto"/>
          <w:lang w:eastAsia="zh-CN"/>
          <w14:textFill>
            <w14:solidFill>
              <w14:schemeClr w14:val="tx1"/>
            </w14:solidFill>
          </w14:textFill>
        </w:rPr>
        <w:t>综合结论</w:t>
      </w:r>
      <w:bookmarkEnd w:id="224"/>
    </w:p>
    <w:p>
      <w:pPr>
        <w:bidi w:val="0"/>
        <w:rPr>
          <w:rFonts w:hint="default"/>
          <w:lang w:eastAsia="zh-CN"/>
        </w:rPr>
      </w:pPr>
      <w:r>
        <w:rPr>
          <w:lang w:val="zh-CN"/>
        </w:rPr>
        <w:t>本项目的建设符合国家产业政策，</w:t>
      </w:r>
      <w:r>
        <w:rPr>
          <w:rFonts w:hint="eastAsia"/>
        </w:rPr>
        <w:t>符合</w:t>
      </w:r>
      <w:r>
        <w:rPr>
          <w:rFonts w:hint="eastAsia"/>
          <w:lang w:eastAsia="zh-CN"/>
        </w:rPr>
        <w:t>风电行业发展规范要求，符合永州市</w:t>
      </w:r>
      <w:r>
        <w:rPr>
          <w:rFonts w:hint="eastAsia"/>
          <w:lang w:val="en-US" w:eastAsia="zh-CN"/>
        </w:rPr>
        <w:t>生态环境分区</w:t>
      </w:r>
      <w:r>
        <w:rPr>
          <w:rFonts w:hint="eastAsia"/>
          <w:lang w:eastAsia="zh-CN"/>
        </w:rPr>
        <w:t>管控要求。工程的实施具有良好的经济效益和社会效益；建设单位通过严格执行国家有关环境保护法规，严格执行“三同时”制度，认真落实评价中提出的生态环境保护和恢复措施、污染防治措施、环境风险防范措施和环境管理措施后，可使项目建成后对周围环境影响减少到最低限度，项目的建设从环境保护角度而言是可行的。</w:t>
      </w:r>
    </w:p>
    <w:bookmarkEnd w:id="209"/>
    <w:bookmarkEnd w:id="210"/>
    <w:bookmarkEnd w:id="211"/>
    <w:bookmarkEnd w:id="212"/>
    <w:bookmarkEnd w:id="213"/>
    <w:bookmarkEnd w:id="214"/>
    <w:bookmarkEnd w:id="215"/>
    <w:bookmarkEnd w:id="216"/>
    <w:bookmarkEnd w:id="217"/>
    <w:bookmarkEnd w:id="218"/>
    <w:p/>
    <w:p>
      <w:pPr>
        <w:bidi w:val="0"/>
        <w:rPr>
          <w:rFonts w:hint="default" w:ascii="Times New Roman" w:hAnsi="Times New Roman" w:cs="Times New Roman"/>
          <w:sz w:val="24"/>
          <w:u w:val="none" w:color="auto"/>
        </w:rPr>
      </w:pPr>
    </w:p>
    <w:sectPr>
      <w:pgSz w:w="11905"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3" w:charSpace="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Nimbus Roman No9 L"/>
    <w:panose1 w:val="02020603050405020304"/>
    <w:charset w:val="50"/>
    <w:family w:val="auto"/>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font>
  <w:font w:name="Impact">
    <w:altName w:val="Droid Arabic Kufi"/>
    <w:panose1 w:val="020B0806030902050204"/>
    <w:charset w:val="00"/>
    <w:family w:val="swiss"/>
    <w:pitch w:val="default"/>
    <w:sig w:usb0="00000000" w:usb1="00000000" w:usb2="00000000" w:usb3="00000000" w:csb0="2000009F" w:csb1="DFD70000"/>
  </w:font>
  <w:font w:name="楷体_GB2312">
    <w:altName w:val="楷体"/>
    <w:panose1 w:val="00000000000000000000"/>
    <w:charset w:val="86"/>
    <w:family w:val="modern"/>
    <w:pitch w:val="default"/>
    <w:sig w:usb0="00000000" w:usb1="00000000" w:usb2="00000010" w:usb3="00000000" w:csb0="00040000" w:csb1="00000000"/>
  </w:font>
  <w:font w:name="MS Gothic">
    <w:altName w:val="方正书宋_GBK"/>
    <w:panose1 w:val="020B0609070205080204"/>
    <w:charset w:val="80"/>
    <w:family w:val="modern"/>
    <w:pitch w:val="default"/>
    <w:sig w:usb0="00000000" w:usb1="00000000" w:usb2="08000012" w:usb3="00000000" w:csb0="4002009F" w:csb1="DFD70000"/>
  </w:font>
  <w:font w:name="Arial Unicode MS">
    <w:altName w:val="Nimbus Roman No9 L"/>
    <w:panose1 w:val="020B0604020202020204"/>
    <w:charset w:val="86"/>
    <w:family w:val="swiss"/>
    <w:pitch w:val="default"/>
    <w:sig w:usb0="00000000" w:usb1="00000000" w:usb2="0000003F" w:usb3="00000000" w:csb0="603F01FF" w:csb1="FFFF0000"/>
  </w:font>
  <w:font w:name="Sim Sun+ 2">
    <w:altName w:val="汉仪仿宋S"/>
    <w:panose1 w:val="00000000000000000000"/>
    <w:charset w:val="86"/>
    <w:family w:val="auto"/>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体">
    <w:altName w:val="方正仿宋_GBK"/>
    <w:panose1 w:val="00000000000000000000"/>
    <w:charset w:val="86"/>
    <w:family w:val="roman"/>
    <w:pitch w:val="default"/>
    <w:sig w:usb0="00000000" w:usb1="00000000" w:usb2="00000010" w:usb3="00000000" w:csb0="00040000" w:csb1="00000000"/>
  </w:font>
  <w:font w:name="隶书">
    <w:altName w:val="方正隶书_GBK"/>
    <w:panose1 w:val="02010509060101010101"/>
    <w:charset w:val="86"/>
    <w:family w:val="modern"/>
    <w:pitch w:val="default"/>
    <w:sig w:usb0="00000000" w:usb1="00000000" w:usb2="00000000" w:usb3="00000000" w:csb0="00040000" w:csb1="00000000"/>
  </w:font>
  <w:font w:name="ˎ̥">
    <w:altName w:val="汉仪新人文宋简"/>
    <w:panose1 w:val="00000000000000000000"/>
    <w:charset w:val="00"/>
    <w:family w:val="roman"/>
    <w:pitch w:val="default"/>
    <w:sig w:usb0="00000000" w:usb1="00000000" w:usb2="00000000" w:usb3="00000000" w:csb0="00040001" w:csb1="00000000"/>
  </w:font>
  <w:font w:name="Tms Rmn">
    <w:altName w:val="FreeSerif"/>
    <w:panose1 w:val="02020603040505020304"/>
    <w:charset w:val="00"/>
    <w:family w:val="roman"/>
    <w:pitch w:val="default"/>
    <w:sig w:usb0="00000000" w:usb1="00000000" w:usb2="00000000" w:usb3="00000000" w:csb0="00000001" w:csb1="00000000"/>
  </w:font>
  <w:font w:name="Garamond">
    <w:altName w:val="FreeSerif"/>
    <w:panose1 w:val="02020404030301010803"/>
    <w:charset w:val="00"/>
    <w:family w:val="roman"/>
    <w:pitch w:val="default"/>
    <w:sig w:usb0="00000000" w:usb1="00000000" w:usb2="00000000" w:usb3="00000000" w:csb0="0000009F" w:csb1="DFD70000"/>
  </w:font>
  <w:font w:name="华文细黑">
    <w:panose1 w:val="02010600040101010101"/>
    <w:charset w:val="86"/>
    <w:family w:val="auto"/>
    <w:pitch w:val="default"/>
    <w:sig w:usb0="00000287" w:usb1="080F0000" w:usb2="00000000" w:usb3="00000000" w:csb0="0004009F" w:csb1="DFD70000"/>
  </w:font>
  <w:font w:name="方正宋三简体">
    <w:altName w:val="方正书宋_GBK"/>
    <w:panose1 w:val="00000000000000000000"/>
    <w:charset w:val="86"/>
    <w:family w:val="auto"/>
    <w:pitch w:val="default"/>
    <w:sig w:usb0="00000000" w:usb1="00000000" w:usb2="00000010" w:usb3="00000000" w:csb0="00040000" w:csb1="00000000"/>
  </w:font>
  <w:font w:name="华文中宋">
    <w:altName w:val="汉仪中宋简"/>
    <w:panose1 w:val="02010600040101010101"/>
    <w:charset w:val="86"/>
    <w:family w:val="auto"/>
    <w:pitch w:val="default"/>
    <w:sig w:usb0="00000000" w:usb1="00000000" w:usb2="00000000" w:usb3="00000000" w:csb0="0004009F" w:csb1="DFD70000"/>
  </w:font>
  <w:font w:name="Verdana">
    <w:altName w:val="Ubuntu"/>
    <w:panose1 w:val="020B0604030504040204"/>
    <w:charset w:val="00"/>
    <w:family w:val="swiss"/>
    <w:pitch w:val="default"/>
    <w:sig w:usb0="00000000" w:usb1="00000000" w:usb2="00000010" w:usb3="00000000" w:csb0="2000019F" w:csb1="00000000"/>
  </w:font>
  <w:font w:name="Tahoma">
    <w:altName w:val="Droid Sans"/>
    <w:panose1 w:val="020B0604030504040204"/>
    <w:charset w:val="00"/>
    <w:family w:val="swiss"/>
    <w:pitch w:val="default"/>
    <w:sig w:usb0="00000000" w:usb1="00000000" w:usb2="00000029" w:usb3="00000000" w:csb0="200101FF" w:csb1="20280000"/>
  </w:font>
  <w:font w:name="Cambria">
    <w:altName w:val="FreeSerif"/>
    <w:panose1 w:val="02040503050406030204"/>
    <w:charset w:val="00"/>
    <w:family w:val="roman"/>
    <w:pitch w:val="default"/>
    <w:sig w:usb0="00000000" w:usb1="00000000" w:usb2="02000000" w:usb3="00000000" w:csb0="2000019F" w:csb1="00000000"/>
  </w:font>
  <w:font w:name="CG Times (W1)">
    <w:altName w:val="Nimbus Roman No9 L"/>
    <w:panose1 w:val="00000000000000000000"/>
    <w:charset w:val="00"/>
    <w:family w:val="roman"/>
    <w:pitch w:val="default"/>
    <w:sig w:usb0="00000000" w:usb1="00000000" w:usb2="00000000" w:usb3="00000000" w:csb0="00000001" w:csb1="00000000"/>
  </w:font>
  <w:font w:name="Times">
    <w:altName w:val="Nimbus Roman No9 L"/>
    <w:panose1 w:val="02020603050405020304"/>
    <w:charset w:val="00"/>
    <w:family w:val="roman"/>
    <w:pitch w:val="default"/>
    <w:sig w:usb0="00000000" w:usb1="00000000" w:usb2="00000009" w:usb3="00000000" w:csb0="000001FF" w:csb1="00000000"/>
  </w:font>
  <w:font w:name="文鼎大标宋简">
    <w:altName w:val="方正书宋_GBK"/>
    <w:panose1 w:val="00000000000000000000"/>
    <w:charset w:val="86"/>
    <w:family w:val="modern"/>
    <w:pitch w:val="default"/>
    <w:sig w:usb0="00000000" w:usb1="00000000" w:usb2="00000010" w:usb3="00000000" w:csb0="00040000" w:csb1="00000000"/>
  </w:font>
  <w:font w:name="Courier">
    <w:altName w:val="Liberation Mono"/>
    <w:panose1 w:val="02070409020205020404"/>
    <w:charset w:val="00"/>
    <w:family w:val="modern"/>
    <w:pitch w:val="default"/>
    <w:sig w:usb0="00000000" w:usb1="00000000" w:usb2="00000000" w:usb3="00000000" w:csb0="00000001" w:csb1="00000000"/>
  </w:font>
  <w:font w:name="Helvetica">
    <w:altName w:val="Liberation Sans"/>
    <w:panose1 w:val="020B0604020202020204"/>
    <w:charset w:val="00"/>
    <w:family w:val="swiss"/>
    <w:pitch w:val="default"/>
    <w:sig w:usb0="00000000" w:usb1="00000000" w:usb2="00000000" w:usb3="00000000" w:csb0="00000001" w:csb1="00000000"/>
  </w:font>
  <w:font w:name="Univers 57 Condensed">
    <w:altName w:val="汉仪叶叶相思体简"/>
    <w:panose1 w:val="00000000000000000000"/>
    <w:charset w:val="00"/>
    <w:family w:val="swiss"/>
    <w:pitch w:val="default"/>
    <w:sig w:usb0="00000000" w:usb1="00000000" w:usb2="00000000" w:usb3="00000000" w:csb0="00000001" w:csb1="00000000"/>
  </w:font>
  <w:font w:name="方正仿宋简体">
    <w:altName w:val="方正仿宋_GBK"/>
    <w:panose1 w:val="00000000000000000000"/>
    <w:charset w:val="86"/>
    <w:family w:val="auto"/>
    <w:pitch w:val="default"/>
    <w:sig w:usb0="00000000" w:usb1="00000000" w:usb2="00000010" w:usb3="00000000" w:csb0="00040000" w:csb1="00000000"/>
  </w:font>
  <w:font w:name="p10">
    <w:altName w:val="汉仪叶叶相思体简"/>
    <w:panose1 w:val="00000000000000000000"/>
    <w:charset w:val="00"/>
    <w:family w:val="roman"/>
    <w:pitch w:val="default"/>
    <w:sig w:usb0="00000000" w:usb1="00000000" w:usb2="00000000" w:usb3="00000000" w:csb0="00000001" w:csb1="00000000"/>
  </w:font>
  <w:font w:name="方正隶变简体">
    <w:altName w:val="方正隶书_GBK"/>
    <w:panose1 w:val="00000000000000000000"/>
    <w:charset w:val="86"/>
    <w:family w:val="script"/>
    <w:pitch w:val="default"/>
    <w:sig w:usb0="00000000" w:usb1="00000000" w:usb2="00000010" w:usb3="00000000" w:csb0="00040000" w:csb1="00000000"/>
  </w:font>
  <w:font w:name="幼圆">
    <w:panose1 w:val="02010509060101010101"/>
    <w:charset w:val="86"/>
    <w:family w:val="modern"/>
    <w:pitch w:val="default"/>
    <w:sig w:usb0="00000001" w:usb1="080E0000" w:usb2="00000000" w:usb3="00000000" w:csb0="00040000" w:csb1="00000000"/>
  </w:font>
  <w:font w:name="华文楷体">
    <w:panose1 w:val="02010600040101010101"/>
    <w:charset w:val="86"/>
    <w:family w:val="auto"/>
    <w:pitch w:val="default"/>
    <w:sig w:usb0="00000287" w:usb1="080F0000" w:usb2="00000000" w:usb3="00000000" w:csb0="0004009F" w:csb1="DFD70000"/>
  </w:font>
  <w:font w:name="Plotter">
    <w:altName w:val="汉仪新人文宋简"/>
    <w:panose1 w:val="00000000000000000000"/>
    <w:charset w:val="00"/>
    <w:family w:val="roman"/>
    <w:pitch w:val="default"/>
    <w:sig w:usb0="00000000" w:usb1="00000000" w:usb2="00000000" w:usb3="00000000" w:csb0="00040001" w:csb1="00000000"/>
  </w:font>
  <w:font w:name="DFKai-SB">
    <w:altName w:val="方正书宋_GBK"/>
    <w:panose1 w:val="03000509000000000000"/>
    <w:charset w:val="88"/>
    <w:family w:val="script"/>
    <w:pitch w:val="default"/>
    <w:sig w:usb0="00000000" w:usb1="00000000" w:usb2="00000016" w:usb3="00000000" w:csb0="00100001" w:csb1="00000000"/>
  </w:font>
  <w:font w:name="华文仿宋">
    <w:panose1 w:val="02010600040101010101"/>
    <w:charset w:val="86"/>
    <w:family w:val="auto"/>
    <w:pitch w:val="default"/>
    <w:sig w:usb0="00000287" w:usb1="080F0000" w:usb2="00000000" w:usb3="00000000" w:csb0="0004009F" w:csb1="DFD70000"/>
  </w:font>
  <w:font w:name="MS Mincho">
    <w:altName w:val="Droid Sans Japanese"/>
    <w:panose1 w:val="02020609040205080304"/>
    <w:charset w:val="80"/>
    <w:family w:val="roman"/>
    <w:pitch w:val="default"/>
    <w:sig w:usb0="00000000" w:usb1="00000000" w:usb2="00000012" w:usb3="00000000" w:csb0="4002009F" w:csb1="DFD70000"/>
  </w:font>
  <w:font w:name="Century Gothic">
    <w:altName w:val="FreeSans"/>
    <w:panose1 w:val="020B0502020202020204"/>
    <w:charset w:val="00"/>
    <w:family w:val="swiss"/>
    <w:pitch w:val="default"/>
    <w:sig w:usb0="00000000" w:usb1="00000000" w:usb2="00000000" w:usb3="00000000" w:csb0="2000009F" w:csb1="DFD70000"/>
  </w:font>
  <w:font w:name="方正大标宋_GBK">
    <w:altName w:val="黑体"/>
    <w:panose1 w:val="00000000000000000000"/>
    <w:charset w:val="86"/>
    <w:family w:val="script"/>
    <w:pitch w:val="default"/>
    <w:sig w:usb0="00000000" w:usb1="00000000" w:usb2="00000010" w:usb3="00000000" w:csb0="00040000" w:csb1="00000000"/>
  </w:font>
  <w:font w:name="”“Times New Roman”“">
    <w:altName w:val="Nimbus Roman No9 L"/>
    <w:panose1 w:val="00000000000000000000"/>
    <w:charset w:val="86"/>
    <w:family w:val="roman"/>
    <w:pitch w:val="default"/>
    <w:sig w:usb0="00000000" w:usb1="00000000" w:usb2="00000010" w:usb3="00000000" w:csb0="00040000" w:csb1="00000000"/>
  </w:font>
  <w:font w:name="方正书宋简体">
    <w:altName w:val="方正书宋_GBK"/>
    <w:panose1 w:val="00000000000000000000"/>
    <w:charset w:val="86"/>
    <w:family w:val="auto"/>
    <w:pitch w:val="default"/>
    <w:sig w:usb0="00000000" w:usb1="00000000" w:usb2="00000010" w:usb3="00000000" w:csb0="00040000" w:csb1="00000000"/>
  </w:font>
  <w:font w:name="长城仿宋">
    <w:altName w:val="黑体"/>
    <w:panose1 w:val="00000000000000000000"/>
    <w:charset w:val="86"/>
    <w:family w:val="modern"/>
    <w:pitch w:val="default"/>
    <w:sig w:usb0="00000000" w:usb1="00000000" w:usb2="00000010" w:usb3="00000000" w:csb0="00040008" w:csb1="00000000"/>
  </w:font>
  <w:font w:name="Arial Rounded MT Bold">
    <w:altName w:val="Nimbus Roman No9 L"/>
    <w:panose1 w:val="020F0704030504030204"/>
    <w:charset w:val="00"/>
    <w:family w:val="swiss"/>
    <w:pitch w:val="default"/>
    <w:sig w:usb0="00000000" w:usb1="00000000" w:usb2="00000000" w:usb3="00000000" w:csb0="20000001" w:csb1="00000000"/>
  </w:font>
  <w:font w:name="方正大标宋简体">
    <w:altName w:val="方正书宋_GBK"/>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1" w:usb1="080F0000" w:usb2="00000000" w:usb3="00000000" w:csb0="00040000" w:csb1="00000000"/>
  </w:font>
  <w:font w:name="TimesNewRomanPS-BoldMT">
    <w:altName w:val="Nimbus Roman No9 L"/>
    <w:panose1 w:val="00000000000000000000"/>
    <w:charset w:val="00"/>
    <w:family w:val="roman"/>
    <w:pitch w:val="default"/>
    <w:sig w:usb0="00000000" w:usb1="00000000" w:usb2="00000000" w:usb3="00000000" w:csb0="00000000" w:csb1="00000000"/>
  </w:font>
  <w:font w:name="TimesNewRomanPSMT">
    <w:altName w:val="Nimbus Roman No9 L"/>
    <w:panose1 w:val="00000000000000000000"/>
    <w:charset w:val="00"/>
    <w:family w:val="roman"/>
    <w:pitch w:val="default"/>
    <w:sig w:usb0="00000000" w:usb1="00000000" w:usb2="00000010" w:usb3="00000000" w:csb0="00040001" w:csb1="00000000"/>
  </w:font>
  <w:font w:name="Arial Black">
    <w:altName w:val="Nimbus Roman No9 L"/>
    <w:panose1 w:val="020B0A04020102020204"/>
    <w:charset w:val="00"/>
    <w:family w:val="swiss"/>
    <w:pitch w:val="default"/>
    <w:sig w:usb0="00000000" w:usb1="00000000" w:usb2="00000000" w:usb3="00000000" w:csb0="6000009F" w:csb1="DFD70000"/>
  </w:font>
  <w:font w:name="方正宋黑简体">
    <w:altName w:val="方正书宋_GBK"/>
    <w:panose1 w:val="00000000000000000000"/>
    <w:charset w:val="86"/>
    <w:family w:val="auto"/>
    <w:pitch w:val="default"/>
    <w:sig w:usb0="00000000" w:usb1="00000000" w:usb2="00000010" w:usb3="00000000" w:csb0="00040000" w:csb1="00000000"/>
  </w:font>
  <w:font w:name="Century">
    <w:altName w:val="FreeSerif"/>
    <w:panose1 w:val="02040604050505020304"/>
    <w:charset w:val="00"/>
    <w:family w:val="roman"/>
    <w:pitch w:val="default"/>
    <w:sig w:usb0="00000000" w:usb1="00000000" w:usb2="00000000" w:usb3="00000000" w:csb0="2000009F" w:csb1="DFD70000"/>
  </w:font>
  <w:font w:name="Hei">
    <w:altName w:val="汉仪新人文宋简"/>
    <w:panose1 w:val="00000000000000000000"/>
    <w:charset w:val="00"/>
    <w:family w:val="roman"/>
    <w:pitch w:val="default"/>
    <w:sig w:usb0="00000000" w:usb1="00000000" w:usb2="00000000" w:usb3="00000000" w:csb0="00040001" w:csb1="00000000"/>
  </w:font>
  <w:font w:name="Roman 10cpi">
    <w:altName w:val="汉仪叶叶相思体简"/>
    <w:panose1 w:val="00000000000000000000"/>
    <w:charset w:val="00"/>
    <w:family w:val="roman"/>
    <w:pitch w:val="default"/>
    <w:sig w:usb0="00000000" w:usb1="00000000" w:usb2="0000006E" w:usb3="81540000" w:csb0="00000000" w:csb1="8155A1AC"/>
  </w:font>
  <w:font w:name="Helvetica-Normal">
    <w:altName w:val="汉仪中秀体简"/>
    <w:panose1 w:val="00000000000000000000"/>
    <w:charset w:val="00"/>
    <w:family w:val="auto"/>
    <w:pitch w:val="default"/>
    <w:sig w:usb0="00000000" w:usb1="00000000" w:usb2="00000000" w:usb3="00000000" w:csb0="0000001B" w:csb1="00000000"/>
  </w:font>
  <w:font w:name="PMingLiU">
    <w:altName w:val="Droid Sans Fallback"/>
    <w:panose1 w:val="02020500000000000000"/>
    <w:charset w:val="88"/>
    <w:family w:val="auto"/>
    <w:pitch w:val="default"/>
    <w:sig w:usb0="00000000" w:usb1="00000000" w:usb2="00000016" w:usb3="00000000" w:csb0="00100001" w:csb1="00000000"/>
  </w:font>
  <w:font w:name="Arial Narrow">
    <w:altName w:val="Nimbus Roman No9 L"/>
    <w:panose1 w:val="020B0606020202030204"/>
    <w:charset w:val="00"/>
    <w:family w:val="swiss"/>
    <w:pitch w:val="default"/>
    <w:sig w:usb0="00000000" w:usb1="00000000" w:usb2="00000000" w:usb3="00000000" w:csb0="2000009F" w:csb1="DFD70000"/>
  </w:font>
  <w:font w:name="全真楷書">
    <w:altName w:val="楷体"/>
    <w:panose1 w:val="00000000000000000000"/>
    <w:charset w:val="88"/>
    <w:family w:val="modern"/>
    <w:pitch w:val="default"/>
    <w:sig w:usb0="00000000" w:usb1="00000000" w:usb2="00000010" w:usb3="00000000" w:csb0="00100000" w:csb1="00000000"/>
  </w:font>
  <w:font w:name="Dutch801 Rm BT">
    <w:altName w:val="Nimbus Roman No9 L"/>
    <w:panose1 w:val="02020603060505020304"/>
    <w:charset w:val="00"/>
    <w:family w:val="roman"/>
    <w:pitch w:val="default"/>
    <w:sig w:usb0="00000000" w:usb1="00000000" w:usb2="00000000" w:usb3="00000000" w:csb0="00000000" w:csb1="00000000"/>
  </w:font>
  <w:font w:name="隶书体">
    <w:altName w:val="方正隶书_GBK"/>
    <w:panose1 w:val="00000000000000000000"/>
    <w:charset w:val="86"/>
    <w:family w:val="swiss"/>
    <w:pitch w:val="default"/>
    <w:sig w:usb0="00000000" w:usb1="00000000" w:usb2="00000010" w:usb3="00000000" w:csb0="00040000" w:csb1="00000000"/>
  </w:font>
  <w:font w:name="Bookman Old Style">
    <w:altName w:val="DejaVu Serif"/>
    <w:panose1 w:val="02050604050505020204"/>
    <w:charset w:val="00"/>
    <w:family w:val="roman"/>
    <w:pitch w:val="default"/>
    <w:sig w:usb0="00000000" w:usb1="00000000" w:usb2="00000000" w:usb3="00000000" w:csb0="2000009F" w:csb1="DFD70000"/>
  </w:font>
  <w:font w:name="五">
    <w:altName w:val="黑体"/>
    <w:panose1 w:val="00000000000000000000"/>
    <w:charset w:val="86"/>
    <w:family w:val="auto"/>
    <w:pitch w:val="default"/>
    <w:sig w:usb0="00000000" w:usb1="00000000" w:usb2="00000010" w:usb3="00000000" w:csb0="00040000" w:csb1="00000000"/>
  </w:font>
  <w:font w:name="ArialMT">
    <w:altName w:val="Nimbus Roman No9 L"/>
    <w:panose1 w:val="00000000000000000000"/>
    <w:charset w:val="00"/>
    <w:family w:val="roman"/>
    <w:pitch w:val="default"/>
    <w:sig w:usb0="00000000" w:usb1="00000000" w:usb2="00000000" w:usb3="00000000" w:csb0="00000000" w:csb1="00000000"/>
  </w:font>
  <w:font w:name="Alaska">
    <w:altName w:val="汉仪中秀体简"/>
    <w:panose1 w:val="00000000000000000000"/>
    <w:charset w:val="00"/>
    <w:family w:val="swiss"/>
    <w:pitch w:val="default"/>
    <w:sig w:usb0="00000000" w:usb1="00000000" w:usb2="00000000" w:usb3="00000000" w:csb0="00000011" w:csb1="00000000"/>
  </w:font>
  <w:font w:name="微软雅黑">
    <w:altName w:val="黑体"/>
    <w:panose1 w:val="020B0503020204020204"/>
    <w:charset w:val="86"/>
    <w:family w:val="auto"/>
    <w:pitch w:val="default"/>
    <w:sig w:usb0="00000000" w:usb1="00000000" w:usb2="00000016" w:usb3="00000000" w:csb0="0004001F" w:csb1="00000000"/>
  </w:font>
  <w:font w:name="等线">
    <w:altName w:val="华文仿宋"/>
    <w:panose1 w:val="02010600030101010101"/>
    <w:charset w:val="86"/>
    <w:family w:val="auto"/>
    <w:pitch w:val="default"/>
    <w:sig w:usb0="00000000" w:usb1="00000000" w:usb2="00000016" w:usb3="00000000" w:csb0="0004000F" w:csb1="00000000"/>
  </w:font>
  <w:font w:name="方正书宋_GBK">
    <w:panose1 w:val="02000000000000000000"/>
    <w:charset w:val="86"/>
    <w:family w:val="auto"/>
    <w:pitch w:val="default"/>
    <w:sig w:usb0="00000001" w:usb1="08000000" w:usb2="00000000" w:usb3="00000000" w:csb0="00040000" w:csb1="00000000"/>
  </w:font>
  <w:font w:name="Nimbus Roman No9 L">
    <w:panose1 w:val="00000000000000000000"/>
    <w:charset w:val="00"/>
    <w:family w:val="auto"/>
    <w:pitch w:val="default"/>
    <w:sig w:usb0="00000000" w:usb1="00000000" w:usb2="00000000" w:usb3="00000000" w:csb0="00000000" w:csb1="00000000"/>
  </w:font>
  <w:font w:name="方正宋体S-超大字符集">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Liberation Serif">
    <w:panose1 w:val="02020603050405020304"/>
    <w:charset w:val="00"/>
    <w:family w:val="auto"/>
    <w:pitch w:val="default"/>
    <w:sig w:usb0="A00002AF" w:usb1="500078FB" w:usb2="00000000" w:usb3="00000000" w:csb0="6000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ind w:left="42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42758196"/>
                          </w:sdtPr>
                          <w:sdtContent>
                            <w:p>
                              <w:pPr>
                                <w:pStyle w:val="55"/>
                                <w:ind w:left="420" w:firstLine="360"/>
                                <w:jc w:val="center"/>
                              </w:pPr>
                              <w:r>
                                <w:fldChar w:fldCharType="begin"/>
                              </w:r>
                              <w:r>
                                <w:instrText xml:space="preserve">PAGE   \* MERGEFORMAT</w:instrText>
                              </w:r>
                              <w:r>
                                <w:fldChar w:fldCharType="separate"/>
                              </w:r>
                              <w:r>
                                <w:rPr>
                                  <w:lang w:val="zh-CN"/>
                                </w:rPr>
                                <w:t>171</w:t>
                              </w:r>
                              <w:r>
                                <w:fldChar w:fldCharType="end"/>
                              </w:r>
                            </w:p>
                          </w:sdtContent>
                        </w:sdt>
                        <w:p>
                          <w:pPr>
                            <w:pStyle w:val="33"/>
                          </w:pP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WAAAAZHJzL1BLAQIUABQAAAAI&#10;AIdO4kCzSVju0AAAAAUBAAAPAAAAAAAAAAEAIAAAADgAAABkcnMvZG93bnJldi54bWxQSwECFAAU&#10;AAAACACHTuJAs0CioRwCAAArBAAADgAAAAAAAAABACAAAAA1AQAAZHJzL2Uyb0RvYy54bWxQSwUG&#10;AAAAAAYABgBZAQAAwwUAAAAA&#10;">
              <v:fill on="f" focussize="0,0"/>
              <v:stroke on="f" weight="0.5pt"/>
              <v:imagedata o:title=""/>
              <o:lock v:ext="edit" aspectratio="f"/>
              <v:textbox inset="0mm,0mm,0mm,0mm" style="mso-fit-shape-to-text:t;">
                <w:txbxContent>
                  <w:sdt>
                    <w:sdtPr>
                      <w:id w:val="742758196"/>
                    </w:sdtPr>
                    <w:sdtContent>
                      <w:p>
                        <w:pPr>
                          <w:pStyle w:val="55"/>
                          <w:ind w:left="420" w:firstLine="360"/>
                          <w:jc w:val="center"/>
                        </w:pPr>
                        <w:r>
                          <w:fldChar w:fldCharType="begin"/>
                        </w:r>
                        <w:r>
                          <w:instrText xml:space="preserve">PAGE   \* MERGEFORMAT</w:instrText>
                        </w:r>
                        <w:r>
                          <w:fldChar w:fldCharType="separate"/>
                        </w:r>
                        <w:r>
                          <w:rPr>
                            <w:lang w:val="zh-CN"/>
                          </w:rPr>
                          <w:t>171</w:t>
                        </w:r>
                        <w:r>
                          <w:fldChar w:fldCharType="end"/>
                        </w:r>
                      </w:p>
                    </w:sdtContent>
                  </w:sdt>
                  <w:p>
                    <w:pPr>
                      <w:pStyle w:val="33"/>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spacing w:line="14" w:lineRule="auto"/>
      <w:rPr>
        <w:sz w:val="20"/>
      </w:rPr>
    </w:pPr>
    <w:r>
      <w:rPr>
        <w:sz w:val="20"/>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5"/>
                          </w:pPr>
                          <w:r>
                            <w:fldChar w:fldCharType="begin"/>
                          </w:r>
                          <w:r>
                            <w:instrText xml:space="preserve"> PAGE  \* MERGEFORMAT </w:instrText>
                          </w:r>
                          <w:r>
                            <w:fldChar w:fldCharType="separate"/>
                          </w:r>
                          <w:r>
                            <w:t>76</w:t>
                          </w:r>
                          <w: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FgAAAGRycy9QSwECFAAUAAAACACH&#10;TuJAs0lY7tAAAAAFAQAADwAAAAAAAAABACAAAAA4AAAAZHJzL2Rvd25yZXYueG1sUEsBAhQAFAAA&#10;AAgAh07iQCYa0m4aAgAAKQQAAA4AAAAAAAAAAQAgAAAANQEAAGRycy9lMm9Eb2MueG1sUEsFBgAA&#10;AAAGAAYAWQEAAMEFAAAAAA==&#10;">
              <v:fill on="f" focussize="0,0"/>
              <v:stroke on="f" weight="0.5pt"/>
              <v:imagedata o:title=""/>
              <o:lock v:ext="edit" aspectratio="f"/>
              <v:textbox inset="0mm,0mm,0mm,0mm" style="mso-fit-shape-to-text:t;">
                <w:txbxContent>
                  <w:p>
                    <w:pPr>
                      <w:pStyle w:val="55"/>
                    </w:pPr>
                    <w:r>
                      <w:fldChar w:fldCharType="begin"/>
                    </w:r>
                    <w:r>
                      <w:instrText xml:space="preserve"> PAGE  \* MERGEFORMAT </w:instrText>
                    </w:r>
                    <w:r>
                      <w:fldChar w:fldCharType="separate"/>
                    </w:r>
                    <w:r>
                      <w:t>76</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0" w:leftChars="0" w:firstLine="0" w:firstLineChars="0"/>
      <w:rPr>
        <w:rFonts w:ascii="Calibri" w:hAnsi="Calibri" w:eastAsia="Calibri" w:cs="Calibri"/>
        <w:sz w:val="17"/>
        <w:szCs w:val="17"/>
      </w:rPr>
    </w:pPr>
    <w:r>
      <w:rPr>
        <w:sz w:val="17"/>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49" name="文本框 149"/>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5"/>
                          </w:pPr>
                          <w:r>
                            <w:fldChar w:fldCharType="begin"/>
                          </w:r>
                          <w:r>
                            <w:instrText xml:space="preserve"> PAGE  \* MERGEFORMAT </w:instrText>
                          </w:r>
                          <w:r>
                            <w:fldChar w:fldCharType="separate"/>
                          </w:r>
                          <w:r>
                            <w:t>183</w:t>
                          </w:r>
                          <w: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BYAAABkcnMvUEsBAhQAFAAA&#10;AAgAh07iQLNJWO7QAAAABQEAAA8AAAAAAAAAAQAgAAAAOAAAAGRycy9kb3ducmV2LnhtbFBLAQIU&#10;ABQAAAAIAIdO4kBCH1VBHgIAAC0EAAAOAAAAAAAAAAEAIAAAADUBAABkcnMvZTJvRG9jLnhtbFBL&#10;BQYAAAAABgAGAFkBAADFBQAAAAA=&#10;">
              <v:fill on="f" focussize="0,0"/>
              <v:stroke on="f" weight="0.5pt"/>
              <v:imagedata o:title=""/>
              <o:lock v:ext="edit" aspectratio="f"/>
              <v:textbox inset="0mm,0mm,0mm,0mm" style="mso-fit-shape-to-text:t;">
                <w:txbxContent>
                  <w:p>
                    <w:pPr>
                      <w:pStyle w:val="55"/>
                    </w:pPr>
                    <w:r>
                      <w:fldChar w:fldCharType="begin"/>
                    </w:r>
                    <w:r>
                      <w:instrText xml:space="preserve"> PAGE  \* MERGEFORMAT </w:instrText>
                    </w:r>
                    <w:r>
                      <w:fldChar w:fldCharType="separate"/>
                    </w:r>
                    <w:r>
                      <w:t>183</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Bdr>
        <w:bottom w:val="none" w:color="auto" w:sz="0" w:space="1"/>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Bdr>
        <w:bottom w:val="none" w:color="auto" w:sz="0" w:space="1"/>
      </w:pBdr>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spacing w:line="14" w:lineRule="auto"/>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1BB30F"/>
    <w:multiLevelType w:val="multilevel"/>
    <w:tmpl w:val="8F1BB30F"/>
    <w:lvl w:ilvl="0" w:tentative="0">
      <w:start w:val="1"/>
      <w:numFmt w:val="decimal"/>
      <w:pStyle w:val="3653"/>
      <w:lvlText w:val="表9-%1  "/>
      <w:lvlJc w:val="center"/>
      <w:pPr>
        <w:ind w:left="420" w:hanging="420"/>
      </w:pPr>
      <w:rPr>
        <w:rFonts w:hint="default" w:ascii="Times New Roman" w:hAnsi="Times New Roman" w:eastAsia="宋体"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AEEC71B8"/>
    <w:multiLevelType w:val="singleLevel"/>
    <w:tmpl w:val="AEEC71B8"/>
    <w:lvl w:ilvl="0" w:tentative="0">
      <w:start w:val="1"/>
      <w:numFmt w:val="decimalEnclosedCircleChinese"/>
      <w:suff w:val="nothing"/>
      <w:lvlText w:val="%1　"/>
      <w:lvlJc w:val="left"/>
      <w:pPr>
        <w:ind w:left="0" w:firstLine="400"/>
      </w:pPr>
      <w:rPr>
        <w:rFonts w:hint="eastAsia"/>
      </w:rPr>
    </w:lvl>
  </w:abstractNum>
  <w:abstractNum w:abstractNumId="2">
    <w:nsid w:val="CBE135A4"/>
    <w:multiLevelType w:val="multilevel"/>
    <w:tmpl w:val="CBE135A4"/>
    <w:lvl w:ilvl="0" w:tentative="0">
      <w:start w:val="1"/>
      <w:numFmt w:val="decimal"/>
      <w:pStyle w:val="3590"/>
      <w:lvlText w:val="表5-%1  "/>
      <w:lvlJc w:val="center"/>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FFFFFF7C"/>
    <w:multiLevelType w:val="singleLevel"/>
    <w:tmpl w:val="FFFFFF7C"/>
    <w:lvl w:ilvl="0" w:tentative="0">
      <w:start w:val="1"/>
      <w:numFmt w:val="decimal"/>
      <w:pStyle w:val="65"/>
      <w:lvlText w:val="%1."/>
      <w:lvlJc w:val="left"/>
      <w:pPr>
        <w:tabs>
          <w:tab w:val="left" w:pos="2040"/>
        </w:tabs>
        <w:ind w:left="2040" w:leftChars="800" w:hanging="360" w:hangingChars="200"/>
      </w:pPr>
    </w:lvl>
  </w:abstractNum>
  <w:abstractNum w:abstractNumId="4">
    <w:nsid w:val="FFFFFF7D"/>
    <w:multiLevelType w:val="singleLevel"/>
    <w:tmpl w:val="FFFFFF7D"/>
    <w:lvl w:ilvl="0" w:tentative="0">
      <w:start w:val="1"/>
      <w:numFmt w:val="decimal"/>
      <w:pStyle w:val="47"/>
      <w:lvlText w:val="%1."/>
      <w:lvlJc w:val="left"/>
      <w:pPr>
        <w:tabs>
          <w:tab w:val="left" w:pos="1620"/>
        </w:tabs>
        <w:ind w:left="1620" w:leftChars="600" w:hanging="360" w:hangingChars="200"/>
      </w:pPr>
    </w:lvl>
  </w:abstractNum>
  <w:abstractNum w:abstractNumId="5">
    <w:nsid w:val="FFFFFF7E"/>
    <w:multiLevelType w:val="singleLevel"/>
    <w:tmpl w:val="FFFFFF7E"/>
    <w:lvl w:ilvl="0" w:tentative="0">
      <w:start w:val="1"/>
      <w:numFmt w:val="decimal"/>
      <w:pStyle w:val="36"/>
      <w:lvlText w:val="%1."/>
      <w:lvlJc w:val="left"/>
      <w:pPr>
        <w:tabs>
          <w:tab w:val="left" w:pos="1200"/>
        </w:tabs>
        <w:ind w:left="1200" w:leftChars="400" w:hanging="360" w:hangingChars="200"/>
      </w:pPr>
    </w:lvl>
  </w:abstractNum>
  <w:abstractNum w:abstractNumId="6">
    <w:nsid w:val="FFFFFF80"/>
    <w:multiLevelType w:val="singleLevel"/>
    <w:tmpl w:val="FFFFFF80"/>
    <w:lvl w:ilvl="0" w:tentative="0">
      <w:start w:val="1"/>
      <w:numFmt w:val="bullet"/>
      <w:pStyle w:val="46"/>
      <w:lvlText w:val=""/>
      <w:lvlJc w:val="left"/>
      <w:pPr>
        <w:tabs>
          <w:tab w:val="left" w:pos="2040"/>
        </w:tabs>
        <w:ind w:left="2040" w:leftChars="800" w:hanging="360" w:hangingChars="200"/>
      </w:pPr>
      <w:rPr>
        <w:rFonts w:hint="default" w:ascii="Wingdings" w:hAnsi="Wingdings"/>
      </w:rPr>
    </w:lvl>
  </w:abstractNum>
  <w:abstractNum w:abstractNumId="7">
    <w:nsid w:val="FFFFFF81"/>
    <w:multiLevelType w:val="singleLevel"/>
    <w:tmpl w:val="FFFFFF81"/>
    <w:lvl w:ilvl="0" w:tentative="0">
      <w:start w:val="1"/>
      <w:numFmt w:val="bullet"/>
      <w:pStyle w:val="16"/>
      <w:lvlText w:val=""/>
      <w:lvlJc w:val="left"/>
      <w:pPr>
        <w:tabs>
          <w:tab w:val="left" w:pos="1620"/>
        </w:tabs>
        <w:ind w:left="1620" w:leftChars="600" w:hanging="360" w:hangingChars="200"/>
      </w:pPr>
      <w:rPr>
        <w:rFonts w:hint="default" w:ascii="Wingdings" w:hAnsi="Wingdings"/>
      </w:rPr>
    </w:lvl>
  </w:abstractNum>
  <w:abstractNum w:abstractNumId="8">
    <w:nsid w:val="FFFFFF82"/>
    <w:multiLevelType w:val="singleLevel"/>
    <w:tmpl w:val="FFFFFF82"/>
    <w:lvl w:ilvl="0" w:tentative="0">
      <w:start w:val="1"/>
      <w:numFmt w:val="bullet"/>
      <w:pStyle w:val="32"/>
      <w:lvlText w:val=""/>
      <w:lvlJc w:val="left"/>
      <w:pPr>
        <w:tabs>
          <w:tab w:val="left" w:pos="1200"/>
        </w:tabs>
        <w:ind w:left="1200" w:leftChars="400" w:hanging="360" w:hangingChars="200"/>
      </w:pPr>
      <w:rPr>
        <w:rFonts w:hint="default" w:ascii="Wingdings" w:hAnsi="Wingdings"/>
      </w:rPr>
    </w:lvl>
  </w:abstractNum>
  <w:abstractNum w:abstractNumId="9">
    <w:nsid w:val="FFFFFF83"/>
    <w:multiLevelType w:val="singleLevel"/>
    <w:tmpl w:val="FFFFFF83"/>
    <w:lvl w:ilvl="0" w:tentative="0">
      <w:start w:val="1"/>
      <w:numFmt w:val="bullet"/>
      <w:pStyle w:val="40"/>
      <w:lvlText w:val=""/>
      <w:lvlJc w:val="left"/>
      <w:pPr>
        <w:tabs>
          <w:tab w:val="left" w:pos="780"/>
        </w:tabs>
        <w:ind w:left="780" w:leftChars="200" w:hanging="360" w:hangingChars="200"/>
      </w:pPr>
      <w:rPr>
        <w:rFonts w:hint="default" w:ascii="Wingdings" w:hAnsi="Wingdings"/>
      </w:rPr>
    </w:lvl>
  </w:abstractNum>
  <w:abstractNum w:abstractNumId="10">
    <w:nsid w:val="FFFFFF88"/>
    <w:multiLevelType w:val="singleLevel"/>
    <w:tmpl w:val="FFFFFF88"/>
    <w:lvl w:ilvl="0" w:tentative="0">
      <w:start w:val="1"/>
      <w:numFmt w:val="decimal"/>
      <w:pStyle w:val="19"/>
      <w:lvlText w:val="%1."/>
      <w:lvlJc w:val="left"/>
      <w:pPr>
        <w:tabs>
          <w:tab w:val="left" w:pos="360"/>
        </w:tabs>
        <w:ind w:left="360" w:hanging="360" w:hangingChars="200"/>
      </w:pPr>
    </w:lvl>
  </w:abstractNum>
  <w:abstractNum w:abstractNumId="11">
    <w:nsid w:val="FFFFFF89"/>
    <w:multiLevelType w:val="singleLevel"/>
    <w:tmpl w:val="FFFFFF89"/>
    <w:lvl w:ilvl="0" w:tentative="0">
      <w:start w:val="1"/>
      <w:numFmt w:val="bullet"/>
      <w:pStyle w:val="788"/>
      <w:lvlText w:val=""/>
      <w:lvlJc w:val="left"/>
      <w:pPr>
        <w:tabs>
          <w:tab w:val="left" w:pos="360"/>
        </w:tabs>
        <w:ind w:left="360" w:hanging="360" w:hangingChars="200"/>
      </w:pPr>
      <w:rPr>
        <w:rFonts w:hint="default" w:ascii="Wingdings" w:hAnsi="Wingdings"/>
      </w:rPr>
    </w:lvl>
  </w:abstractNum>
  <w:abstractNum w:abstractNumId="12">
    <w:nsid w:val="01E90F0D"/>
    <w:multiLevelType w:val="singleLevel"/>
    <w:tmpl w:val="01E90F0D"/>
    <w:lvl w:ilvl="0" w:tentative="0">
      <w:start w:val="1"/>
      <w:numFmt w:val="decimal"/>
      <w:lvlText w:val="(%1)"/>
      <w:lvlJc w:val="left"/>
      <w:pPr>
        <w:ind w:left="425" w:hanging="425"/>
      </w:pPr>
      <w:rPr>
        <w:rFonts w:hint="default"/>
      </w:rPr>
    </w:lvl>
  </w:abstractNum>
  <w:abstractNum w:abstractNumId="13">
    <w:nsid w:val="09996B3F"/>
    <w:multiLevelType w:val="multilevel"/>
    <w:tmpl w:val="09996B3F"/>
    <w:lvl w:ilvl="0" w:tentative="0">
      <w:start w:val="1"/>
      <w:numFmt w:val="decimal"/>
      <w:lvlText w:val="（%1）"/>
      <w:lvlJc w:val="left"/>
      <w:pPr>
        <w:tabs>
          <w:tab w:val="left" w:pos="1080"/>
        </w:tabs>
        <w:ind w:left="1080" w:hanging="720"/>
      </w:pPr>
      <w:rPr>
        <w:rFonts w:hint="eastAsia"/>
        <w:b w:val="0"/>
        <w:color w:val="auto"/>
      </w:rPr>
    </w:lvl>
    <w:lvl w:ilvl="1" w:tentative="0">
      <w:start w:val="1"/>
      <w:numFmt w:val="decimal"/>
      <w:lvlText w:val="（%2）"/>
      <w:lvlJc w:val="left"/>
      <w:pPr>
        <w:tabs>
          <w:tab w:val="left" w:pos="1260"/>
        </w:tabs>
        <w:ind w:left="1260" w:hanging="720"/>
      </w:pPr>
      <w:rPr>
        <w:rFonts w:hint="eastAsia"/>
      </w:rPr>
    </w:lvl>
    <w:lvl w:ilvl="2" w:tentative="0">
      <w:start w:val="1"/>
      <w:numFmt w:val="lowerRoman"/>
      <w:lvlText w:val="%3."/>
      <w:lvlJc w:val="right"/>
      <w:pPr>
        <w:tabs>
          <w:tab w:val="left" w:pos="1620"/>
        </w:tabs>
        <w:ind w:left="1620" w:hanging="420"/>
      </w:pPr>
    </w:lvl>
    <w:lvl w:ilvl="3" w:tentative="0">
      <w:start w:val="1"/>
      <w:numFmt w:val="decimal"/>
      <w:lvlText w:val="%4."/>
      <w:lvlJc w:val="left"/>
      <w:pPr>
        <w:tabs>
          <w:tab w:val="left" w:pos="2040"/>
        </w:tabs>
        <w:ind w:left="2040" w:hanging="420"/>
      </w:pPr>
    </w:lvl>
    <w:lvl w:ilvl="4" w:tentative="0">
      <w:start w:val="1"/>
      <w:numFmt w:val="lowerLetter"/>
      <w:lvlText w:val="%5)"/>
      <w:lvlJc w:val="left"/>
      <w:pPr>
        <w:tabs>
          <w:tab w:val="left" w:pos="2460"/>
        </w:tabs>
        <w:ind w:left="2460" w:hanging="420"/>
      </w:pPr>
    </w:lvl>
    <w:lvl w:ilvl="5" w:tentative="0">
      <w:start w:val="1"/>
      <w:numFmt w:val="lowerRoman"/>
      <w:lvlText w:val="%6."/>
      <w:lvlJc w:val="right"/>
      <w:pPr>
        <w:tabs>
          <w:tab w:val="left" w:pos="2880"/>
        </w:tabs>
        <w:ind w:left="2880" w:hanging="420"/>
      </w:pPr>
    </w:lvl>
    <w:lvl w:ilvl="6" w:tentative="0">
      <w:start w:val="1"/>
      <w:numFmt w:val="decimal"/>
      <w:lvlText w:val="%7."/>
      <w:lvlJc w:val="left"/>
      <w:pPr>
        <w:tabs>
          <w:tab w:val="left" w:pos="3300"/>
        </w:tabs>
        <w:ind w:left="3300" w:hanging="420"/>
      </w:pPr>
    </w:lvl>
    <w:lvl w:ilvl="7" w:tentative="0">
      <w:start w:val="1"/>
      <w:numFmt w:val="lowerLetter"/>
      <w:lvlText w:val="%8)"/>
      <w:lvlJc w:val="left"/>
      <w:pPr>
        <w:tabs>
          <w:tab w:val="left" w:pos="3720"/>
        </w:tabs>
        <w:ind w:left="3720" w:hanging="420"/>
      </w:pPr>
    </w:lvl>
    <w:lvl w:ilvl="8" w:tentative="0">
      <w:start w:val="1"/>
      <w:numFmt w:val="lowerRoman"/>
      <w:lvlText w:val="%9."/>
      <w:lvlJc w:val="right"/>
      <w:pPr>
        <w:tabs>
          <w:tab w:val="left" w:pos="4140"/>
        </w:tabs>
        <w:ind w:left="4140" w:hanging="420"/>
      </w:pPr>
    </w:lvl>
  </w:abstractNum>
  <w:abstractNum w:abstractNumId="14">
    <w:nsid w:val="0CEA2B28"/>
    <w:multiLevelType w:val="multilevel"/>
    <w:tmpl w:val="0CEA2B28"/>
    <w:lvl w:ilvl="0" w:tentative="0">
      <w:start w:val="1"/>
      <w:numFmt w:val="decimal"/>
      <w:pStyle w:val="3588"/>
      <w:lvlText w:val="表4-%1  "/>
      <w:lvlJc w:val="center"/>
      <w:pPr>
        <w:ind w:left="420" w:hanging="420"/>
      </w:pPr>
      <w:rPr>
        <w:rFonts w:hint="eastAsia"/>
        <w:vertAlign w:val="baseli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0DC55E8C"/>
    <w:multiLevelType w:val="multilevel"/>
    <w:tmpl w:val="0DC55E8C"/>
    <w:lvl w:ilvl="0" w:tentative="0">
      <w:start w:val="1"/>
      <w:numFmt w:val="decimal"/>
      <w:pStyle w:val="843"/>
      <w:isLgl/>
      <w:lvlText w:val="%1"/>
      <w:lvlJc w:val="left"/>
      <w:pPr>
        <w:tabs>
          <w:tab w:val="left" w:pos="425"/>
        </w:tabs>
        <w:ind w:left="425" w:hanging="425"/>
      </w:pPr>
      <w:rPr>
        <w:rFonts w:hint="eastAsia" w:ascii="Times New Roman" w:hAnsi="Times New Roman" w:cs="Times New Roman"/>
        <w:b/>
        <w:bCs w:val="0"/>
        <w:i w:val="0"/>
        <w:iCs w:val="0"/>
        <w:caps w:val="0"/>
        <w:smallCaps w:val="0"/>
        <w:strike w:val="0"/>
        <w:dstrike w:val="0"/>
        <w:vanish w:val="0"/>
        <w:color w:val="000000"/>
        <w:spacing w:val="0"/>
        <w:position w:val="0"/>
        <w:sz w:val="28"/>
        <w:szCs w:val="28"/>
        <w:u w:val="none"/>
        <w:vertAlign w:val="baseline"/>
        <w14:shadow w14:blurRad="0" w14:dist="0" w14:dir="0" w14:sx="0" w14:sy="0" w14:kx="0" w14:ky="0" w14:algn="none">
          <w14:srgbClr w14:val="000000"/>
        </w14:shadow>
      </w:rPr>
    </w:lvl>
    <w:lvl w:ilvl="1" w:tentative="0">
      <w:start w:val="1"/>
      <w:numFmt w:val="decimal"/>
      <w:pStyle w:val="841"/>
      <w:lvlText w:val="%1.%2"/>
      <w:lvlJc w:val="center"/>
      <w:pPr>
        <w:tabs>
          <w:tab w:val="left" w:pos="2446"/>
        </w:tabs>
        <w:ind w:left="2446" w:firstLine="0"/>
      </w:pPr>
      <w:rPr>
        <w:rFonts w:hint="eastAsia" w:ascii="宋体" w:hAnsi="宋体" w:eastAsia="宋体"/>
        <w:b/>
        <w:color w:val="auto"/>
        <w:sz w:val="24"/>
        <w:szCs w:val="24"/>
      </w:rPr>
    </w:lvl>
    <w:lvl w:ilvl="2" w:tentative="0">
      <w:start w:val="1"/>
      <w:numFmt w:val="decimal"/>
      <w:lvlText w:val="%1.%2.%3"/>
      <w:lvlJc w:val="left"/>
      <w:pPr>
        <w:tabs>
          <w:tab w:val="left" w:pos="709"/>
        </w:tabs>
        <w:ind w:left="709" w:hanging="709"/>
      </w:pPr>
      <w:rPr>
        <w:rFonts w:hint="eastAsia" w:ascii="宋体" w:hAnsi="宋体" w:eastAsia="宋体"/>
        <w:color w:val="auto"/>
      </w:rPr>
    </w:lvl>
    <w:lvl w:ilvl="3" w:tentative="0">
      <w:start w:val="1"/>
      <w:numFmt w:val="decimal"/>
      <w:lvlText w:val="%1.%2.%3.%4"/>
      <w:lvlJc w:val="left"/>
      <w:pPr>
        <w:tabs>
          <w:tab w:val="left" w:pos="425"/>
        </w:tabs>
        <w:ind w:left="360" w:hanging="360"/>
      </w:pPr>
      <w:rPr>
        <w:rFonts w:hint="eastAsia" w:ascii="宋体" w:hAnsi="宋体" w:eastAsia="宋体" w:cs="Times New Roman"/>
        <w:b w:val="0"/>
        <w:bCs w:val="0"/>
        <w:i w:val="0"/>
        <w:iCs w:val="0"/>
        <w:caps w:val="0"/>
        <w:smallCaps w:val="0"/>
        <w:strike w:val="0"/>
        <w:dstrike w:val="0"/>
        <w:vanish w:val="0"/>
        <w:color w:val="000000"/>
        <w:spacing w:val="0"/>
        <w:position w:val="0"/>
        <w:sz w:val="24"/>
        <w:szCs w:val="24"/>
        <w:u w:val="none"/>
        <w:vertAlign w:val="baseline"/>
        <w14:shadow w14:blurRad="0" w14:dist="0" w14:dir="0" w14:sx="0" w14:sy="0" w14:kx="0" w14:ky="0" w14:algn="none">
          <w14:srgbClr w14:val="000000"/>
        </w14:shadow>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6">
    <w:nsid w:val="0F210F6B"/>
    <w:multiLevelType w:val="multilevel"/>
    <w:tmpl w:val="0F210F6B"/>
    <w:lvl w:ilvl="0" w:tentative="0">
      <w:start w:val="1"/>
      <w:numFmt w:val="decimal"/>
      <w:pStyle w:val="1932"/>
      <w:lvlText w:val="(%1)"/>
      <w:lvlJc w:val="left"/>
      <w:pPr>
        <w:tabs>
          <w:tab w:val="left" w:pos="0"/>
        </w:tabs>
        <w:ind w:left="0" w:firstLine="0"/>
      </w:pPr>
      <w:rPr>
        <w:rFonts w:hint="default" w:ascii="Arial" w:hAnsi="Arial" w:eastAsia="宋体"/>
        <w:b w:val="0"/>
        <w:i w:val="0"/>
        <w:caps w:val="0"/>
        <w:strike w:val="0"/>
        <w:dstrike w:val="0"/>
        <w:vanish w:val="0"/>
        <w:color w:val="auto"/>
        <w:sz w:val="24"/>
        <w:szCs w:val="24"/>
        <w:u w:val="none"/>
        <w:vertAlign w:val="baseline"/>
        <w14:shadow w14:blurRad="0" w14:dist="0" w14:dir="0" w14:sx="0" w14:sy="0" w14:kx="0" w14:ky="0" w14:algn="none">
          <w14:srgbClr w14:val="000000"/>
        </w14:shadow>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7">
    <w:nsid w:val="0F4F09C1"/>
    <w:multiLevelType w:val="multilevel"/>
    <w:tmpl w:val="0F4F09C1"/>
    <w:lvl w:ilvl="0" w:tentative="0">
      <w:start w:val="1"/>
      <w:numFmt w:val="decimal"/>
      <w:pStyle w:val="3594"/>
      <w:lvlText w:val="表7-%1  "/>
      <w:lvlJc w:val="center"/>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112F7E9C"/>
    <w:multiLevelType w:val="multilevel"/>
    <w:tmpl w:val="112F7E9C"/>
    <w:lvl w:ilvl="0" w:tentative="0">
      <w:start w:val="1"/>
      <w:numFmt w:val="decimal"/>
      <w:pStyle w:val="2"/>
      <w:isLgl/>
      <w:suff w:val="nothing"/>
      <w:lvlText w:val="第%1章"/>
      <w:lvlJc w:val="left"/>
      <w:rPr>
        <w:rFonts w:ascii="Times New Roman" w:hAnsi="Times New Roman" w:eastAsia="Times New Roman" w:cs="Times New Roman"/>
        <w:sz w:val="36"/>
        <w:szCs w:val="36"/>
      </w:rPr>
    </w:lvl>
    <w:lvl w:ilvl="1" w:tentative="0">
      <w:start w:val="1"/>
      <w:numFmt w:val="decimal"/>
      <w:pStyle w:val="3"/>
      <w:isLgl/>
      <w:suff w:val="nothing"/>
      <w:lvlText w:val="%1.%2 "/>
      <w:lvlJc w:val="left"/>
      <w:rPr>
        <w:rFonts w:hint="default" w:ascii="Times New Roman" w:hAnsi="Times New Roman" w:eastAsia="宋体" w:cs="Times New Roman"/>
        <w:b/>
        <w:i w:val="0"/>
        <w:color w:val="auto"/>
        <w:sz w:val="32"/>
        <w:szCs w:val="32"/>
      </w:rPr>
    </w:lvl>
    <w:lvl w:ilvl="2" w:tentative="0">
      <w:start w:val="1"/>
      <w:numFmt w:val="decimal"/>
      <w:pStyle w:val="4"/>
      <w:isLgl/>
      <w:suff w:val="space"/>
      <w:lvlText w:val="%1.%2.%3 "/>
      <w:lvlJc w:val="left"/>
      <w:rPr>
        <w:rFonts w:hint="default" w:ascii="Times New Roman" w:hAnsi="Times New Roman" w:cs="Times New Roman"/>
        <w:b/>
        <w:sz w:val="30"/>
        <w:szCs w:val="30"/>
      </w:rPr>
    </w:lvl>
    <w:lvl w:ilvl="3" w:tentative="0">
      <w:start w:val="1"/>
      <w:numFmt w:val="decimal"/>
      <w:pStyle w:val="5"/>
      <w:isLgl/>
      <w:suff w:val="space"/>
      <w:lvlText w:val="%1.%2.%3.%4"/>
      <w:lvlJc w:val="left"/>
      <w:pPr>
        <w:ind w:firstLine="284"/>
      </w:pPr>
      <w:rPr>
        <w:rFonts w:hint="default" w:ascii="Times New Roman" w:hAnsi="Times New Roman" w:cs="Times New Roman"/>
        <w:b/>
        <w:sz w:val="24"/>
        <w:szCs w:val="28"/>
      </w:rPr>
    </w:lvl>
    <w:lvl w:ilvl="4" w:tentative="0">
      <w:start w:val="1"/>
      <w:numFmt w:val="decimal"/>
      <w:pStyle w:val="6"/>
      <w:isLgl/>
      <w:lvlText w:val="%1.%2.%3.%4.%5"/>
      <w:lvlJc w:val="left"/>
      <w:pPr>
        <w:tabs>
          <w:tab w:val="left" w:pos="1364"/>
        </w:tabs>
        <w:ind w:firstLine="284"/>
      </w:pPr>
      <w:rPr>
        <w:rFonts w:hint="eastAsia"/>
      </w:rPr>
    </w:lvl>
    <w:lvl w:ilvl="5" w:tentative="0">
      <w:start w:val="1"/>
      <w:numFmt w:val="decimal"/>
      <w:pStyle w:val="7"/>
      <w:lvlText w:val="%1.%2.%3.%4.%5.%6"/>
      <w:lvlJc w:val="left"/>
      <w:pPr>
        <w:tabs>
          <w:tab w:val="left" w:pos="432"/>
        </w:tabs>
        <w:ind w:left="432" w:hanging="1152"/>
      </w:pPr>
      <w:rPr>
        <w:rFonts w:hint="eastAsia"/>
      </w:rPr>
    </w:lvl>
    <w:lvl w:ilvl="6" w:tentative="0">
      <w:start w:val="1"/>
      <w:numFmt w:val="decimal"/>
      <w:pStyle w:val="8"/>
      <w:lvlText w:val="%1.%2.%3.%4.%5.%6.%7"/>
      <w:lvlJc w:val="left"/>
      <w:pPr>
        <w:tabs>
          <w:tab w:val="left" w:pos="576"/>
        </w:tabs>
        <w:ind w:left="576" w:hanging="1296"/>
      </w:pPr>
      <w:rPr>
        <w:rFonts w:hint="eastAsia"/>
      </w:rPr>
    </w:lvl>
    <w:lvl w:ilvl="7" w:tentative="0">
      <w:start w:val="1"/>
      <w:numFmt w:val="decimal"/>
      <w:pStyle w:val="9"/>
      <w:lvlText w:val="%1.%2.%3.%4.%5.%6.%7.%8"/>
      <w:lvlJc w:val="left"/>
      <w:pPr>
        <w:tabs>
          <w:tab w:val="left" w:pos="720"/>
        </w:tabs>
        <w:ind w:left="720" w:hanging="1440"/>
      </w:pPr>
      <w:rPr>
        <w:rFonts w:hint="eastAsia"/>
      </w:rPr>
    </w:lvl>
    <w:lvl w:ilvl="8" w:tentative="0">
      <w:start w:val="1"/>
      <w:numFmt w:val="decimal"/>
      <w:pStyle w:val="10"/>
      <w:lvlText w:val="%1.%2.%3.%4.%5.%6.%7.%8.%9"/>
      <w:lvlJc w:val="left"/>
      <w:pPr>
        <w:tabs>
          <w:tab w:val="left" w:pos="864"/>
        </w:tabs>
        <w:ind w:left="864" w:hanging="1584"/>
      </w:pPr>
      <w:rPr>
        <w:rFonts w:hint="eastAsia"/>
      </w:rPr>
    </w:lvl>
  </w:abstractNum>
  <w:abstractNum w:abstractNumId="19">
    <w:nsid w:val="26E8569B"/>
    <w:multiLevelType w:val="multilevel"/>
    <w:tmpl w:val="26E8569B"/>
    <w:lvl w:ilvl="0" w:tentative="0">
      <w:start w:val="1"/>
      <w:numFmt w:val="upperLetter"/>
      <w:pStyle w:val="1870"/>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28AF7EDD"/>
    <w:multiLevelType w:val="multilevel"/>
    <w:tmpl w:val="28AF7EDD"/>
    <w:lvl w:ilvl="0" w:tentative="0">
      <w:start w:val="1"/>
      <w:numFmt w:val="decimal"/>
      <w:lvlText w:val="%1 "/>
      <w:lvlJc w:val="left"/>
      <w:pPr>
        <w:tabs>
          <w:tab w:val="left" w:pos="425"/>
        </w:tabs>
        <w:ind w:left="425" w:hanging="425"/>
      </w:pPr>
      <w:rPr>
        <w:rFonts w:hint="eastAsia" w:eastAsia="宋体"/>
        <w:b/>
        <w:bCs/>
        <w:spacing w:val="-4"/>
        <w:kern w:val="2"/>
        <w:sz w:val="28"/>
      </w:rPr>
    </w:lvl>
    <w:lvl w:ilvl="1" w:tentative="0">
      <w:start w:val="1"/>
      <w:numFmt w:val="decimal"/>
      <w:lvlText w:val="%1.%2 "/>
      <w:lvlJc w:val="left"/>
      <w:pPr>
        <w:tabs>
          <w:tab w:val="left" w:pos="567"/>
        </w:tabs>
        <w:ind w:left="567" w:hanging="567"/>
      </w:pPr>
      <w:rPr>
        <w:rFonts w:hint="eastAsia"/>
      </w:rPr>
    </w:lvl>
    <w:lvl w:ilvl="2" w:tentative="0">
      <w:start w:val="1"/>
      <w:numFmt w:val="decimal"/>
      <w:lvlText w:val="%1.%2.%3 "/>
      <w:lvlJc w:val="left"/>
      <w:pPr>
        <w:tabs>
          <w:tab w:val="left" w:pos="709"/>
        </w:tabs>
        <w:ind w:left="709" w:hanging="709"/>
      </w:pPr>
      <w:rPr>
        <w:rFonts w:hint="eastAsia"/>
      </w:rPr>
    </w:lvl>
    <w:lvl w:ilvl="3" w:tentative="0">
      <w:start w:val="1"/>
      <w:numFmt w:val="decimal"/>
      <w:lvlText w:val="%1.%2.%3.%4 "/>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1">
    <w:nsid w:val="2C3D68E7"/>
    <w:multiLevelType w:val="singleLevel"/>
    <w:tmpl w:val="2C3D68E7"/>
    <w:lvl w:ilvl="0" w:tentative="0">
      <w:start w:val="1"/>
      <w:numFmt w:val="decimal"/>
      <w:suff w:val="nothing"/>
      <w:lvlText w:val="（%1）"/>
      <w:lvlJc w:val="left"/>
    </w:lvl>
  </w:abstractNum>
  <w:abstractNum w:abstractNumId="22">
    <w:nsid w:val="2C8C3E05"/>
    <w:multiLevelType w:val="multilevel"/>
    <w:tmpl w:val="2C8C3E05"/>
    <w:lvl w:ilvl="0" w:tentative="0">
      <w:start w:val="1"/>
      <w:numFmt w:val="decimal"/>
      <w:pStyle w:val="1877"/>
      <w:lvlText w:val="%1"/>
      <w:lvlJc w:val="left"/>
      <w:pPr>
        <w:tabs>
          <w:tab w:val="left" w:pos="711"/>
        </w:tabs>
        <w:ind w:left="711" w:hanging="432"/>
      </w:pPr>
      <w:rPr>
        <w:rFonts w:hint="eastAsia"/>
      </w:rPr>
    </w:lvl>
    <w:lvl w:ilvl="1" w:tentative="0">
      <w:start w:val="1"/>
      <w:numFmt w:val="decimal"/>
      <w:pStyle w:val="2136"/>
      <w:lvlText w:val="%1.%2"/>
      <w:lvlJc w:val="left"/>
      <w:pPr>
        <w:tabs>
          <w:tab w:val="left" w:pos="855"/>
        </w:tabs>
        <w:ind w:left="855" w:hanging="576"/>
      </w:pPr>
      <w:rPr>
        <w:rFonts w:hint="eastAsia"/>
      </w:rPr>
    </w:lvl>
    <w:lvl w:ilvl="2" w:tentative="0">
      <w:start w:val="1"/>
      <w:numFmt w:val="decimal"/>
      <w:pStyle w:val="473"/>
      <w:lvlText w:val="%1.%2.%3"/>
      <w:lvlJc w:val="left"/>
      <w:pPr>
        <w:tabs>
          <w:tab w:val="left" w:pos="999"/>
        </w:tabs>
        <w:ind w:left="999" w:hanging="720"/>
      </w:pPr>
      <w:rPr>
        <w:rFonts w:hint="eastAsia"/>
        <w:lang w:val="en-US"/>
      </w:rPr>
    </w:lvl>
    <w:lvl w:ilvl="3" w:tentative="0">
      <w:start w:val="1"/>
      <w:numFmt w:val="decimal"/>
      <w:lvlText w:val="%1.%2.%3.%4"/>
      <w:lvlJc w:val="left"/>
      <w:pPr>
        <w:tabs>
          <w:tab w:val="left" w:pos="1143"/>
        </w:tabs>
        <w:ind w:left="1143" w:hanging="864"/>
      </w:pPr>
      <w:rPr>
        <w:rFonts w:hint="eastAsia"/>
      </w:rPr>
    </w:lvl>
    <w:lvl w:ilvl="4" w:tentative="0">
      <w:start w:val="1"/>
      <w:numFmt w:val="decimal"/>
      <w:lvlText w:val="%1.%2.%3.%4.%5"/>
      <w:lvlJc w:val="left"/>
      <w:pPr>
        <w:tabs>
          <w:tab w:val="left" w:pos="1287"/>
        </w:tabs>
        <w:ind w:left="1287" w:hanging="1008"/>
      </w:pPr>
      <w:rPr>
        <w:rFonts w:hint="eastAsia"/>
      </w:rPr>
    </w:lvl>
    <w:lvl w:ilvl="5" w:tentative="0">
      <w:start w:val="1"/>
      <w:numFmt w:val="decimal"/>
      <w:lvlText w:val="%1.%2.%3.%4.%5.%6"/>
      <w:lvlJc w:val="left"/>
      <w:pPr>
        <w:tabs>
          <w:tab w:val="left" w:pos="1431"/>
        </w:tabs>
        <w:ind w:left="1431" w:hanging="1152"/>
      </w:pPr>
      <w:rPr>
        <w:rFonts w:hint="eastAsia"/>
      </w:rPr>
    </w:lvl>
    <w:lvl w:ilvl="6" w:tentative="0">
      <w:start w:val="1"/>
      <w:numFmt w:val="decimal"/>
      <w:lvlText w:val="%1.%2.%3.%4.%5.%6.%7"/>
      <w:lvlJc w:val="left"/>
      <w:pPr>
        <w:tabs>
          <w:tab w:val="left" w:pos="1575"/>
        </w:tabs>
        <w:ind w:left="1575" w:hanging="1296"/>
      </w:pPr>
      <w:rPr>
        <w:rFonts w:hint="eastAsia"/>
      </w:rPr>
    </w:lvl>
    <w:lvl w:ilvl="7" w:tentative="0">
      <w:start w:val="1"/>
      <w:numFmt w:val="decimal"/>
      <w:lvlText w:val="%1.%2.%3.%4.%5.%6.%7.%8"/>
      <w:lvlJc w:val="left"/>
      <w:pPr>
        <w:tabs>
          <w:tab w:val="left" w:pos="1719"/>
        </w:tabs>
        <w:ind w:left="1719" w:hanging="1440"/>
      </w:pPr>
      <w:rPr>
        <w:rFonts w:hint="eastAsia"/>
      </w:rPr>
    </w:lvl>
    <w:lvl w:ilvl="8" w:tentative="0">
      <w:start w:val="1"/>
      <w:numFmt w:val="decimal"/>
      <w:lvlText w:val="%1.%2.%3.%4.%5.%6.%7.%8.%9"/>
      <w:lvlJc w:val="left"/>
      <w:pPr>
        <w:tabs>
          <w:tab w:val="left" w:pos="1863"/>
        </w:tabs>
        <w:ind w:left="1863" w:hanging="1584"/>
      </w:pPr>
      <w:rPr>
        <w:rFonts w:hint="eastAsia"/>
      </w:rPr>
    </w:lvl>
  </w:abstractNum>
  <w:abstractNum w:abstractNumId="23">
    <w:nsid w:val="330B5D76"/>
    <w:multiLevelType w:val="multilevel"/>
    <w:tmpl w:val="330B5D76"/>
    <w:lvl w:ilvl="0" w:tentative="0">
      <w:start w:val="1"/>
      <w:numFmt w:val="decimalEnclosedCircle"/>
      <w:pStyle w:val="1869"/>
      <w:lvlText w:val="%1"/>
      <w:lvlJc w:val="left"/>
      <w:pPr>
        <w:ind w:left="1352" w:hanging="360"/>
      </w:pPr>
      <w:rPr>
        <w:rFonts w:hint="default"/>
      </w:rPr>
    </w:lvl>
    <w:lvl w:ilvl="1" w:tentative="0">
      <w:start w:val="1"/>
      <w:numFmt w:val="lowerLetter"/>
      <w:lvlText w:val="%2)"/>
      <w:lvlJc w:val="left"/>
      <w:pPr>
        <w:ind w:left="1832" w:hanging="420"/>
      </w:pPr>
    </w:lvl>
    <w:lvl w:ilvl="2" w:tentative="0">
      <w:start w:val="1"/>
      <w:numFmt w:val="lowerRoman"/>
      <w:lvlText w:val="%3."/>
      <w:lvlJc w:val="right"/>
      <w:pPr>
        <w:ind w:left="2252" w:hanging="420"/>
      </w:pPr>
    </w:lvl>
    <w:lvl w:ilvl="3" w:tentative="0">
      <w:start w:val="1"/>
      <w:numFmt w:val="decimal"/>
      <w:lvlText w:val="%4."/>
      <w:lvlJc w:val="left"/>
      <w:pPr>
        <w:ind w:left="2672" w:hanging="420"/>
      </w:pPr>
    </w:lvl>
    <w:lvl w:ilvl="4" w:tentative="0">
      <w:start w:val="1"/>
      <w:numFmt w:val="lowerLetter"/>
      <w:lvlText w:val="%5)"/>
      <w:lvlJc w:val="left"/>
      <w:pPr>
        <w:ind w:left="3092" w:hanging="420"/>
      </w:pPr>
    </w:lvl>
    <w:lvl w:ilvl="5" w:tentative="0">
      <w:start w:val="1"/>
      <w:numFmt w:val="lowerRoman"/>
      <w:lvlText w:val="%6."/>
      <w:lvlJc w:val="right"/>
      <w:pPr>
        <w:ind w:left="3512" w:hanging="420"/>
      </w:pPr>
    </w:lvl>
    <w:lvl w:ilvl="6" w:tentative="0">
      <w:start w:val="1"/>
      <w:numFmt w:val="decimal"/>
      <w:lvlText w:val="%7."/>
      <w:lvlJc w:val="left"/>
      <w:pPr>
        <w:ind w:left="3932" w:hanging="420"/>
      </w:pPr>
    </w:lvl>
    <w:lvl w:ilvl="7" w:tentative="0">
      <w:start w:val="1"/>
      <w:numFmt w:val="lowerLetter"/>
      <w:lvlText w:val="%8)"/>
      <w:lvlJc w:val="left"/>
      <w:pPr>
        <w:ind w:left="4352" w:hanging="420"/>
      </w:pPr>
    </w:lvl>
    <w:lvl w:ilvl="8" w:tentative="0">
      <w:start w:val="1"/>
      <w:numFmt w:val="lowerRoman"/>
      <w:lvlText w:val="%9."/>
      <w:lvlJc w:val="right"/>
      <w:pPr>
        <w:ind w:left="4772" w:hanging="420"/>
      </w:pPr>
    </w:lvl>
  </w:abstractNum>
  <w:abstractNum w:abstractNumId="24">
    <w:nsid w:val="362722E1"/>
    <w:multiLevelType w:val="multilevel"/>
    <w:tmpl w:val="362722E1"/>
    <w:lvl w:ilvl="0" w:tentative="0">
      <w:start w:val="1"/>
      <w:numFmt w:val="lowerLetter"/>
      <w:pStyle w:val="1872"/>
      <w:lvlText w:val="%1、"/>
      <w:lvlJc w:val="left"/>
      <w:pPr>
        <w:ind w:left="845" w:hanging="420"/>
      </w:pPr>
      <w:rPr>
        <w:rFonts w:hint="eastAsia"/>
      </w:r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25">
    <w:nsid w:val="3750040A"/>
    <w:multiLevelType w:val="singleLevel"/>
    <w:tmpl w:val="3750040A"/>
    <w:lvl w:ilvl="0" w:tentative="0">
      <w:start w:val="2"/>
      <w:numFmt w:val="decimal"/>
      <w:suff w:val="nothing"/>
      <w:lvlText w:val="%1、"/>
      <w:lvlJc w:val="left"/>
    </w:lvl>
  </w:abstractNum>
  <w:abstractNum w:abstractNumId="26">
    <w:nsid w:val="39054188"/>
    <w:multiLevelType w:val="singleLevel"/>
    <w:tmpl w:val="39054188"/>
    <w:lvl w:ilvl="0" w:tentative="0">
      <w:start w:val="1"/>
      <w:numFmt w:val="decimal"/>
      <w:pStyle w:val="783"/>
      <w:lvlText w:val="[%1]"/>
      <w:lvlJc w:val="left"/>
      <w:pPr>
        <w:tabs>
          <w:tab w:val="left" w:pos="1275"/>
        </w:tabs>
        <w:ind w:left="1275" w:hanging="855"/>
      </w:pPr>
      <w:rPr>
        <w:rFonts w:hint="eastAsia"/>
      </w:rPr>
    </w:lvl>
  </w:abstractNum>
  <w:abstractNum w:abstractNumId="27">
    <w:nsid w:val="39275CC2"/>
    <w:multiLevelType w:val="multilevel"/>
    <w:tmpl w:val="39275CC2"/>
    <w:lvl w:ilvl="0" w:tentative="0">
      <w:start w:val="1"/>
      <w:numFmt w:val="decimal"/>
      <w:pStyle w:val="3317"/>
      <w:lvlText w:val="（%1）"/>
      <w:lvlJc w:val="left"/>
      <w:pPr>
        <w:tabs>
          <w:tab w:val="left" w:pos="720"/>
        </w:tabs>
        <w:ind w:left="720" w:hanging="720"/>
      </w:pPr>
      <w:rPr>
        <w:rFonts w:hint="eastAsia"/>
      </w:rPr>
    </w:lvl>
    <w:lvl w:ilvl="1" w:tentative="0">
      <w:start w:val="1"/>
      <w:numFmt w:val="decimal"/>
      <w:pStyle w:val="3279"/>
      <w:lvlText w:val="%2、"/>
      <w:lvlJc w:val="left"/>
      <w:pPr>
        <w:tabs>
          <w:tab w:val="left" w:pos="1380"/>
        </w:tabs>
        <w:ind w:left="1380" w:hanging="960"/>
      </w:pPr>
      <w:rPr>
        <w:rFonts w:hint="default"/>
      </w:rPr>
    </w:lvl>
    <w:lvl w:ilvl="2" w:tentative="0">
      <w:start w:val="1"/>
      <w:numFmt w:val="decimal"/>
      <w:pStyle w:val="3244"/>
      <w:lvlText w:val="（%3）"/>
      <w:lvlJc w:val="left"/>
      <w:pPr>
        <w:tabs>
          <w:tab w:val="left" w:pos="1560"/>
        </w:tabs>
        <w:ind w:left="1560" w:hanging="720"/>
      </w:pPr>
      <w:rPr>
        <w:rFonts w:hint="eastAsia"/>
      </w:rPr>
    </w:lvl>
    <w:lvl w:ilvl="3" w:tentative="0">
      <w:start w:val="1"/>
      <w:numFmt w:val="decimal"/>
      <w:pStyle w:val="3247"/>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8">
    <w:nsid w:val="3ACC762E"/>
    <w:multiLevelType w:val="multilevel"/>
    <w:tmpl w:val="3ACC762E"/>
    <w:lvl w:ilvl="0" w:tentative="0">
      <w:start w:val="1"/>
      <w:numFmt w:val="decimal"/>
      <w:lvlText w:val="（%1）"/>
      <w:lvlJc w:val="left"/>
      <w:pPr>
        <w:tabs>
          <w:tab w:val="left" w:pos="720"/>
        </w:tabs>
        <w:ind w:left="0" w:firstLine="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pStyle w:val="3308"/>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9">
    <w:nsid w:val="409009D8"/>
    <w:multiLevelType w:val="multilevel"/>
    <w:tmpl w:val="409009D8"/>
    <w:lvl w:ilvl="0" w:tentative="0">
      <w:start w:val="1"/>
      <w:numFmt w:val="decimal"/>
      <w:pStyle w:val="1974"/>
      <w:lvlText w:val="(%1)"/>
      <w:lvlJc w:val="left"/>
      <w:pPr>
        <w:tabs>
          <w:tab w:val="left" w:pos="471"/>
        </w:tabs>
        <w:ind w:left="0" w:firstLine="471"/>
      </w:pPr>
      <w:rPr>
        <w:rFonts w:hint="default" w:ascii="Arial" w:hAnsi="Arial" w:eastAsia="宋体"/>
        <w:b w:val="0"/>
        <w:i w:val="0"/>
        <w:caps w:val="0"/>
        <w:strike w:val="0"/>
        <w:dstrike w:val="0"/>
        <w:vanish w:val="0"/>
        <w:color w:val="auto"/>
        <w:sz w:val="24"/>
        <w:szCs w:val="24"/>
        <w:u w:val="none"/>
        <w:vertAlign w:val="baseline"/>
        <w14:shadow w14:blurRad="0" w14:dist="0" w14:dir="0" w14:sx="0" w14:sy="0" w14:kx="0" w14:ky="0" w14:algn="none">
          <w14:srgbClr w14:val="000000"/>
        </w14:shadow>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0">
    <w:nsid w:val="44070CCF"/>
    <w:multiLevelType w:val="multilevel"/>
    <w:tmpl w:val="44070CCF"/>
    <w:lvl w:ilvl="0" w:tentative="0">
      <w:start w:val="1"/>
      <w:numFmt w:val="decimal"/>
      <w:pStyle w:val="3137"/>
      <w:lvlText w:val="(%1)"/>
      <w:lvlJc w:val="left"/>
      <w:pPr>
        <w:tabs>
          <w:tab w:val="left" w:pos="431"/>
        </w:tabs>
        <w:ind w:left="431" w:hanging="431"/>
      </w:pPr>
    </w:lvl>
    <w:lvl w:ilvl="1" w:tentative="0">
      <w:start w:val="1"/>
      <w:numFmt w:val="decimal"/>
      <w:lvlText w:val="（%2）"/>
      <w:lvlJc w:val="left"/>
      <w:pPr>
        <w:tabs>
          <w:tab w:val="left" w:pos="1140"/>
        </w:tabs>
        <w:ind w:left="1140" w:hanging="7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1">
    <w:nsid w:val="45BBF65E"/>
    <w:multiLevelType w:val="multilevel"/>
    <w:tmpl w:val="45BBF65E"/>
    <w:lvl w:ilvl="0" w:tentative="0">
      <w:start w:val="1"/>
      <w:numFmt w:val="decimal"/>
      <w:lvlText w:val="（%1）"/>
      <w:lvlJc w:val="left"/>
      <w:pPr>
        <w:tabs>
          <w:tab w:val="left" w:pos="1080"/>
        </w:tabs>
        <w:ind w:left="1080" w:hanging="720"/>
      </w:pPr>
      <w:rPr>
        <w:rFonts w:hint="eastAsia"/>
        <w:b w:val="0"/>
        <w:color w:val="auto"/>
      </w:rPr>
    </w:lvl>
    <w:lvl w:ilvl="1" w:tentative="0">
      <w:start w:val="1"/>
      <w:numFmt w:val="decimal"/>
      <w:lvlText w:val="（%2）"/>
      <w:lvlJc w:val="left"/>
      <w:pPr>
        <w:tabs>
          <w:tab w:val="left" w:pos="1260"/>
        </w:tabs>
        <w:ind w:left="1260" w:hanging="720"/>
      </w:pPr>
      <w:rPr>
        <w:rFonts w:hint="eastAsia"/>
      </w:rPr>
    </w:lvl>
    <w:lvl w:ilvl="2" w:tentative="0">
      <w:start w:val="1"/>
      <w:numFmt w:val="lowerRoman"/>
      <w:lvlText w:val="%3."/>
      <w:lvlJc w:val="right"/>
      <w:pPr>
        <w:tabs>
          <w:tab w:val="left" w:pos="1620"/>
        </w:tabs>
        <w:ind w:left="1620" w:hanging="420"/>
      </w:pPr>
    </w:lvl>
    <w:lvl w:ilvl="3" w:tentative="0">
      <w:start w:val="1"/>
      <w:numFmt w:val="decimal"/>
      <w:lvlText w:val="%4."/>
      <w:lvlJc w:val="left"/>
      <w:pPr>
        <w:tabs>
          <w:tab w:val="left" w:pos="2040"/>
        </w:tabs>
        <w:ind w:left="2040" w:hanging="420"/>
      </w:pPr>
    </w:lvl>
    <w:lvl w:ilvl="4" w:tentative="0">
      <w:start w:val="1"/>
      <w:numFmt w:val="lowerLetter"/>
      <w:lvlText w:val="%5)"/>
      <w:lvlJc w:val="left"/>
      <w:pPr>
        <w:tabs>
          <w:tab w:val="left" w:pos="2460"/>
        </w:tabs>
        <w:ind w:left="2460" w:hanging="420"/>
      </w:pPr>
    </w:lvl>
    <w:lvl w:ilvl="5" w:tentative="0">
      <w:start w:val="1"/>
      <w:numFmt w:val="lowerRoman"/>
      <w:lvlText w:val="%6."/>
      <w:lvlJc w:val="right"/>
      <w:pPr>
        <w:tabs>
          <w:tab w:val="left" w:pos="2880"/>
        </w:tabs>
        <w:ind w:left="2880" w:hanging="420"/>
      </w:pPr>
    </w:lvl>
    <w:lvl w:ilvl="6" w:tentative="0">
      <w:start w:val="1"/>
      <w:numFmt w:val="decimal"/>
      <w:lvlText w:val="%7."/>
      <w:lvlJc w:val="left"/>
      <w:pPr>
        <w:tabs>
          <w:tab w:val="left" w:pos="3300"/>
        </w:tabs>
        <w:ind w:left="3300" w:hanging="420"/>
      </w:pPr>
    </w:lvl>
    <w:lvl w:ilvl="7" w:tentative="0">
      <w:start w:val="1"/>
      <w:numFmt w:val="lowerLetter"/>
      <w:lvlText w:val="%8)"/>
      <w:lvlJc w:val="left"/>
      <w:pPr>
        <w:tabs>
          <w:tab w:val="left" w:pos="3720"/>
        </w:tabs>
        <w:ind w:left="3720" w:hanging="420"/>
      </w:pPr>
    </w:lvl>
    <w:lvl w:ilvl="8" w:tentative="0">
      <w:start w:val="1"/>
      <w:numFmt w:val="lowerRoman"/>
      <w:lvlText w:val="%9."/>
      <w:lvlJc w:val="right"/>
      <w:pPr>
        <w:tabs>
          <w:tab w:val="left" w:pos="4140"/>
        </w:tabs>
        <w:ind w:left="4140" w:hanging="420"/>
      </w:pPr>
    </w:lvl>
  </w:abstractNum>
  <w:abstractNum w:abstractNumId="32">
    <w:nsid w:val="49699F99"/>
    <w:multiLevelType w:val="multilevel"/>
    <w:tmpl w:val="49699F99"/>
    <w:lvl w:ilvl="0" w:tentative="0">
      <w:start w:val="1"/>
      <w:numFmt w:val="decimal"/>
      <w:pStyle w:val="3639"/>
      <w:lvlText w:val="表6-%1  "/>
      <w:lvlJc w:val="center"/>
      <w:pPr>
        <w:ind w:left="420" w:hanging="420"/>
      </w:pPr>
      <w:rPr>
        <w:rFonts w:hint="default" w:ascii="Times New Roman" w:hAnsi="Times New Roman" w:eastAsia="宋体" w:cs="宋体"/>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3">
    <w:nsid w:val="4C300254"/>
    <w:multiLevelType w:val="multilevel"/>
    <w:tmpl w:val="4C300254"/>
    <w:lvl w:ilvl="0" w:tentative="0">
      <w:start w:val="1"/>
      <w:numFmt w:val="decimal"/>
      <w:pStyle w:val="623"/>
      <w:lvlText w:val="表1-%1  "/>
      <w:lvlJc w:val="center"/>
      <w:pPr>
        <w:ind w:left="2546" w:hanging="420"/>
      </w:pPr>
      <w:rPr>
        <w:b/>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1" w:tentative="0">
      <w:start w:val="1"/>
      <w:numFmt w:val="decimal"/>
      <w:lvlText w:val="%2、"/>
      <w:lvlJc w:val="left"/>
      <w:pPr>
        <w:ind w:left="795" w:hanging="375"/>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4">
    <w:nsid w:val="4CBB5D9A"/>
    <w:multiLevelType w:val="multilevel"/>
    <w:tmpl w:val="4CBB5D9A"/>
    <w:lvl w:ilvl="0" w:tentative="0">
      <w:start w:val="1"/>
      <w:numFmt w:val="decimal"/>
      <w:lvlText w:val="（%1）"/>
      <w:lvlJc w:val="left"/>
      <w:pPr>
        <w:tabs>
          <w:tab w:val="left" w:pos="1080"/>
        </w:tabs>
        <w:ind w:left="1080" w:hanging="720"/>
      </w:pPr>
      <w:rPr>
        <w:rFonts w:hint="eastAsia"/>
        <w:b w:val="0"/>
        <w:color w:val="auto"/>
      </w:rPr>
    </w:lvl>
    <w:lvl w:ilvl="1" w:tentative="0">
      <w:start w:val="1"/>
      <w:numFmt w:val="decimal"/>
      <w:lvlText w:val="（%2）"/>
      <w:lvlJc w:val="left"/>
      <w:pPr>
        <w:tabs>
          <w:tab w:val="left" w:pos="1260"/>
        </w:tabs>
        <w:ind w:left="1260" w:hanging="720"/>
      </w:pPr>
      <w:rPr>
        <w:rFonts w:hint="eastAsia"/>
      </w:rPr>
    </w:lvl>
    <w:lvl w:ilvl="2" w:tentative="0">
      <w:start w:val="1"/>
      <w:numFmt w:val="lowerRoman"/>
      <w:lvlText w:val="%3."/>
      <w:lvlJc w:val="right"/>
      <w:pPr>
        <w:tabs>
          <w:tab w:val="left" w:pos="1620"/>
        </w:tabs>
        <w:ind w:left="1620" w:hanging="420"/>
      </w:pPr>
    </w:lvl>
    <w:lvl w:ilvl="3" w:tentative="0">
      <w:start w:val="1"/>
      <w:numFmt w:val="decimal"/>
      <w:lvlText w:val="%4."/>
      <w:lvlJc w:val="left"/>
      <w:pPr>
        <w:tabs>
          <w:tab w:val="left" w:pos="2040"/>
        </w:tabs>
        <w:ind w:left="2040" w:hanging="420"/>
      </w:pPr>
    </w:lvl>
    <w:lvl w:ilvl="4" w:tentative="0">
      <w:start w:val="1"/>
      <w:numFmt w:val="lowerLetter"/>
      <w:lvlText w:val="%5)"/>
      <w:lvlJc w:val="left"/>
      <w:pPr>
        <w:tabs>
          <w:tab w:val="left" w:pos="2460"/>
        </w:tabs>
        <w:ind w:left="2460" w:hanging="420"/>
      </w:pPr>
    </w:lvl>
    <w:lvl w:ilvl="5" w:tentative="0">
      <w:start w:val="1"/>
      <w:numFmt w:val="lowerRoman"/>
      <w:lvlText w:val="%6."/>
      <w:lvlJc w:val="right"/>
      <w:pPr>
        <w:tabs>
          <w:tab w:val="left" w:pos="2880"/>
        </w:tabs>
        <w:ind w:left="2880" w:hanging="420"/>
      </w:pPr>
    </w:lvl>
    <w:lvl w:ilvl="6" w:tentative="0">
      <w:start w:val="1"/>
      <w:numFmt w:val="decimal"/>
      <w:lvlText w:val="%7."/>
      <w:lvlJc w:val="left"/>
      <w:pPr>
        <w:tabs>
          <w:tab w:val="left" w:pos="3300"/>
        </w:tabs>
        <w:ind w:left="3300" w:hanging="420"/>
      </w:pPr>
    </w:lvl>
    <w:lvl w:ilvl="7" w:tentative="0">
      <w:start w:val="1"/>
      <w:numFmt w:val="lowerLetter"/>
      <w:lvlText w:val="%8)"/>
      <w:lvlJc w:val="left"/>
      <w:pPr>
        <w:tabs>
          <w:tab w:val="left" w:pos="3720"/>
        </w:tabs>
        <w:ind w:left="3720" w:hanging="420"/>
      </w:pPr>
    </w:lvl>
    <w:lvl w:ilvl="8" w:tentative="0">
      <w:start w:val="1"/>
      <w:numFmt w:val="lowerRoman"/>
      <w:lvlText w:val="%9."/>
      <w:lvlJc w:val="right"/>
      <w:pPr>
        <w:tabs>
          <w:tab w:val="left" w:pos="4140"/>
        </w:tabs>
        <w:ind w:left="4140" w:hanging="420"/>
      </w:pPr>
    </w:lvl>
  </w:abstractNum>
  <w:abstractNum w:abstractNumId="35">
    <w:nsid w:val="51422A6E"/>
    <w:multiLevelType w:val="multilevel"/>
    <w:tmpl w:val="51422A6E"/>
    <w:lvl w:ilvl="0" w:tentative="0">
      <w:start w:val="1"/>
      <w:numFmt w:val="decimal"/>
      <w:pStyle w:val="789"/>
      <w:lvlText w:val="表 8－%1"/>
      <w:lvlJc w:val="left"/>
      <w:pPr>
        <w:tabs>
          <w:tab w:val="left" w:pos="2345"/>
        </w:tabs>
        <w:ind w:left="1330" w:hanging="425"/>
      </w:pPr>
      <w:rPr>
        <w:rFonts w:hint="eastAsia"/>
        <w:lang w:val="en-US"/>
      </w:rPr>
    </w:lvl>
    <w:lvl w:ilvl="1" w:tentative="0">
      <w:start w:val="1"/>
      <w:numFmt w:val="decimal"/>
      <w:lvlText w:val="表 %1.%2"/>
      <w:lvlJc w:val="left"/>
      <w:pPr>
        <w:tabs>
          <w:tab w:val="left" w:pos="1625"/>
        </w:tabs>
        <w:ind w:left="1472" w:hanging="567"/>
      </w:pPr>
      <w:rPr>
        <w:rFonts w:hint="eastAsia"/>
      </w:rPr>
    </w:lvl>
    <w:lvl w:ilvl="2" w:tentative="0">
      <w:start w:val="1"/>
      <w:numFmt w:val="decimal"/>
      <w:lvlText w:val="表 %1.%2.%3"/>
      <w:lvlJc w:val="left"/>
      <w:pPr>
        <w:tabs>
          <w:tab w:val="left" w:pos="1985"/>
        </w:tabs>
        <w:ind w:left="1614" w:hanging="709"/>
      </w:pPr>
      <w:rPr>
        <w:rFonts w:hint="eastAsia"/>
      </w:rPr>
    </w:lvl>
    <w:lvl w:ilvl="3" w:tentative="0">
      <w:start w:val="1"/>
      <w:numFmt w:val="decimal"/>
      <w:lvlText w:val="%1.%2.%3.%4."/>
      <w:lvlJc w:val="left"/>
      <w:pPr>
        <w:tabs>
          <w:tab w:val="left" w:pos="1756"/>
        </w:tabs>
        <w:ind w:left="1756" w:hanging="851"/>
      </w:pPr>
      <w:rPr>
        <w:rFonts w:hint="eastAsia"/>
      </w:rPr>
    </w:lvl>
    <w:lvl w:ilvl="4" w:tentative="0">
      <w:start w:val="1"/>
      <w:numFmt w:val="decimal"/>
      <w:lvlText w:val="%1.%2.%3.%4.%5."/>
      <w:lvlJc w:val="left"/>
      <w:pPr>
        <w:tabs>
          <w:tab w:val="left" w:pos="1897"/>
        </w:tabs>
        <w:ind w:left="1897" w:hanging="992"/>
      </w:pPr>
      <w:rPr>
        <w:rFonts w:hint="eastAsia"/>
      </w:rPr>
    </w:lvl>
    <w:lvl w:ilvl="5" w:tentative="0">
      <w:start w:val="1"/>
      <w:numFmt w:val="decimal"/>
      <w:lvlText w:val="%1.%2.%3.%4.%5.%6."/>
      <w:lvlJc w:val="left"/>
      <w:pPr>
        <w:tabs>
          <w:tab w:val="left" w:pos="2039"/>
        </w:tabs>
        <w:ind w:left="2039" w:hanging="1134"/>
      </w:pPr>
      <w:rPr>
        <w:rFonts w:hint="eastAsia"/>
      </w:rPr>
    </w:lvl>
    <w:lvl w:ilvl="6" w:tentative="0">
      <w:start w:val="1"/>
      <w:numFmt w:val="decimal"/>
      <w:lvlText w:val="%1.%2.%3.%4.%5.%6.%7."/>
      <w:lvlJc w:val="left"/>
      <w:pPr>
        <w:tabs>
          <w:tab w:val="left" w:pos="2181"/>
        </w:tabs>
        <w:ind w:left="2181" w:hanging="1276"/>
      </w:pPr>
      <w:rPr>
        <w:rFonts w:hint="eastAsia"/>
      </w:rPr>
    </w:lvl>
    <w:lvl w:ilvl="7" w:tentative="0">
      <w:start w:val="1"/>
      <w:numFmt w:val="decimal"/>
      <w:lvlText w:val="%1.%2.%3.%4.%5.%6.%7.%8."/>
      <w:lvlJc w:val="left"/>
      <w:pPr>
        <w:tabs>
          <w:tab w:val="left" w:pos="2323"/>
        </w:tabs>
        <w:ind w:left="2323" w:hanging="1418"/>
      </w:pPr>
      <w:rPr>
        <w:rFonts w:hint="eastAsia"/>
      </w:rPr>
    </w:lvl>
    <w:lvl w:ilvl="8" w:tentative="0">
      <w:start w:val="1"/>
      <w:numFmt w:val="decimal"/>
      <w:lvlText w:val="%1.%2.%3.%4.%5.%6.%7.%8.%9."/>
      <w:lvlJc w:val="left"/>
      <w:pPr>
        <w:tabs>
          <w:tab w:val="left" w:pos="2464"/>
        </w:tabs>
        <w:ind w:left="2464" w:hanging="1559"/>
      </w:pPr>
      <w:rPr>
        <w:rFonts w:hint="eastAsia"/>
      </w:rPr>
    </w:lvl>
  </w:abstractNum>
  <w:abstractNum w:abstractNumId="36">
    <w:nsid w:val="53E828EC"/>
    <w:multiLevelType w:val="multilevel"/>
    <w:tmpl w:val="53E828EC"/>
    <w:lvl w:ilvl="0" w:tentative="0">
      <w:start w:val="1"/>
      <w:numFmt w:val="decimal"/>
      <w:pStyle w:val="3613"/>
      <w:lvlText w:val="图5-%1  "/>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7">
    <w:nsid w:val="5C601AE7"/>
    <w:multiLevelType w:val="singleLevel"/>
    <w:tmpl w:val="5C601AE7"/>
    <w:lvl w:ilvl="0" w:tentative="0">
      <w:start w:val="1"/>
      <w:numFmt w:val="decimal"/>
      <w:pStyle w:val="3093"/>
      <w:lvlText w:val="(%1)"/>
      <w:lvlJc w:val="left"/>
      <w:pPr>
        <w:tabs>
          <w:tab w:val="left" w:pos="870"/>
        </w:tabs>
        <w:ind w:left="567" w:hanging="57"/>
      </w:pPr>
    </w:lvl>
  </w:abstractNum>
  <w:abstractNum w:abstractNumId="38">
    <w:nsid w:val="5D141AAB"/>
    <w:multiLevelType w:val="multilevel"/>
    <w:tmpl w:val="5D141AAB"/>
    <w:lvl w:ilvl="0" w:tentative="0">
      <w:start w:val="1"/>
      <w:numFmt w:val="decimal"/>
      <w:pStyle w:val="1882"/>
      <w:lvlText w:val="%1"/>
      <w:lvlJc w:val="left"/>
      <w:pPr>
        <w:tabs>
          <w:tab w:val="left" w:pos="432"/>
        </w:tabs>
        <w:ind w:left="432" w:hanging="432"/>
      </w:pPr>
      <w:rPr>
        <w:rFonts w:hint="eastAsia"/>
      </w:rPr>
    </w:lvl>
    <w:lvl w:ilvl="1" w:tentative="0">
      <w:start w:val="1"/>
      <w:numFmt w:val="decimal"/>
      <w:pStyle w:val="1876"/>
      <w:isLgl/>
      <w:lvlText w:val="%1.%2."/>
      <w:lvlJc w:val="left"/>
      <w:pPr>
        <w:tabs>
          <w:tab w:val="left" w:pos="576"/>
        </w:tabs>
        <w:ind w:left="576" w:hanging="576"/>
      </w:pPr>
      <w:rPr>
        <w:rFonts w:hint="eastAsia"/>
      </w:rPr>
    </w:lvl>
    <w:lvl w:ilvl="2" w:tentative="0">
      <w:start w:val="1"/>
      <w:numFmt w:val="decimal"/>
      <w:pStyle w:val="1879"/>
      <w:isLgl/>
      <w:lvlText w:val="%1.%2.%3."/>
      <w:lvlJc w:val="left"/>
      <w:pPr>
        <w:tabs>
          <w:tab w:val="left" w:pos="720"/>
        </w:tabs>
        <w:ind w:left="720" w:hanging="720"/>
      </w:pPr>
      <w:rPr>
        <w:rFonts w:hint="eastAsia"/>
        <w:sz w:val="24"/>
        <w:szCs w:val="24"/>
      </w:rPr>
    </w:lvl>
    <w:lvl w:ilvl="3" w:tentative="0">
      <w:start w:val="1"/>
      <w:numFmt w:val="decimal"/>
      <w:isLg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39">
    <w:nsid w:val="5EC454CB"/>
    <w:multiLevelType w:val="multilevel"/>
    <w:tmpl w:val="5EC454CB"/>
    <w:lvl w:ilvl="0" w:tentative="0">
      <w:start w:val="1"/>
      <w:numFmt w:val="decimal"/>
      <w:pStyle w:val="1972"/>
      <w:lvlText w:val="(%1)"/>
      <w:lvlJc w:val="left"/>
      <w:pPr>
        <w:tabs>
          <w:tab w:val="left" w:pos="471"/>
        </w:tabs>
        <w:ind w:left="0" w:firstLine="471"/>
      </w:pPr>
      <w:rPr>
        <w:rFonts w:hint="default" w:ascii="Arial" w:hAnsi="Arial" w:eastAsia="宋体"/>
        <w:b w:val="0"/>
        <w:i w:val="0"/>
        <w:caps w:val="0"/>
        <w:strike w:val="0"/>
        <w:dstrike w:val="0"/>
        <w:vanish w:val="0"/>
        <w:color w:val="auto"/>
        <w:sz w:val="24"/>
        <w:szCs w:val="24"/>
        <w:u w:val="none"/>
        <w:vertAlign w:val="baseline"/>
        <w14:shadow w14:blurRad="0" w14:dist="0" w14:dir="0" w14:sx="0" w14:sy="0" w14:kx="0" w14:ky="0" w14:algn="none">
          <w14:srgbClr w14:val="000000"/>
        </w14:shadow>
      </w:rPr>
    </w:lvl>
    <w:lvl w:ilvl="1" w:tentative="0">
      <w:start w:val="1"/>
      <w:numFmt w:val="lowerLetter"/>
      <w:lvlText w:val="%2)"/>
      <w:lvlJc w:val="left"/>
      <w:pPr>
        <w:tabs>
          <w:tab w:val="left" w:pos="1311"/>
        </w:tabs>
        <w:ind w:left="1311" w:hanging="420"/>
      </w:pPr>
    </w:lvl>
    <w:lvl w:ilvl="2" w:tentative="0">
      <w:start w:val="1"/>
      <w:numFmt w:val="lowerRoman"/>
      <w:lvlText w:val="%3."/>
      <w:lvlJc w:val="right"/>
      <w:pPr>
        <w:tabs>
          <w:tab w:val="left" w:pos="1731"/>
        </w:tabs>
        <w:ind w:left="1731" w:hanging="420"/>
      </w:pPr>
    </w:lvl>
    <w:lvl w:ilvl="3" w:tentative="0">
      <w:start w:val="1"/>
      <w:numFmt w:val="decimal"/>
      <w:lvlText w:val="%4."/>
      <w:lvlJc w:val="left"/>
      <w:pPr>
        <w:tabs>
          <w:tab w:val="left" w:pos="2151"/>
        </w:tabs>
        <w:ind w:left="2151" w:hanging="420"/>
      </w:pPr>
    </w:lvl>
    <w:lvl w:ilvl="4" w:tentative="0">
      <w:start w:val="1"/>
      <w:numFmt w:val="lowerLetter"/>
      <w:lvlText w:val="%5)"/>
      <w:lvlJc w:val="left"/>
      <w:pPr>
        <w:tabs>
          <w:tab w:val="left" w:pos="2571"/>
        </w:tabs>
        <w:ind w:left="2571" w:hanging="420"/>
      </w:pPr>
    </w:lvl>
    <w:lvl w:ilvl="5" w:tentative="0">
      <w:start w:val="1"/>
      <w:numFmt w:val="lowerRoman"/>
      <w:lvlText w:val="%6."/>
      <w:lvlJc w:val="right"/>
      <w:pPr>
        <w:tabs>
          <w:tab w:val="left" w:pos="2991"/>
        </w:tabs>
        <w:ind w:left="2991" w:hanging="420"/>
      </w:pPr>
    </w:lvl>
    <w:lvl w:ilvl="6" w:tentative="0">
      <w:start w:val="1"/>
      <w:numFmt w:val="decimal"/>
      <w:lvlText w:val="%7."/>
      <w:lvlJc w:val="left"/>
      <w:pPr>
        <w:tabs>
          <w:tab w:val="left" w:pos="3411"/>
        </w:tabs>
        <w:ind w:left="3411" w:hanging="420"/>
      </w:pPr>
    </w:lvl>
    <w:lvl w:ilvl="7" w:tentative="0">
      <w:start w:val="1"/>
      <w:numFmt w:val="lowerLetter"/>
      <w:lvlText w:val="%8)"/>
      <w:lvlJc w:val="left"/>
      <w:pPr>
        <w:tabs>
          <w:tab w:val="left" w:pos="3831"/>
        </w:tabs>
        <w:ind w:left="3831" w:hanging="420"/>
      </w:pPr>
    </w:lvl>
    <w:lvl w:ilvl="8" w:tentative="0">
      <w:start w:val="1"/>
      <w:numFmt w:val="lowerRoman"/>
      <w:lvlText w:val="%9."/>
      <w:lvlJc w:val="right"/>
      <w:pPr>
        <w:tabs>
          <w:tab w:val="left" w:pos="4251"/>
        </w:tabs>
        <w:ind w:left="4251" w:hanging="420"/>
      </w:pPr>
    </w:lvl>
  </w:abstractNum>
  <w:abstractNum w:abstractNumId="40">
    <w:nsid w:val="5FB32F12"/>
    <w:multiLevelType w:val="multilevel"/>
    <w:tmpl w:val="5FB32F12"/>
    <w:lvl w:ilvl="0" w:tentative="0">
      <w:start w:val="1"/>
      <w:numFmt w:val="decimal"/>
      <w:pStyle w:val="1973"/>
      <w:lvlText w:val="(%1)"/>
      <w:lvlJc w:val="left"/>
      <w:pPr>
        <w:tabs>
          <w:tab w:val="left" w:pos="471"/>
        </w:tabs>
        <w:ind w:left="0" w:firstLine="471"/>
      </w:pPr>
      <w:rPr>
        <w:rFonts w:hint="default" w:ascii="Arial" w:hAnsi="Arial" w:eastAsia="宋体"/>
        <w:b w:val="0"/>
        <w:i w:val="0"/>
        <w:caps w:val="0"/>
        <w:strike w:val="0"/>
        <w:dstrike w:val="0"/>
        <w:vanish w:val="0"/>
        <w:color w:val="auto"/>
        <w:sz w:val="24"/>
        <w:szCs w:val="24"/>
        <w:u w:val="none"/>
        <w:vertAlign w:val="baseline"/>
        <w14:shadow w14:blurRad="0" w14:dist="0" w14:dir="0" w14:sx="0" w14:sy="0" w14:kx="0" w14:ky="0" w14:algn="none">
          <w14:srgbClr w14:val="000000"/>
        </w14:shadow>
      </w:rPr>
    </w:lvl>
    <w:lvl w:ilvl="1" w:tentative="0">
      <w:start w:val="1"/>
      <w:numFmt w:val="bullet"/>
      <w:lvlText w:val=""/>
      <w:lvlJc w:val="left"/>
      <w:pPr>
        <w:tabs>
          <w:tab w:val="left" w:pos="1311"/>
        </w:tabs>
        <w:ind w:left="1311" w:hanging="420"/>
      </w:pPr>
      <w:rPr>
        <w:rFonts w:hint="default" w:ascii="Wingdings" w:hAnsi="Wingdings"/>
      </w:rPr>
    </w:lvl>
    <w:lvl w:ilvl="2" w:tentative="0">
      <w:start w:val="1"/>
      <w:numFmt w:val="bullet"/>
      <w:lvlText w:val=""/>
      <w:lvlJc w:val="left"/>
      <w:pPr>
        <w:tabs>
          <w:tab w:val="left" w:pos="1731"/>
        </w:tabs>
        <w:ind w:left="1731" w:hanging="420"/>
      </w:pPr>
      <w:rPr>
        <w:rFonts w:hint="default" w:ascii="Wingdings" w:hAnsi="Wingdings"/>
      </w:rPr>
    </w:lvl>
    <w:lvl w:ilvl="3" w:tentative="0">
      <w:start w:val="1"/>
      <w:numFmt w:val="bullet"/>
      <w:lvlText w:val=""/>
      <w:lvlJc w:val="left"/>
      <w:pPr>
        <w:tabs>
          <w:tab w:val="left" w:pos="2151"/>
        </w:tabs>
        <w:ind w:left="2151" w:hanging="420"/>
      </w:pPr>
      <w:rPr>
        <w:rFonts w:hint="default" w:ascii="Wingdings" w:hAnsi="Wingdings"/>
      </w:rPr>
    </w:lvl>
    <w:lvl w:ilvl="4" w:tentative="0">
      <w:start w:val="1"/>
      <w:numFmt w:val="bullet"/>
      <w:lvlText w:val=""/>
      <w:lvlJc w:val="left"/>
      <w:pPr>
        <w:tabs>
          <w:tab w:val="left" w:pos="2571"/>
        </w:tabs>
        <w:ind w:left="2571" w:hanging="420"/>
      </w:pPr>
      <w:rPr>
        <w:rFonts w:hint="default" w:ascii="Wingdings" w:hAnsi="Wingdings"/>
      </w:rPr>
    </w:lvl>
    <w:lvl w:ilvl="5" w:tentative="0">
      <w:start w:val="1"/>
      <w:numFmt w:val="bullet"/>
      <w:lvlText w:val=""/>
      <w:lvlJc w:val="left"/>
      <w:pPr>
        <w:tabs>
          <w:tab w:val="left" w:pos="2991"/>
        </w:tabs>
        <w:ind w:left="2991" w:hanging="420"/>
      </w:pPr>
      <w:rPr>
        <w:rFonts w:hint="default" w:ascii="Wingdings" w:hAnsi="Wingdings"/>
      </w:rPr>
    </w:lvl>
    <w:lvl w:ilvl="6" w:tentative="0">
      <w:start w:val="1"/>
      <w:numFmt w:val="bullet"/>
      <w:lvlText w:val=""/>
      <w:lvlJc w:val="left"/>
      <w:pPr>
        <w:tabs>
          <w:tab w:val="left" w:pos="3411"/>
        </w:tabs>
        <w:ind w:left="3411" w:hanging="420"/>
      </w:pPr>
      <w:rPr>
        <w:rFonts w:hint="default" w:ascii="Wingdings" w:hAnsi="Wingdings"/>
      </w:rPr>
    </w:lvl>
    <w:lvl w:ilvl="7" w:tentative="0">
      <w:start w:val="1"/>
      <w:numFmt w:val="bullet"/>
      <w:lvlText w:val=""/>
      <w:lvlJc w:val="left"/>
      <w:pPr>
        <w:tabs>
          <w:tab w:val="left" w:pos="3831"/>
        </w:tabs>
        <w:ind w:left="3831" w:hanging="420"/>
      </w:pPr>
      <w:rPr>
        <w:rFonts w:hint="default" w:ascii="Wingdings" w:hAnsi="Wingdings"/>
      </w:rPr>
    </w:lvl>
    <w:lvl w:ilvl="8" w:tentative="0">
      <w:start w:val="1"/>
      <w:numFmt w:val="bullet"/>
      <w:lvlText w:val=""/>
      <w:lvlJc w:val="left"/>
      <w:pPr>
        <w:tabs>
          <w:tab w:val="left" w:pos="4251"/>
        </w:tabs>
        <w:ind w:left="4251" w:hanging="420"/>
      </w:pPr>
      <w:rPr>
        <w:rFonts w:hint="default" w:ascii="Wingdings" w:hAnsi="Wingdings"/>
      </w:rPr>
    </w:lvl>
  </w:abstractNum>
  <w:abstractNum w:abstractNumId="41">
    <w:nsid w:val="61BE7F97"/>
    <w:multiLevelType w:val="multilevel"/>
    <w:tmpl w:val="61BE7F97"/>
    <w:lvl w:ilvl="0" w:tentative="0">
      <w:start w:val="1"/>
      <w:numFmt w:val="decimal"/>
      <w:pStyle w:val="3651"/>
      <w:lvlText w:val="表7-%1  "/>
      <w:lvlJc w:val="center"/>
      <w:pPr>
        <w:ind w:left="420" w:hanging="420"/>
      </w:pPr>
      <w:rPr>
        <w:rFonts w:hint="default" w:ascii="Times New Roman" w:hAnsi="Times New Roman" w:eastAsia="宋体" w:cs="宋体"/>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rPr>
        <w:rFonts w:hint="default" w:ascii="宋体" w:hAnsi="宋体" w:eastAsia="宋体" w:cs="宋体"/>
      </w:r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2">
    <w:nsid w:val="636C6CBC"/>
    <w:multiLevelType w:val="multilevel"/>
    <w:tmpl w:val="636C6CBC"/>
    <w:lvl w:ilvl="0" w:tentative="0">
      <w:start w:val="1"/>
      <w:numFmt w:val="decimal"/>
      <w:pStyle w:val="3545"/>
      <w:lvlText w:val="%1."/>
      <w:lvlJc w:val="left"/>
      <w:pPr>
        <w:ind w:left="420" w:hanging="420"/>
      </w:pPr>
      <w:rPr>
        <w:rFonts w:hint="eastAsia"/>
        <w:snapToGrid/>
      </w:rPr>
    </w:lvl>
    <w:lvl w:ilvl="1" w:tentative="0">
      <w:start w:val="1"/>
      <w:numFmt w:val="decimal"/>
      <w:lvlText w:val="%2."/>
      <w:lvlJc w:val="left"/>
      <w:pPr>
        <w:ind w:left="840" w:hanging="420"/>
      </w:pPr>
      <w:rPr>
        <w:rFonts w:hint="eastAsia"/>
        <w:snapToGrid/>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3">
    <w:nsid w:val="646260FA"/>
    <w:multiLevelType w:val="multilevel"/>
    <w:tmpl w:val="646260FA"/>
    <w:lvl w:ilvl="0" w:tentative="0">
      <w:start w:val="1"/>
      <w:numFmt w:val="decimal"/>
      <w:pStyle w:val="2811"/>
      <w:suff w:val="nothing"/>
      <w:lvlText w:val="表%1　"/>
      <w:lvlJc w:val="left"/>
      <w:pPr>
        <w:ind w:left="0" w:firstLine="0"/>
      </w:pPr>
      <w:rPr>
        <w:rFonts w:hint="eastAsia" w:ascii="黑体" w:hAnsi="Times New Roman" w:eastAsia="黑体"/>
        <w:b w:val="0"/>
        <w:i w:val="0"/>
        <w:sz w:val="21"/>
      </w:rPr>
    </w:lvl>
    <w:lvl w:ilvl="1" w:tentative="0">
      <w:start w:val="1"/>
      <w:numFmt w:val="decimal"/>
      <w:lvlText w:val="%1.%2"/>
      <w:lvlJc w:val="left"/>
      <w:pPr>
        <w:tabs>
          <w:tab w:val="left" w:pos="992"/>
        </w:tabs>
        <w:ind w:left="992" w:hanging="567"/>
      </w:pPr>
    </w:lvl>
    <w:lvl w:ilvl="2" w:tentative="0">
      <w:start w:val="1"/>
      <w:numFmt w:val="decimal"/>
      <w:lvlText w:val="%1.%2.%3"/>
      <w:lvlJc w:val="left"/>
      <w:pPr>
        <w:tabs>
          <w:tab w:val="left" w:pos="1418"/>
        </w:tabs>
        <w:ind w:left="1418" w:hanging="567"/>
      </w:pPr>
    </w:lvl>
    <w:lvl w:ilvl="3" w:tentative="0">
      <w:start w:val="1"/>
      <w:numFmt w:val="decimal"/>
      <w:lvlText w:val="%1.%2.%3.%4"/>
      <w:lvlJc w:val="left"/>
      <w:pPr>
        <w:tabs>
          <w:tab w:val="left" w:pos="1984"/>
        </w:tabs>
        <w:ind w:left="1984" w:hanging="708"/>
      </w:pPr>
    </w:lvl>
    <w:lvl w:ilvl="4" w:tentative="0">
      <w:start w:val="1"/>
      <w:numFmt w:val="decimal"/>
      <w:lvlText w:val="%1.%2.%3.%4.%5"/>
      <w:lvlJc w:val="left"/>
      <w:pPr>
        <w:tabs>
          <w:tab w:val="left" w:pos="2551"/>
        </w:tabs>
        <w:ind w:left="2551" w:hanging="850"/>
      </w:pPr>
    </w:lvl>
    <w:lvl w:ilvl="5" w:tentative="0">
      <w:start w:val="1"/>
      <w:numFmt w:val="decimal"/>
      <w:lvlText w:val="%1.%2.%3.%4.%5.%6"/>
      <w:lvlJc w:val="left"/>
      <w:pPr>
        <w:tabs>
          <w:tab w:val="left" w:pos="3260"/>
        </w:tabs>
        <w:ind w:left="3260" w:hanging="1134"/>
      </w:pPr>
    </w:lvl>
    <w:lvl w:ilvl="6" w:tentative="0">
      <w:start w:val="1"/>
      <w:numFmt w:val="decimal"/>
      <w:lvlText w:val="%1.%2.%3.%4.%5.%6.%7"/>
      <w:lvlJc w:val="left"/>
      <w:pPr>
        <w:tabs>
          <w:tab w:val="left" w:pos="3827"/>
        </w:tabs>
        <w:ind w:left="3827" w:hanging="1276"/>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44">
    <w:nsid w:val="6610AA8A"/>
    <w:multiLevelType w:val="singleLevel"/>
    <w:tmpl w:val="6610AA8A"/>
    <w:lvl w:ilvl="0" w:tentative="0">
      <w:start w:val="1"/>
      <w:numFmt w:val="decimal"/>
      <w:lvlText w:val="(%1)"/>
      <w:lvlJc w:val="left"/>
      <w:pPr>
        <w:ind w:left="425" w:hanging="425"/>
      </w:pPr>
      <w:rPr>
        <w:rFonts w:hint="default"/>
      </w:rPr>
    </w:lvl>
  </w:abstractNum>
  <w:abstractNum w:abstractNumId="45">
    <w:nsid w:val="664D68B7"/>
    <w:multiLevelType w:val="multilevel"/>
    <w:tmpl w:val="664D68B7"/>
    <w:lvl w:ilvl="0" w:tentative="0">
      <w:start w:val="1"/>
      <w:numFmt w:val="decimal"/>
      <w:lvlText w:val="%1."/>
      <w:lvlJc w:val="left"/>
      <w:pPr>
        <w:tabs>
          <w:tab w:val="left" w:pos="425"/>
        </w:tabs>
        <w:ind w:left="425" w:hanging="425"/>
      </w:pPr>
    </w:lvl>
    <w:lvl w:ilvl="1" w:tentative="0">
      <w:start w:val="1"/>
      <w:numFmt w:val="decimal"/>
      <w:lvlText w:val="%1.%2."/>
      <w:lvlJc w:val="left"/>
      <w:pPr>
        <w:tabs>
          <w:tab w:val="left" w:pos="567"/>
        </w:tabs>
        <w:ind w:left="567" w:hanging="567"/>
      </w:pPr>
    </w:lvl>
    <w:lvl w:ilvl="2" w:tentative="0">
      <w:start w:val="1"/>
      <w:numFmt w:val="decimal"/>
      <w:pStyle w:val="3126"/>
      <w:lvlText w:val="%1.%2.%3."/>
      <w:lvlJc w:val="left"/>
      <w:pPr>
        <w:tabs>
          <w:tab w:val="left" w:pos="709"/>
        </w:tabs>
        <w:ind w:left="709" w:hanging="709"/>
      </w:pPr>
    </w:lvl>
    <w:lvl w:ilvl="3" w:tentative="0">
      <w:start w:val="1"/>
      <w:numFmt w:val="decimal"/>
      <w:lvlText w:val="%1.%2.%3.%4."/>
      <w:lvlJc w:val="left"/>
      <w:pPr>
        <w:tabs>
          <w:tab w:val="left" w:pos="851"/>
        </w:tabs>
        <w:ind w:left="851" w:hanging="851"/>
      </w:pPr>
    </w:lvl>
    <w:lvl w:ilvl="4" w:tentative="0">
      <w:start w:val="1"/>
      <w:numFmt w:val="decimal"/>
      <w:lvlText w:val="%1.%2.%3.%4.%5."/>
      <w:lvlJc w:val="left"/>
      <w:pPr>
        <w:tabs>
          <w:tab w:val="left" w:pos="992"/>
        </w:tabs>
        <w:ind w:left="992" w:hanging="992"/>
      </w:pPr>
    </w:lvl>
    <w:lvl w:ilvl="5" w:tentative="0">
      <w:start w:val="1"/>
      <w:numFmt w:val="decimal"/>
      <w:lvlText w:val="%1.%2.%3.%4.%5.%6."/>
      <w:lvlJc w:val="left"/>
      <w:pPr>
        <w:tabs>
          <w:tab w:val="left" w:pos="1134"/>
        </w:tabs>
        <w:ind w:left="1134" w:hanging="1134"/>
      </w:pPr>
    </w:lvl>
    <w:lvl w:ilvl="6" w:tentative="0">
      <w:start w:val="1"/>
      <w:numFmt w:val="decimal"/>
      <w:lvlText w:val="%1.%2.%3.%4.%5.%6.%7."/>
      <w:lvlJc w:val="left"/>
      <w:pPr>
        <w:tabs>
          <w:tab w:val="left" w:pos="1276"/>
        </w:tabs>
        <w:ind w:left="1276" w:hanging="1276"/>
      </w:pPr>
    </w:lvl>
    <w:lvl w:ilvl="7" w:tentative="0">
      <w:start w:val="1"/>
      <w:numFmt w:val="decimal"/>
      <w:lvlText w:val="%1.%2.%3.%4.%5.%6.%7.%8."/>
      <w:lvlJc w:val="left"/>
      <w:pPr>
        <w:tabs>
          <w:tab w:val="left" w:pos="1418"/>
        </w:tabs>
        <w:ind w:left="1418" w:hanging="1418"/>
      </w:pPr>
    </w:lvl>
    <w:lvl w:ilvl="8" w:tentative="0">
      <w:start w:val="1"/>
      <w:numFmt w:val="decimal"/>
      <w:lvlText w:val="%1.%2.%3.%4.%5.%6.%7.%8.%9."/>
      <w:lvlJc w:val="left"/>
      <w:pPr>
        <w:tabs>
          <w:tab w:val="left" w:pos="1559"/>
        </w:tabs>
        <w:ind w:left="1559" w:hanging="1559"/>
      </w:pPr>
    </w:lvl>
  </w:abstractNum>
  <w:abstractNum w:abstractNumId="46">
    <w:nsid w:val="6CAA04E6"/>
    <w:multiLevelType w:val="multilevel"/>
    <w:tmpl w:val="6CAA04E6"/>
    <w:lvl w:ilvl="0" w:tentative="0">
      <w:start w:val="1"/>
      <w:numFmt w:val="decimal"/>
      <w:lvlText w:val="（%1）"/>
      <w:lvlJc w:val="left"/>
      <w:pPr>
        <w:tabs>
          <w:tab w:val="left" w:pos="1080"/>
        </w:tabs>
        <w:ind w:left="1080" w:hanging="720"/>
      </w:pPr>
      <w:rPr>
        <w:rFonts w:hint="eastAsia"/>
        <w:b w:val="0"/>
        <w:color w:val="auto"/>
      </w:rPr>
    </w:lvl>
    <w:lvl w:ilvl="1" w:tentative="0">
      <w:start w:val="1"/>
      <w:numFmt w:val="decimal"/>
      <w:lvlText w:val="（%2）"/>
      <w:lvlJc w:val="left"/>
      <w:pPr>
        <w:tabs>
          <w:tab w:val="left" w:pos="1260"/>
        </w:tabs>
        <w:ind w:left="1260" w:hanging="720"/>
      </w:pPr>
      <w:rPr>
        <w:rFonts w:hint="eastAsia"/>
      </w:rPr>
    </w:lvl>
    <w:lvl w:ilvl="2" w:tentative="0">
      <w:start w:val="1"/>
      <w:numFmt w:val="lowerRoman"/>
      <w:lvlText w:val="%3."/>
      <w:lvlJc w:val="right"/>
      <w:pPr>
        <w:tabs>
          <w:tab w:val="left" w:pos="1620"/>
        </w:tabs>
        <w:ind w:left="1620" w:hanging="420"/>
      </w:pPr>
    </w:lvl>
    <w:lvl w:ilvl="3" w:tentative="0">
      <w:start w:val="1"/>
      <w:numFmt w:val="decimal"/>
      <w:lvlText w:val="%4."/>
      <w:lvlJc w:val="left"/>
      <w:pPr>
        <w:tabs>
          <w:tab w:val="left" w:pos="2040"/>
        </w:tabs>
        <w:ind w:left="2040" w:hanging="420"/>
      </w:pPr>
    </w:lvl>
    <w:lvl w:ilvl="4" w:tentative="0">
      <w:start w:val="1"/>
      <w:numFmt w:val="lowerLetter"/>
      <w:lvlText w:val="%5)"/>
      <w:lvlJc w:val="left"/>
      <w:pPr>
        <w:tabs>
          <w:tab w:val="left" w:pos="2460"/>
        </w:tabs>
        <w:ind w:left="2460" w:hanging="420"/>
      </w:pPr>
    </w:lvl>
    <w:lvl w:ilvl="5" w:tentative="0">
      <w:start w:val="1"/>
      <w:numFmt w:val="lowerRoman"/>
      <w:lvlText w:val="%6."/>
      <w:lvlJc w:val="right"/>
      <w:pPr>
        <w:tabs>
          <w:tab w:val="left" w:pos="2880"/>
        </w:tabs>
        <w:ind w:left="2880" w:hanging="420"/>
      </w:pPr>
    </w:lvl>
    <w:lvl w:ilvl="6" w:tentative="0">
      <w:start w:val="1"/>
      <w:numFmt w:val="decimal"/>
      <w:lvlText w:val="%7."/>
      <w:lvlJc w:val="left"/>
      <w:pPr>
        <w:tabs>
          <w:tab w:val="left" w:pos="3300"/>
        </w:tabs>
        <w:ind w:left="3300" w:hanging="420"/>
      </w:pPr>
    </w:lvl>
    <w:lvl w:ilvl="7" w:tentative="0">
      <w:start w:val="1"/>
      <w:numFmt w:val="lowerLetter"/>
      <w:lvlText w:val="%8)"/>
      <w:lvlJc w:val="left"/>
      <w:pPr>
        <w:tabs>
          <w:tab w:val="left" w:pos="3720"/>
        </w:tabs>
        <w:ind w:left="3720" w:hanging="420"/>
      </w:pPr>
    </w:lvl>
    <w:lvl w:ilvl="8" w:tentative="0">
      <w:start w:val="1"/>
      <w:numFmt w:val="lowerRoman"/>
      <w:lvlText w:val="%9."/>
      <w:lvlJc w:val="right"/>
      <w:pPr>
        <w:tabs>
          <w:tab w:val="left" w:pos="4140"/>
        </w:tabs>
        <w:ind w:left="4140" w:hanging="420"/>
      </w:pPr>
    </w:lvl>
  </w:abstractNum>
  <w:abstractNum w:abstractNumId="47">
    <w:nsid w:val="6D594803"/>
    <w:multiLevelType w:val="multilevel"/>
    <w:tmpl w:val="6D594803"/>
    <w:lvl w:ilvl="0" w:tentative="0">
      <w:start w:val="1"/>
      <w:numFmt w:val="decimal"/>
      <w:pStyle w:val="1433"/>
      <w:lvlText w:val="%1"/>
      <w:lvlJc w:val="left"/>
      <w:pPr>
        <w:tabs>
          <w:tab w:val="left" w:pos="720"/>
        </w:tabs>
        <w:ind w:left="425" w:hanging="425"/>
      </w:pPr>
    </w:lvl>
    <w:lvl w:ilvl="1" w:tentative="0">
      <w:start w:val="1"/>
      <w:numFmt w:val="decimal"/>
      <w:lvlText w:val="%1.%2"/>
      <w:lvlJc w:val="left"/>
      <w:pPr>
        <w:tabs>
          <w:tab w:val="left" w:pos="1865"/>
        </w:tabs>
        <w:ind w:left="992" w:hanging="567"/>
      </w:pPr>
    </w:lvl>
    <w:lvl w:ilvl="2" w:tentative="0">
      <w:start w:val="1"/>
      <w:numFmt w:val="decimal"/>
      <w:lvlText w:val="%1.%2.%3"/>
      <w:lvlJc w:val="left"/>
      <w:pPr>
        <w:tabs>
          <w:tab w:val="left" w:pos="3011"/>
        </w:tabs>
        <w:ind w:left="1418" w:hanging="567"/>
      </w:pPr>
    </w:lvl>
    <w:lvl w:ilvl="3" w:tentative="0">
      <w:start w:val="1"/>
      <w:numFmt w:val="decimal"/>
      <w:lvlText w:val="%1.%2.%3.%4"/>
      <w:lvlJc w:val="left"/>
      <w:pPr>
        <w:tabs>
          <w:tab w:val="left" w:pos="4156"/>
        </w:tabs>
        <w:ind w:left="1984" w:hanging="708"/>
      </w:pPr>
    </w:lvl>
    <w:lvl w:ilvl="4" w:tentative="0">
      <w:start w:val="1"/>
      <w:numFmt w:val="decimal"/>
      <w:lvlText w:val="%1.%2.%3.%4.%5"/>
      <w:lvlJc w:val="left"/>
      <w:pPr>
        <w:tabs>
          <w:tab w:val="left" w:pos="5301"/>
        </w:tabs>
        <w:ind w:left="2551" w:hanging="850"/>
      </w:pPr>
    </w:lvl>
    <w:lvl w:ilvl="5" w:tentative="0">
      <w:start w:val="1"/>
      <w:numFmt w:val="decimal"/>
      <w:lvlText w:val="%1.%2.%3.%4.%5.%6"/>
      <w:lvlJc w:val="left"/>
      <w:pPr>
        <w:tabs>
          <w:tab w:val="left" w:pos="6446"/>
        </w:tabs>
        <w:ind w:left="3260" w:hanging="1134"/>
      </w:pPr>
    </w:lvl>
    <w:lvl w:ilvl="6" w:tentative="0">
      <w:start w:val="1"/>
      <w:numFmt w:val="decimal"/>
      <w:lvlText w:val="%1.%2.%3.%4.%5.%6.%7"/>
      <w:lvlJc w:val="left"/>
      <w:pPr>
        <w:tabs>
          <w:tab w:val="left" w:pos="7591"/>
        </w:tabs>
        <w:ind w:left="3827" w:hanging="1276"/>
      </w:pPr>
    </w:lvl>
    <w:lvl w:ilvl="7" w:tentative="0">
      <w:start w:val="1"/>
      <w:numFmt w:val="decimal"/>
      <w:lvlText w:val="%1.%2.%3.%4.%5.%6.%7.%8"/>
      <w:lvlJc w:val="left"/>
      <w:pPr>
        <w:tabs>
          <w:tab w:val="left" w:pos="8736"/>
        </w:tabs>
        <w:ind w:left="4394" w:hanging="1418"/>
      </w:pPr>
    </w:lvl>
    <w:lvl w:ilvl="8" w:tentative="0">
      <w:start w:val="1"/>
      <w:numFmt w:val="decimal"/>
      <w:lvlText w:val="%1.%2.%3.%4.%5.%6.%7.%8.%9"/>
      <w:lvlJc w:val="left"/>
      <w:pPr>
        <w:tabs>
          <w:tab w:val="left" w:pos="9522"/>
        </w:tabs>
        <w:ind w:left="5102" w:hanging="1700"/>
      </w:pPr>
    </w:lvl>
  </w:abstractNum>
  <w:abstractNum w:abstractNumId="48">
    <w:nsid w:val="6E272AB8"/>
    <w:multiLevelType w:val="multilevel"/>
    <w:tmpl w:val="6E272AB8"/>
    <w:lvl w:ilvl="0" w:tentative="0">
      <w:start w:val="1"/>
      <w:numFmt w:val="chineseCountingThousand"/>
      <w:pStyle w:val="2275"/>
      <w:lvlText w:val="%1、"/>
      <w:lvlJc w:val="left"/>
      <w:pPr>
        <w:tabs>
          <w:tab w:val="left" w:pos="57"/>
        </w:tabs>
        <w:ind w:left="284" w:hanging="284"/>
      </w:pPr>
      <w:rPr>
        <w:rFonts w:hint="eastAsia" w:cs="Times New Roman"/>
      </w:rPr>
    </w:lvl>
    <w:lvl w:ilvl="1" w:tentative="0">
      <w:start w:val="1"/>
      <w:numFmt w:val="lowerLetter"/>
      <w:lvlText w:val="%2)"/>
      <w:lvlJc w:val="left"/>
      <w:pPr>
        <w:tabs>
          <w:tab w:val="left" w:pos="840"/>
        </w:tabs>
        <w:ind w:left="840" w:hanging="420"/>
      </w:pPr>
      <w:rPr>
        <w:rFonts w:cs="Times New Roman"/>
      </w:rPr>
    </w:lvl>
    <w:lvl w:ilvl="2" w:tentative="0">
      <w:start w:val="2"/>
      <w:numFmt w:val="japaneseCounting"/>
      <w:lvlText w:val="%3、"/>
      <w:lvlJc w:val="left"/>
      <w:pPr>
        <w:tabs>
          <w:tab w:val="left" w:pos="1230"/>
        </w:tabs>
        <w:ind w:left="1230" w:hanging="390"/>
      </w:pPr>
      <w:rPr>
        <w:rFonts w:hint="default" w:cs="Times New Roman"/>
      </w:rPr>
    </w:lvl>
    <w:lvl w:ilvl="3" w:tentative="0">
      <w:start w:val="1"/>
      <w:numFmt w:val="decimal"/>
      <w:lvlText w:val="%4."/>
      <w:lvlJc w:val="left"/>
      <w:pPr>
        <w:tabs>
          <w:tab w:val="left" w:pos="1680"/>
        </w:tabs>
        <w:ind w:left="1680" w:hanging="420"/>
      </w:pPr>
      <w:rPr>
        <w:rFonts w:cs="Times New Roman"/>
      </w:rPr>
    </w:lvl>
    <w:lvl w:ilvl="4" w:tentative="0">
      <w:start w:val="1"/>
      <w:numFmt w:val="lowerLetter"/>
      <w:lvlText w:val="%5)"/>
      <w:lvlJc w:val="left"/>
      <w:pPr>
        <w:tabs>
          <w:tab w:val="left" w:pos="2100"/>
        </w:tabs>
        <w:ind w:left="2100" w:hanging="420"/>
      </w:pPr>
      <w:rPr>
        <w:rFonts w:cs="Times New Roman"/>
      </w:rPr>
    </w:lvl>
    <w:lvl w:ilvl="5" w:tentative="0">
      <w:start w:val="1"/>
      <w:numFmt w:val="lowerRoman"/>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abstractNum w:abstractNumId="49">
    <w:nsid w:val="6F876624"/>
    <w:multiLevelType w:val="multilevel"/>
    <w:tmpl w:val="6F876624"/>
    <w:lvl w:ilvl="0" w:tentative="0">
      <w:start w:val="1"/>
      <w:numFmt w:val="decimal"/>
      <w:pStyle w:val="2434"/>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0">
    <w:nsid w:val="6F8B09C1"/>
    <w:multiLevelType w:val="singleLevel"/>
    <w:tmpl w:val="6F8B09C1"/>
    <w:lvl w:ilvl="0" w:tentative="0">
      <w:start w:val="1"/>
      <w:numFmt w:val="bullet"/>
      <w:pStyle w:val="786"/>
      <w:lvlText w:val=""/>
      <w:lvlJc w:val="left"/>
      <w:pPr>
        <w:tabs>
          <w:tab w:val="left" w:pos="425"/>
        </w:tabs>
        <w:ind w:left="425" w:hanging="425"/>
      </w:pPr>
      <w:rPr>
        <w:rFonts w:hint="default" w:ascii="Wingdings" w:hAnsi="Wingdings"/>
        <w:sz w:val="24"/>
      </w:rPr>
    </w:lvl>
  </w:abstractNum>
  <w:abstractNum w:abstractNumId="51">
    <w:nsid w:val="6FA42EFE"/>
    <w:multiLevelType w:val="multilevel"/>
    <w:tmpl w:val="6FA42EFE"/>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2">
    <w:nsid w:val="704E4344"/>
    <w:multiLevelType w:val="multilevel"/>
    <w:tmpl w:val="704E4344"/>
    <w:lvl w:ilvl="0" w:tentative="0">
      <w:start w:val="1"/>
      <w:numFmt w:val="decimal"/>
      <w:pStyle w:val="3592"/>
      <w:lvlText w:val="表8-%1  "/>
      <w:lvlJc w:val="center"/>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3">
    <w:nsid w:val="727E1BF3"/>
    <w:multiLevelType w:val="multilevel"/>
    <w:tmpl w:val="727E1BF3"/>
    <w:lvl w:ilvl="0" w:tentative="0">
      <w:start w:val="1"/>
      <w:numFmt w:val="chineseCounting"/>
      <w:pStyle w:val="3350"/>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4">
    <w:nsid w:val="73CD5D3F"/>
    <w:multiLevelType w:val="multilevel"/>
    <w:tmpl w:val="73CD5D3F"/>
    <w:lvl w:ilvl="0" w:tentative="0">
      <w:start w:val="1"/>
      <w:numFmt w:val="decimal"/>
      <w:pStyle w:val="3587"/>
      <w:lvlText w:val="表3-%1  "/>
      <w:lvlJc w:val="left"/>
      <w:pPr>
        <w:ind w:left="900" w:hanging="420"/>
      </w:pPr>
      <w:rPr>
        <w:rFonts w:hint="eastAsia"/>
        <w:vertAlign w:val="baseline"/>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5">
    <w:nsid w:val="74E26610"/>
    <w:multiLevelType w:val="multilevel"/>
    <w:tmpl w:val="74E26610"/>
    <w:lvl w:ilvl="0" w:tentative="0">
      <w:start w:val="1"/>
      <w:numFmt w:val="decimal"/>
      <w:pStyle w:val="1971"/>
      <w:lvlText w:val="(%1)"/>
      <w:lvlJc w:val="left"/>
      <w:pPr>
        <w:tabs>
          <w:tab w:val="left" w:pos="0"/>
        </w:tabs>
        <w:ind w:left="0" w:firstLine="0"/>
      </w:pPr>
      <w:rPr>
        <w:rFonts w:hint="default" w:ascii="Arial" w:hAnsi="Arial" w:eastAsia="宋体"/>
        <w:b w:val="0"/>
        <w:i w:val="0"/>
        <w:caps w:val="0"/>
        <w:strike w:val="0"/>
        <w:dstrike w:val="0"/>
        <w:vanish w:val="0"/>
        <w:color w:val="auto"/>
        <w:sz w:val="24"/>
        <w:szCs w:val="24"/>
        <w:u w:val="none"/>
        <w:vertAlign w:val="baseline"/>
        <w14:shadow w14:blurRad="0" w14:dist="0" w14:dir="0" w14:sx="0" w14:sy="0" w14:kx="0" w14:ky="0" w14:algn="none">
          <w14:srgbClr w14:val="000000"/>
        </w14:shadow>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6">
    <w:nsid w:val="76933334"/>
    <w:multiLevelType w:val="multilevel"/>
    <w:tmpl w:val="76933334"/>
    <w:lvl w:ilvl="0" w:tentative="0">
      <w:start w:val="1"/>
      <w:numFmt w:val="none"/>
      <w:pStyle w:val="785"/>
      <w:lvlText w:val="%1——"/>
      <w:lvlJc w:val="left"/>
      <w:pPr>
        <w:tabs>
          <w:tab w:val="left" w:pos="1140"/>
        </w:tabs>
        <w:ind w:left="840"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7">
    <w:nsid w:val="791F690E"/>
    <w:multiLevelType w:val="singleLevel"/>
    <w:tmpl w:val="791F690E"/>
    <w:lvl w:ilvl="0" w:tentative="0">
      <w:start w:val="1"/>
      <w:numFmt w:val="decimalEnclosedCircleChinese"/>
      <w:suff w:val="nothing"/>
      <w:lvlText w:val="%1　"/>
      <w:lvlJc w:val="left"/>
      <w:pPr>
        <w:ind w:left="0" w:firstLine="40"/>
      </w:pPr>
      <w:rPr>
        <w:rFonts w:hint="eastAsia"/>
      </w:rPr>
    </w:lvl>
  </w:abstractNum>
  <w:abstractNum w:abstractNumId="58">
    <w:nsid w:val="7BBB0A94"/>
    <w:multiLevelType w:val="multilevel"/>
    <w:tmpl w:val="7BBB0A94"/>
    <w:lvl w:ilvl="0" w:tentative="0">
      <w:start w:val="1"/>
      <w:numFmt w:val="decimal"/>
      <w:pStyle w:val="3354"/>
      <w:lvlText w:val="%1."/>
      <w:lvlJc w:val="left"/>
      <w:pPr>
        <w:ind w:left="420" w:hanging="420"/>
      </w:pPr>
      <w:rPr>
        <w:rFonts w:hint="eastAsia"/>
        <w:snapToGrid/>
      </w:rPr>
    </w:lvl>
    <w:lvl w:ilvl="1" w:tentative="0">
      <w:start w:val="1"/>
      <w:numFmt w:val="lowerLetter"/>
      <w:pStyle w:val="3355"/>
      <w:lvlText w:val="%2)"/>
      <w:lvlJc w:val="left"/>
      <w:pPr>
        <w:ind w:left="840" w:hanging="420"/>
      </w:pPr>
    </w:lvl>
    <w:lvl w:ilvl="2" w:tentative="0">
      <w:start w:val="1"/>
      <w:numFmt w:val="lowerRoman"/>
      <w:pStyle w:val="3353"/>
      <w:lvlText w:val="%3."/>
      <w:lvlJc w:val="right"/>
      <w:pPr>
        <w:ind w:left="1260" w:hanging="420"/>
      </w:pPr>
    </w:lvl>
    <w:lvl w:ilvl="3" w:tentative="0">
      <w:start w:val="1"/>
      <w:numFmt w:val="decimal"/>
      <w:pStyle w:val="3352"/>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9">
    <w:nsid w:val="7FB65012"/>
    <w:multiLevelType w:val="multilevel"/>
    <w:tmpl w:val="7FB65012"/>
    <w:lvl w:ilvl="0" w:tentative="0">
      <w:start w:val="1"/>
      <w:numFmt w:val="decimal"/>
      <w:pStyle w:val="2289"/>
      <w:lvlText w:val="表2-%1  "/>
      <w:lvlJc w:val="center"/>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8"/>
  </w:num>
  <w:num w:numId="2">
    <w:abstractNumId w:val="7"/>
  </w:num>
  <w:num w:numId="3">
    <w:abstractNumId w:val="10"/>
  </w:num>
  <w:num w:numId="4">
    <w:abstractNumId w:val="8"/>
  </w:num>
  <w:num w:numId="5">
    <w:abstractNumId w:val="5"/>
  </w:num>
  <w:num w:numId="6">
    <w:abstractNumId w:val="9"/>
  </w:num>
  <w:num w:numId="7">
    <w:abstractNumId w:val="6"/>
  </w:num>
  <w:num w:numId="8">
    <w:abstractNumId w:val="4"/>
  </w:num>
  <w:num w:numId="9">
    <w:abstractNumId w:val="3"/>
  </w:num>
  <w:num w:numId="10">
    <w:abstractNumId w:val="22"/>
  </w:num>
  <w:num w:numId="11">
    <w:abstractNumId w:val="33"/>
  </w:num>
  <w:num w:numId="12">
    <w:abstractNumId w:val="26"/>
  </w:num>
  <w:num w:numId="13">
    <w:abstractNumId w:val="56"/>
  </w:num>
  <w:num w:numId="14">
    <w:abstractNumId w:val="50"/>
  </w:num>
  <w:num w:numId="15">
    <w:abstractNumId w:val="11"/>
  </w:num>
  <w:num w:numId="16">
    <w:abstractNumId w:val="35"/>
  </w:num>
  <w:num w:numId="17">
    <w:abstractNumId w:val="15"/>
  </w:num>
  <w:num w:numId="18">
    <w:abstractNumId w:val="20"/>
    <w:lvlOverride w:ilvl="0">
      <w:lvl w:ilvl="0" w:tentative="1">
        <w:start w:val="1"/>
        <w:numFmt w:val="decimal"/>
        <w:pStyle w:val="938"/>
        <w:lvlText w:val="%1 "/>
        <w:lvlJc w:val="left"/>
        <w:pPr>
          <w:tabs>
            <w:tab w:val="left" w:pos="425"/>
          </w:tabs>
          <w:ind w:left="425" w:hanging="425"/>
        </w:pPr>
        <w:rPr>
          <w:rFonts w:hint="eastAsia" w:eastAsia="宋体"/>
          <w:b/>
          <w:bCs/>
          <w:spacing w:val="-4"/>
          <w:kern w:val="2"/>
          <w:sz w:val="28"/>
        </w:rPr>
      </w:lvl>
    </w:lvlOverride>
    <w:lvlOverride w:ilvl="1">
      <w:lvl w:ilvl="1" w:tentative="1">
        <w:start w:val="1"/>
        <w:numFmt w:val="decimal"/>
        <w:pStyle w:val="939"/>
        <w:lvlText w:val="%1.%2 "/>
        <w:lvlJc w:val="left"/>
        <w:pPr>
          <w:tabs>
            <w:tab w:val="left" w:pos="567"/>
          </w:tabs>
          <w:ind w:left="567" w:hanging="567"/>
        </w:pPr>
        <w:rPr>
          <w:rFonts w:hint="eastAsia"/>
        </w:rPr>
      </w:lvl>
    </w:lvlOverride>
    <w:lvlOverride w:ilvl="2">
      <w:lvl w:ilvl="2" w:tentative="1">
        <w:start w:val="1"/>
        <w:numFmt w:val="decimal"/>
        <w:pStyle w:val="940"/>
        <w:lvlText w:val="%1.%2.%3 "/>
        <w:lvlJc w:val="left"/>
        <w:pPr>
          <w:tabs>
            <w:tab w:val="left" w:pos="709"/>
          </w:tabs>
          <w:ind w:left="709" w:hanging="709"/>
        </w:pPr>
        <w:rPr>
          <w:rFonts w:hint="eastAsia"/>
        </w:rPr>
      </w:lvl>
    </w:lvlOverride>
    <w:lvlOverride w:ilvl="3">
      <w:lvl w:ilvl="3" w:tentative="1">
        <w:start w:val="1"/>
        <w:numFmt w:val="decimal"/>
        <w:lvlText w:val="%1.%2.%3.%4"/>
        <w:lvlJc w:val="left"/>
        <w:pPr>
          <w:tabs>
            <w:tab w:val="left" w:pos="851"/>
          </w:tabs>
          <w:ind w:left="851" w:hanging="851"/>
        </w:pPr>
        <w:rPr>
          <w:rFonts w:hint="eastAsia"/>
        </w:rPr>
      </w:lvl>
    </w:lvlOverride>
    <w:lvlOverride w:ilvl="4">
      <w:lvl w:ilvl="4" w:tentative="1">
        <w:start w:val="1"/>
        <w:numFmt w:val="decimal"/>
        <w:lvlText w:val="%1.%2.%3.%4.%5."/>
        <w:lvlJc w:val="left"/>
        <w:pPr>
          <w:tabs>
            <w:tab w:val="left" w:pos="992"/>
          </w:tabs>
          <w:ind w:left="992" w:hanging="992"/>
        </w:pPr>
        <w:rPr>
          <w:rFonts w:hint="eastAsia"/>
        </w:rPr>
      </w:lvl>
    </w:lvlOverride>
    <w:lvlOverride w:ilvl="5">
      <w:lvl w:ilvl="5" w:tentative="1">
        <w:start w:val="1"/>
        <w:numFmt w:val="decimal"/>
        <w:lvlText w:val="%1.%2.%3.%4.%5.%6."/>
        <w:lvlJc w:val="left"/>
        <w:pPr>
          <w:tabs>
            <w:tab w:val="left" w:pos="1134"/>
          </w:tabs>
          <w:ind w:left="1134" w:hanging="1134"/>
        </w:pPr>
        <w:rPr>
          <w:rFonts w:hint="eastAsia"/>
        </w:rPr>
      </w:lvl>
    </w:lvlOverride>
    <w:lvlOverride w:ilvl="6">
      <w:lvl w:ilvl="6" w:tentative="1">
        <w:start w:val="1"/>
        <w:numFmt w:val="decimal"/>
        <w:lvlText w:val="%1.%2.%3.%4.%5.%6.%7."/>
        <w:lvlJc w:val="left"/>
        <w:pPr>
          <w:tabs>
            <w:tab w:val="left" w:pos="1276"/>
          </w:tabs>
          <w:ind w:left="1276" w:hanging="1276"/>
        </w:pPr>
        <w:rPr>
          <w:rFonts w:hint="eastAsia"/>
        </w:rPr>
      </w:lvl>
    </w:lvlOverride>
    <w:lvlOverride w:ilvl="7">
      <w:lvl w:ilvl="7" w:tentative="1">
        <w:start w:val="1"/>
        <w:numFmt w:val="decimal"/>
        <w:lvlText w:val="%1.%2.%3.%4.%5.%6.%7.%8."/>
        <w:lvlJc w:val="left"/>
        <w:pPr>
          <w:tabs>
            <w:tab w:val="left" w:pos="1418"/>
          </w:tabs>
          <w:ind w:left="1418" w:hanging="1418"/>
        </w:pPr>
        <w:rPr>
          <w:rFonts w:hint="eastAsia"/>
        </w:rPr>
      </w:lvl>
    </w:lvlOverride>
    <w:lvlOverride w:ilvl="8">
      <w:lvl w:ilvl="8" w:tentative="1">
        <w:start w:val="1"/>
        <w:numFmt w:val="decimal"/>
        <w:lvlText w:val="%1.%2.%3.%4.%5.%6.%7.%8.%9."/>
        <w:lvlJc w:val="left"/>
        <w:pPr>
          <w:tabs>
            <w:tab w:val="left" w:pos="1559"/>
          </w:tabs>
          <w:ind w:left="1559" w:hanging="1559"/>
        </w:pPr>
        <w:rPr>
          <w:rFonts w:hint="eastAsia"/>
        </w:rPr>
      </w:lvl>
    </w:lvlOverride>
  </w:num>
  <w:num w:numId="19">
    <w:abstractNumId w:val="47"/>
  </w:num>
  <w:num w:numId="20">
    <w:abstractNumId w:val="23"/>
  </w:num>
  <w:num w:numId="21">
    <w:abstractNumId w:val="19"/>
  </w:num>
  <w:num w:numId="22">
    <w:abstractNumId w:val="24"/>
  </w:num>
  <w:num w:numId="23">
    <w:abstractNumId w:val="38"/>
  </w:num>
  <w:num w:numId="24">
    <w:abstractNumId w:val="16"/>
  </w:num>
  <w:num w:numId="25">
    <w:abstractNumId w:val="55"/>
  </w:num>
  <w:num w:numId="26">
    <w:abstractNumId w:val="39"/>
  </w:num>
  <w:num w:numId="27">
    <w:abstractNumId w:val="40"/>
  </w:num>
  <w:num w:numId="28">
    <w:abstractNumId w:val="29"/>
    <w:lvlOverride w:ilvl="0">
      <w:startOverride w:val="1"/>
    </w:lvlOverride>
  </w:num>
  <w:num w:numId="29">
    <w:abstractNumId w:val="48"/>
  </w:num>
  <w:num w:numId="30">
    <w:abstractNumId w:val="59"/>
  </w:num>
  <w:num w:numId="31">
    <w:abstractNumId w:val="49"/>
  </w:num>
  <w:num w:numId="3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7"/>
    <w:lvlOverride w:ilvl="0">
      <w:startOverride w:val="1"/>
    </w:lvlOverride>
  </w:num>
  <w:num w:numId="3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7"/>
  </w:num>
  <w:num w:numId="37">
    <w:abstractNumId w:val="28"/>
  </w:num>
  <w:num w:numId="38">
    <w:abstractNumId w:val="53"/>
  </w:num>
  <w:num w:numId="39">
    <w:abstractNumId w:val="58"/>
  </w:num>
  <w:num w:numId="40">
    <w:abstractNumId w:val="42"/>
  </w:num>
  <w:num w:numId="41">
    <w:abstractNumId w:val="54"/>
  </w:num>
  <w:num w:numId="42">
    <w:abstractNumId w:val="14"/>
  </w:num>
  <w:num w:numId="43">
    <w:abstractNumId w:val="2"/>
  </w:num>
  <w:num w:numId="44">
    <w:abstractNumId w:val="52"/>
  </w:num>
  <w:num w:numId="45">
    <w:abstractNumId w:val="17"/>
  </w:num>
  <w:num w:numId="46">
    <w:abstractNumId w:val="36"/>
  </w:num>
  <w:num w:numId="47">
    <w:abstractNumId w:val="32"/>
  </w:num>
  <w:num w:numId="48">
    <w:abstractNumId w:val="41"/>
  </w:num>
  <w:num w:numId="49">
    <w:abstractNumId w:val="0"/>
  </w:num>
  <w:num w:numId="50">
    <w:abstractNumId w:val="51"/>
  </w:num>
  <w:num w:numId="51">
    <w:abstractNumId w:val="13"/>
  </w:num>
  <w:num w:numId="52">
    <w:abstractNumId w:val="34"/>
  </w:num>
  <w:num w:numId="53">
    <w:abstractNumId w:val="46"/>
  </w:num>
  <w:num w:numId="54">
    <w:abstractNumId w:val="31"/>
  </w:num>
  <w:num w:numId="55">
    <w:abstractNumId w:val="44"/>
  </w:num>
  <w:num w:numId="56">
    <w:abstractNumId w:val="12"/>
  </w:num>
  <w:num w:numId="57">
    <w:abstractNumId w:val="21"/>
  </w:num>
  <w:num w:numId="58">
    <w:abstractNumId w:val="25"/>
  </w:num>
  <w:num w:numId="59">
    <w:abstractNumId w:val="57"/>
  </w:num>
  <w:num w:numId="6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4"/>
  <w:bordersDoNotSurroundHeader w:val="false"/>
  <w:bordersDoNotSurroundFooter w:val="false"/>
  <w:hideSpellingErrors/>
  <w:hideGrammaticalErrors/>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ocumentProtection w:enforcement="0"/>
  <w:defaultTabStop w:val="0"/>
  <w:drawingGridHorizontalSpacing w:val="120"/>
  <w:drawingGridVerticalSpacing w:val="167"/>
  <w:displayHorizontalDrawingGridEvery w:val="1"/>
  <w:displayVerticalDrawingGridEvery w:val="1"/>
  <w:noPunctuationKerning w:val="true"/>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RmNzE2MmM5MTY5NjRhYzRkNzA2ODVlZjg0N2M2MDYifQ=="/>
  </w:docVars>
  <w:rsids>
    <w:rsidRoot w:val="00172A27"/>
    <w:rsid w:val="000002F5"/>
    <w:rsid w:val="0000036A"/>
    <w:rsid w:val="00000415"/>
    <w:rsid w:val="00000755"/>
    <w:rsid w:val="00000A70"/>
    <w:rsid w:val="00000BCA"/>
    <w:rsid w:val="00000C98"/>
    <w:rsid w:val="00000DAC"/>
    <w:rsid w:val="00000E93"/>
    <w:rsid w:val="000014D1"/>
    <w:rsid w:val="0000152E"/>
    <w:rsid w:val="000015D3"/>
    <w:rsid w:val="0000165B"/>
    <w:rsid w:val="00001712"/>
    <w:rsid w:val="00001735"/>
    <w:rsid w:val="00001CA1"/>
    <w:rsid w:val="0000201A"/>
    <w:rsid w:val="00002128"/>
    <w:rsid w:val="000024DA"/>
    <w:rsid w:val="000026AD"/>
    <w:rsid w:val="000026BD"/>
    <w:rsid w:val="000029CD"/>
    <w:rsid w:val="00002F8C"/>
    <w:rsid w:val="00003132"/>
    <w:rsid w:val="000031BD"/>
    <w:rsid w:val="00003491"/>
    <w:rsid w:val="000036BD"/>
    <w:rsid w:val="000039AA"/>
    <w:rsid w:val="000042AF"/>
    <w:rsid w:val="00004516"/>
    <w:rsid w:val="0000468B"/>
    <w:rsid w:val="000046B0"/>
    <w:rsid w:val="00004A54"/>
    <w:rsid w:val="00004F9C"/>
    <w:rsid w:val="0000500E"/>
    <w:rsid w:val="00005080"/>
    <w:rsid w:val="00005216"/>
    <w:rsid w:val="0000526E"/>
    <w:rsid w:val="00005517"/>
    <w:rsid w:val="00005A4C"/>
    <w:rsid w:val="00005C39"/>
    <w:rsid w:val="00005D0F"/>
    <w:rsid w:val="00005D94"/>
    <w:rsid w:val="000061B6"/>
    <w:rsid w:val="00006B10"/>
    <w:rsid w:val="00006D61"/>
    <w:rsid w:val="00006F45"/>
    <w:rsid w:val="00006FB2"/>
    <w:rsid w:val="0000748A"/>
    <w:rsid w:val="00007619"/>
    <w:rsid w:val="00007638"/>
    <w:rsid w:val="00007654"/>
    <w:rsid w:val="000078FD"/>
    <w:rsid w:val="00007B2D"/>
    <w:rsid w:val="00007ED0"/>
    <w:rsid w:val="0001005C"/>
    <w:rsid w:val="0001040C"/>
    <w:rsid w:val="00010AA1"/>
    <w:rsid w:val="00010BD1"/>
    <w:rsid w:val="00010D3C"/>
    <w:rsid w:val="00010D8A"/>
    <w:rsid w:val="00010DF0"/>
    <w:rsid w:val="00010F3F"/>
    <w:rsid w:val="00011001"/>
    <w:rsid w:val="00011129"/>
    <w:rsid w:val="00011467"/>
    <w:rsid w:val="000114DF"/>
    <w:rsid w:val="0001153E"/>
    <w:rsid w:val="000115EE"/>
    <w:rsid w:val="000115F5"/>
    <w:rsid w:val="000119A9"/>
    <w:rsid w:val="00011C6C"/>
    <w:rsid w:val="00011FEB"/>
    <w:rsid w:val="00012044"/>
    <w:rsid w:val="000121B2"/>
    <w:rsid w:val="000122E9"/>
    <w:rsid w:val="00012731"/>
    <w:rsid w:val="00012E0D"/>
    <w:rsid w:val="00013281"/>
    <w:rsid w:val="00013335"/>
    <w:rsid w:val="000135E3"/>
    <w:rsid w:val="00013AE5"/>
    <w:rsid w:val="00013F77"/>
    <w:rsid w:val="000145E9"/>
    <w:rsid w:val="0001467A"/>
    <w:rsid w:val="000148BB"/>
    <w:rsid w:val="000148DA"/>
    <w:rsid w:val="00014DEB"/>
    <w:rsid w:val="0001509E"/>
    <w:rsid w:val="00015291"/>
    <w:rsid w:val="0001557A"/>
    <w:rsid w:val="00015965"/>
    <w:rsid w:val="00015C55"/>
    <w:rsid w:val="00015C74"/>
    <w:rsid w:val="00016183"/>
    <w:rsid w:val="000161FB"/>
    <w:rsid w:val="0001673E"/>
    <w:rsid w:val="0001696F"/>
    <w:rsid w:val="00016BBC"/>
    <w:rsid w:val="00016DB8"/>
    <w:rsid w:val="00016E0A"/>
    <w:rsid w:val="000170F3"/>
    <w:rsid w:val="0001718A"/>
    <w:rsid w:val="0001718C"/>
    <w:rsid w:val="00017459"/>
    <w:rsid w:val="00017696"/>
    <w:rsid w:val="000179F3"/>
    <w:rsid w:val="00020174"/>
    <w:rsid w:val="000202AC"/>
    <w:rsid w:val="000202D0"/>
    <w:rsid w:val="0002048A"/>
    <w:rsid w:val="00020564"/>
    <w:rsid w:val="0002076D"/>
    <w:rsid w:val="0002086F"/>
    <w:rsid w:val="00020884"/>
    <w:rsid w:val="000208D1"/>
    <w:rsid w:val="00020C1C"/>
    <w:rsid w:val="00020D99"/>
    <w:rsid w:val="00020DDF"/>
    <w:rsid w:val="000215A9"/>
    <w:rsid w:val="000217BC"/>
    <w:rsid w:val="000217EC"/>
    <w:rsid w:val="0002182F"/>
    <w:rsid w:val="00021B6F"/>
    <w:rsid w:val="00021D20"/>
    <w:rsid w:val="00021EB5"/>
    <w:rsid w:val="000221EA"/>
    <w:rsid w:val="00023376"/>
    <w:rsid w:val="000234E2"/>
    <w:rsid w:val="0002350F"/>
    <w:rsid w:val="000235E2"/>
    <w:rsid w:val="000237A7"/>
    <w:rsid w:val="000238E5"/>
    <w:rsid w:val="00023AFF"/>
    <w:rsid w:val="00023BD3"/>
    <w:rsid w:val="00023C33"/>
    <w:rsid w:val="00023EB7"/>
    <w:rsid w:val="000241AB"/>
    <w:rsid w:val="000242EC"/>
    <w:rsid w:val="0002475B"/>
    <w:rsid w:val="00024953"/>
    <w:rsid w:val="000249FE"/>
    <w:rsid w:val="00024C29"/>
    <w:rsid w:val="00024F74"/>
    <w:rsid w:val="0002539E"/>
    <w:rsid w:val="0002561D"/>
    <w:rsid w:val="0002580D"/>
    <w:rsid w:val="00025D17"/>
    <w:rsid w:val="0002607B"/>
    <w:rsid w:val="000263C7"/>
    <w:rsid w:val="00026492"/>
    <w:rsid w:val="00026773"/>
    <w:rsid w:val="00026C45"/>
    <w:rsid w:val="00026F39"/>
    <w:rsid w:val="00026F5B"/>
    <w:rsid w:val="00027515"/>
    <w:rsid w:val="0002785F"/>
    <w:rsid w:val="00027945"/>
    <w:rsid w:val="00027ADA"/>
    <w:rsid w:val="00027B17"/>
    <w:rsid w:val="00027F8F"/>
    <w:rsid w:val="00030166"/>
    <w:rsid w:val="00030705"/>
    <w:rsid w:val="000307C7"/>
    <w:rsid w:val="00030870"/>
    <w:rsid w:val="000309E8"/>
    <w:rsid w:val="00030A42"/>
    <w:rsid w:val="00030A9B"/>
    <w:rsid w:val="00030AE3"/>
    <w:rsid w:val="00030BE2"/>
    <w:rsid w:val="0003104E"/>
    <w:rsid w:val="000314D7"/>
    <w:rsid w:val="000317D1"/>
    <w:rsid w:val="000318B4"/>
    <w:rsid w:val="00031941"/>
    <w:rsid w:val="0003268B"/>
    <w:rsid w:val="000326BA"/>
    <w:rsid w:val="00032B90"/>
    <w:rsid w:val="00032E30"/>
    <w:rsid w:val="000331AC"/>
    <w:rsid w:val="00033291"/>
    <w:rsid w:val="00033979"/>
    <w:rsid w:val="00033A39"/>
    <w:rsid w:val="00033AD5"/>
    <w:rsid w:val="00033B7A"/>
    <w:rsid w:val="000343E7"/>
    <w:rsid w:val="00034837"/>
    <w:rsid w:val="00034998"/>
    <w:rsid w:val="00034AC4"/>
    <w:rsid w:val="00034BE0"/>
    <w:rsid w:val="00034F22"/>
    <w:rsid w:val="00035210"/>
    <w:rsid w:val="0003561F"/>
    <w:rsid w:val="00035779"/>
    <w:rsid w:val="000359E9"/>
    <w:rsid w:val="00035CB2"/>
    <w:rsid w:val="00035CD3"/>
    <w:rsid w:val="00035F95"/>
    <w:rsid w:val="00035F9E"/>
    <w:rsid w:val="00036029"/>
    <w:rsid w:val="00036063"/>
    <w:rsid w:val="00036508"/>
    <w:rsid w:val="00036BD7"/>
    <w:rsid w:val="00036F9E"/>
    <w:rsid w:val="000370C7"/>
    <w:rsid w:val="00037275"/>
    <w:rsid w:val="00037300"/>
    <w:rsid w:val="00037B51"/>
    <w:rsid w:val="00037C6B"/>
    <w:rsid w:val="0004022E"/>
    <w:rsid w:val="000402F0"/>
    <w:rsid w:val="00040616"/>
    <w:rsid w:val="000408D5"/>
    <w:rsid w:val="00040958"/>
    <w:rsid w:val="000409EA"/>
    <w:rsid w:val="00040A2D"/>
    <w:rsid w:val="00040A9C"/>
    <w:rsid w:val="00040B24"/>
    <w:rsid w:val="00040E4F"/>
    <w:rsid w:val="00041031"/>
    <w:rsid w:val="00041377"/>
    <w:rsid w:val="0004170E"/>
    <w:rsid w:val="00041732"/>
    <w:rsid w:val="00041B7B"/>
    <w:rsid w:val="00041F9A"/>
    <w:rsid w:val="000423A6"/>
    <w:rsid w:val="000426A4"/>
    <w:rsid w:val="00042A95"/>
    <w:rsid w:val="00042B58"/>
    <w:rsid w:val="00042B72"/>
    <w:rsid w:val="00042BE2"/>
    <w:rsid w:val="00042C65"/>
    <w:rsid w:val="00042F27"/>
    <w:rsid w:val="00043116"/>
    <w:rsid w:val="00043184"/>
    <w:rsid w:val="0004359F"/>
    <w:rsid w:val="0004368B"/>
    <w:rsid w:val="00043796"/>
    <w:rsid w:val="00043B8A"/>
    <w:rsid w:val="00043D4D"/>
    <w:rsid w:val="000441F4"/>
    <w:rsid w:val="00044288"/>
    <w:rsid w:val="00044489"/>
    <w:rsid w:val="00044581"/>
    <w:rsid w:val="000449DC"/>
    <w:rsid w:val="00044DEA"/>
    <w:rsid w:val="0004504A"/>
    <w:rsid w:val="0004509E"/>
    <w:rsid w:val="000451B5"/>
    <w:rsid w:val="00045370"/>
    <w:rsid w:val="000457F7"/>
    <w:rsid w:val="00045B5E"/>
    <w:rsid w:val="00045B95"/>
    <w:rsid w:val="00045C05"/>
    <w:rsid w:val="00045C78"/>
    <w:rsid w:val="00045ED7"/>
    <w:rsid w:val="00045F17"/>
    <w:rsid w:val="00045F47"/>
    <w:rsid w:val="00046069"/>
    <w:rsid w:val="000460EA"/>
    <w:rsid w:val="0004670C"/>
    <w:rsid w:val="0004677B"/>
    <w:rsid w:val="00046CC2"/>
    <w:rsid w:val="00046F06"/>
    <w:rsid w:val="00047303"/>
    <w:rsid w:val="00047374"/>
    <w:rsid w:val="000473F1"/>
    <w:rsid w:val="000478B1"/>
    <w:rsid w:val="00047B02"/>
    <w:rsid w:val="00047C8B"/>
    <w:rsid w:val="00047EAA"/>
    <w:rsid w:val="000500B6"/>
    <w:rsid w:val="00050342"/>
    <w:rsid w:val="00050B78"/>
    <w:rsid w:val="00050C4C"/>
    <w:rsid w:val="00050D2B"/>
    <w:rsid w:val="00050DCC"/>
    <w:rsid w:val="00050E64"/>
    <w:rsid w:val="000512A2"/>
    <w:rsid w:val="000513EE"/>
    <w:rsid w:val="00051619"/>
    <w:rsid w:val="00051680"/>
    <w:rsid w:val="000516AA"/>
    <w:rsid w:val="000518C3"/>
    <w:rsid w:val="000519AF"/>
    <w:rsid w:val="00051DEA"/>
    <w:rsid w:val="00051E65"/>
    <w:rsid w:val="00051EA7"/>
    <w:rsid w:val="0005234A"/>
    <w:rsid w:val="000523F1"/>
    <w:rsid w:val="00052598"/>
    <w:rsid w:val="000525B9"/>
    <w:rsid w:val="00052A23"/>
    <w:rsid w:val="00052C69"/>
    <w:rsid w:val="00052DD5"/>
    <w:rsid w:val="00052F7B"/>
    <w:rsid w:val="00052FAC"/>
    <w:rsid w:val="000536C6"/>
    <w:rsid w:val="000538C6"/>
    <w:rsid w:val="00053DCB"/>
    <w:rsid w:val="0005411A"/>
    <w:rsid w:val="0005429A"/>
    <w:rsid w:val="000542B2"/>
    <w:rsid w:val="00054BE2"/>
    <w:rsid w:val="00054D3E"/>
    <w:rsid w:val="00054DD8"/>
    <w:rsid w:val="00054F73"/>
    <w:rsid w:val="00055182"/>
    <w:rsid w:val="000551CE"/>
    <w:rsid w:val="000552FF"/>
    <w:rsid w:val="00055305"/>
    <w:rsid w:val="00055391"/>
    <w:rsid w:val="0005555D"/>
    <w:rsid w:val="00055600"/>
    <w:rsid w:val="000560F8"/>
    <w:rsid w:val="0005610B"/>
    <w:rsid w:val="00056242"/>
    <w:rsid w:val="000564FE"/>
    <w:rsid w:val="00056615"/>
    <w:rsid w:val="00056649"/>
    <w:rsid w:val="0005677F"/>
    <w:rsid w:val="000568ED"/>
    <w:rsid w:val="00056925"/>
    <w:rsid w:val="000571B2"/>
    <w:rsid w:val="000575F2"/>
    <w:rsid w:val="00057952"/>
    <w:rsid w:val="00057960"/>
    <w:rsid w:val="00057963"/>
    <w:rsid w:val="00057A79"/>
    <w:rsid w:val="00057E1B"/>
    <w:rsid w:val="000600E8"/>
    <w:rsid w:val="000600F9"/>
    <w:rsid w:val="0006023B"/>
    <w:rsid w:val="0006025E"/>
    <w:rsid w:val="00060328"/>
    <w:rsid w:val="000603BE"/>
    <w:rsid w:val="00060419"/>
    <w:rsid w:val="00060769"/>
    <w:rsid w:val="00060B40"/>
    <w:rsid w:val="00060C29"/>
    <w:rsid w:val="00061258"/>
    <w:rsid w:val="0006128C"/>
    <w:rsid w:val="000612B8"/>
    <w:rsid w:val="00061447"/>
    <w:rsid w:val="000616D7"/>
    <w:rsid w:val="00061882"/>
    <w:rsid w:val="00061BC7"/>
    <w:rsid w:val="00061F55"/>
    <w:rsid w:val="0006204C"/>
    <w:rsid w:val="000620AF"/>
    <w:rsid w:val="000621CF"/>
    <w:rsid w:val="000621D6"/>
    <w:rsid w:val="00062952"/>
    <w:rsid w:val="00062A17"/>
    <w:rsid w:val="00062AD3"/>
    <w:rsid w:val="00062CE8"/>
    <w:rsid w:val="00063244"/>
    <w:rsid w:val="0006384F"/>
    <w:rsid w:val="000638AC"/>
    <w:rsid w:val="00063950"/>
    <w:rsid w:val="00063CD8"/>
    <w:rsid w:val="00063E08"/>
    <w:rsid w:val="00063F3C"/>
    <w:rsid w:val="000642E1"/>
    <w:rsid w:val="000643D4"/>
    <w:rsid w:val="00064672"/>
    <w:rsid w:val="0006493A"/>
    <w:rsid w:val="00064E6B"/>
    <w:rsid w:val="00064F61"/>
    <w:rsid w:val="00065175"/>
    <w:rsid w:val="00065655"/>
    <w:rsid w:val="00065883"/>
    <w:rsid w:val="000659E2"/>
    <w:rsid w:val="00065E9B"/>
    <w:rsid w:val="000660FF"/>
    <w:rsid w:val="00066118"/>
    <w:rsid w:val="000669CA"/>
    <w:rsid w:val="00066C23"/>
    <w:rsid w:val="00066C89"/>
    <w:rsid w:val="00066CF0"/>
    <w:rsid w:val="0006715E"/>
    <w:rsid w:val="0006716F"/>
    <w:rsid w:val="000672F6"/>
    <w:rsid w:val="00067609"/>
    <w:rsid w:val="0006768E"/>
    <w:rsid w:val="000676EF"/>
    <w:rsid w:val="00067919"/>
    <w:rsid w:val="0006791E"/>
    <w:rsid w:val="0006799A"/>
    <w:rsid w:val="00067D50"/>
    <w:rsid w:val="00067FD6"/>
    <w:rsid w:val="000701CB"/>
    <w:rsid w:val="000703EB"/>
    <w:rsid w:val="00070420"/>
    <w:rsid w:val="0007061E"/>
    <w:rsid w:val="000708B1"/>
    <w:rsid w:val="0007094B"/>
    <w:rsid w:val="00070CBA"/>
    <w:rsid w:val="00070D46"/>
    <w:rsid w:val="000710CD"/>
    <w:rsid w:val="0007114F"/>
    <w:rsid w:val="000711AB"/>
    <w:rsid w:val="00071358"/>
    <w:rsid w:val="0007146D"/>
    <w:rsid w:val="000716DB"/>
    <w:rsid w:val="0007181E"/>
    <w:rsid w:val="00071971"/>
    <w:rsid w:val="00071BAB"/>
    <w:rsid w:val="00071C42"/>
    <w:rsid w:val="00071CC5"/>
    <w:rsid w:val="00071D2C"/>
    <w:rsid w:val="00072293"/>
    <w:rsid w:val="00072834"/>
    <w:rsid w:val="0007295A"/>
    <w:rsid w:val="00072DF2"/>
    <w:rsid w:val="00072FC8"/>
    <w:rsid w:val="00073704"/>
    <w:rsid w:val="00073940"/>
    <w:rsid w:val="00073A1B"/>
    <w:rsid w:val="00073A68"/>
    <w:rsid w:val="00073B54"/>
    <w:rsid w:val="00073BEA"/>
    <w:rsid w:val="00073D06"/>
    <w:rsid w:val="0007460D"/>
    <w:rsid w:val="000747B4"/>
    <w:rsid w:val="000748B4"/>
    <w:rsid w:val="00074E9C"/>
    <w:rsid w:val="00074EE7"/>
    <w:rsid w:val="00075095"/>
    <w:rsid w:val="0007509D"/>
    <w:rsid w:val="00075120"/>
    <w:rsid w:val="00075F15"/>
    <w:rsid w:val="00075F22"/>
    <w:rsid w:val="00075F5B"/>
    <w:rsid w:val="00076000"/>
    <w:rsid w:val="00076139"/>
    <w:rsid w:val="00076484"/>
    <w:rsid w:val="000767F4"/>
    <w:rsid w:val="0007687C"/>
    <w:rsid w:val="00076F1E"/>
    <w:rsid w:val="00076FC4"/>
    <w:rsid w:val="00077002"/>
    <w:rsid w:val="000771FA"/>
    <w:rsid w:val="000772E4"/>
    <w:rsid w:val="000774A4"/>
    <w:rsid w:val="0007758F"/>
    <w:rsid w:val="00077594"/>
    <w:rsid w:val="00077973"/>
    <w:rsid w:val="00077D74"/>
    <w:rsid w:val="00080027"/>
    <w:rsid w:val="0008067E"/>
    <w:rsid w:val="0008070E"/>
    <w:rsid w:val="00080771"/>
    <w:rsid w:val="00080CF6"/>
    <w:rsid w:val="00080EA7"/>
    <w:rsid w:val="00080F29"/>
    <w:rsid w:val="000811F9"/>
    <w:rsid w:val="00081362"/>
    <w:rsid w:val="0008137C"/>
    <w:rsid w:val="0008172A"/>
    <w:rsid w:val="000818E3"/>
    <w:rsid w:val="0008195D"/>
    <w:rsid w:val="0008196B"/>
    <w:rsid w:val="000822D7"/>
    <w:rsid w:val="0008246D"/>
    <w:rsid w:val="000825DE"/>
    <w:rsid w:val="000826FD"/>
    <w:rsid w:val="0008275E"/>
    <w:rsid w:val="000830B6"/>
    <w:rsid w:val="00083140"/>
    <w:rsid w:val="000832BD"/>
    <w:rsid w:val="00083436"/>
    <w:rsid w:val="00083AAC"/>
    <w:rsid w:val="00083B0D"/>
    <w:rsid w:val="00083D1F"/>
    <w:rsid w:val="00084102"/>
    <w:rsid w:val="00084340"/>
    <w:rsid w:val="0008451E"/>
    <w:rsid w:val="0008461E"/>
    <w:rsid w:val="00084DB5"/>
    <w:rsid w:val="00084F43"/>
    <w:rsid w:val="000851DD"/>
    <w:rsid w:val="0008524A"/>
    <w:rsid w:val="00085329"/>
    <w:rsid w:val="00085588"/>
    <w:rsid w:val="0008596B"/>
    <w:rsid w:val="00085BC4"/>
    <w:rsid w:val="00085CF2"/>
    <w:rsid w:val="00085D56"/>
    <w:rsid w:val="00085ECD"/>
    <w:rsid w:val="00086214"/>
    <w:rsid w:val="00086409"/>
    <w:rsid w:val="000864F4"/>
    <w:rsid w:val="000867DC"/>
    <w:rsid w:val="0008689A"/>
    <w:rsid w:val="00086C82"/>
    <w:rsid w:val="00086ECE"/>
    <w:rsid w:val="00086F21"/>
    <w:rsid w:val="000870B4"/>
    <w:rsid w:val="000870E6"/>
    <w:rsid w:val="0008714A"/>
    <w:rsid w:val="000872C4"/>
    <w:rsid w:val="00087318"/>
    <w:rsid w:val="000873A6"/>
    <w:rsid w:val="00087634"/>
    <w:rsid w:val="0008770B"/>
    <w:rsid w:val="000877A7"/>
    <w:rsid w:val="00087D12"/>
    <w:rsid w:val="000901F5"/>
    <w:rsid w:val="000902B8"/>
    <w:rsid w:val="0009075B"/>
    <w:rsid w:val="000907A5"/>
    <w:rsid w:val="000913C8"/>
    <w:rsid w:val="0009146F"/>
    <w:rsid w:val="00091A57"/>
    <w:rsid w:val="00091BE5"/>
    <w:rsid w:val="00091C87"/>
    <w:rsid w:val="00091C9B"/>
    <w:rsid w:val="00091CAD"/>
    <w:rsid w:val="00091DB4"/>
    <w:rsid w:val="00091E92"/>
    <w:rsid w:val="000920EB"/>
    <w:rsid w:val="00092606"/>
    <w:rsid w:val="000926FF"/>
    <w:rsid w:val="000929B4"/>
    <w:rsid w:val="00092B90"/>
    <w:rsid w:val="00092D79"/>
    <w:rsid w:val="00092F9A"/>
    <w:rsid w:val="000931CB"/>
    <w:rsid w:val="000931F2"/>
    <w:rsid w:val="00093308"/>
    <w:rsid w:val="0009330F"/>
    <w:rsid w:val="00093556"/>
    <w:rsid w:val="0009374D"/>
    <w:rsid w:val="000939C3"/>
    <w:rsid w:val="000939D3"/>
    <w:rsid w:val="00093E31"/>
    <w:rsid w:val="00093F1E"/>
    <w:rsid w:val="0009402D"/>
    <w:rsid w:val="00094130"/>
    <w:rsid w:val="000947D9"/>
    <w:rsid w:val="000953A8"/>
    <w:rsid w:val="00095632"/>
    <w:rsid w:val="00095A08"/>
    <w:rsid w:val="00095B53"/>
    <w:rsid w:val="00095D09"/>
    <w:rsid w:val="00095DBB"/>
    <w:rsid w:val="000963AA"/>
    <w:rsid w:val="000963E7"/>
    <w:rsid w:val="0009643E"/>
    <w:rsid w:val="0009663D"/>
    <w:rsid w:val="00096753"/>
    <w:rsid w:val="00096986"/>
    <w:rsid w:val="00096DBF"/>
    <w:rsid w:val="000974A3"/>
    <w:rsid w:val="000976E1"/>
    <w:rsid w:val="000977D5"/>
    <w:rsid w:val="000978B6"/>
    <w:rsid w:val="00097939"/>
    <w:rsid w:val="000979AF"/>
    <w:rsid w:val="000A00E7"/>
    <w:rsid w:val="000A0519"/>
    <w:rsid w:val="000A05CC"/>
    <w:rsid w:val="000A06E5"/>
    <w:rsid w:val="000A0719"/>
    <w:rsid w:val="000A0730"/>
    <w:rsid w:val="000A08C4"/>
    <w:rsid w:val="000A121A"/>
    <w:rsid w:val="000A141F"/>
    <w:rsid w:val="000A14E6"/>
    <w:rsid w:val="000A15E8"/>
    <w:rsid w:val="000A1648"/>
    <w:rsid w:val="000A1817"/>
    <w:rsid w:val="000A18E6"/>
    <w:rsid w:val="000A1ABC"/>
    <w:rsid w:val="000A1B0C"/>
    <w:rsid w:val="000A2335"/>
    <w:rsid w:val="000A2401"/>
    <w:rsid w:val="000A2502"/>
    <w:rsid w:val="000A2722"/>
    <w:rsid w:val="000A279E"/>
    <w:rsid w:val="000A2D8C"/>
    <w:rsid w:val="000A2EDD"/>
    <w:rsid w:val="000A3100"/>
    <w:rsid w:val="000A3161"/>
    <w:rsid w:val="000A3267"/>
    <w:rsid w:val="000A3534"/>
    <w:rsid w:val="000A35B3"/>
    <w:rsid w:val="000A3768"/>
    <w:rsid w:val="000A37C8"/>
    <w:rsid w:val="000A398B"/>
    <w:rsid w:val="000A3C96"/>
    <w:rsid w:val="000A407D"/>
    <w:rsid w:val="000A46E1"/>
    <w:rsid w:val="000A46F0"/>
    <w:rsid w:val="000A4A3A"/>
    <w:rsid w:val="000A4C10"/>
    <w:rsid w:val="000A4E49"/>
    <w:rsid w:val="000A4EAB"/>
    <w:rsid w:val="000A4FC4"/>
    <w:rsid w:val="000A537A"/>
    <w:rsid w:val="000A5553"/>
    <w:rsid w:val="000A5785"/>
    <w:rsid w:val="000A5821"/>
    <w:rsid w:val="000A5A0B"/>
    <w:rsid w:val="000A5BA2"/>
    <w:rsid w:val="000A5D8F"/>
    <w:rsid w:val="000A607F"/>
    <w:rsid w:val="000A6590"/>
    <w:rsid w:val="000A6799"/>
    <w:rsid w:val="000A6A12"/>
    <w:rsid w:val="000A6B2C"/>
    <w:rsid w:val="000A6C25"/>
    <w:rsid w:val="000A6C81"/>
    <w:rsid w:val="000A6DB1"/>
    <w:rsid w:val="000A6FA6"/>
    <w:rsid w:val="000A70BF"/>
    <w:rsid w:val="000A7240"/>
    <w:rsid w:val="000A753F"/>
    <w:rsid w:val="000A7B42"/>
    <w:rsid w:val="000A7DD2"/>
    <w:rsid w:val="000A7E12"/>
    <w:rsid w:val="000B0124"/>
    <w:rsid w:val="000B01E5"/>
    <w:rsid w:val="000B03D3"/>
    <w:rsid w:val="000B0557"/>
    <w:rsid w:val="000B0DC1"/>
    <w:rsid w:val="000B0E36"/>
    <w:rsid w:val="000B0FAA"/>
    <w:rsid w:val="000B1525"/>
    <w:rsid w:val="000B1B90"/>
    <w:rsid w:val="000B1F21"/>
    <w:rsid w:val="000B206D"/>
    <w:rsid w:val="000B21F1"/>
    <w:rsid w:val="000B24CE"/>
    <w:rsid w:val="000B2574"/>
    <w:rsid w:val="000B26E8"/>
    <w:rsid w:val="000B2954"/>
    <w:rsid w:val="000B2ED3"/>
    <w:rsid w:val="000B3597"/>
    <w:rsid w:val="000B38DF"/>
    <w:rsid w:val="000B38F5"/>
    <w:rsid w:val="000B3B3A"/>
    <w:rsid w:val="000B3BA1"/>
    <w:rsid w:val="000B3CAE"/>
    <w:rsid w:val="000B3D9E"/>
    <w:rsid w:val="000B414A"/>
    <w:rsid w:val="000B44C4"/>
    <w:rsid w:val="000B44D5"/>
    <w:rsid w:val="000B4517"/>
    <w:rsid w:val="000B49C5"/>
    <w:rsid w:val="000B4D2D"/>
    <w:rsid w:val="000B4D83"/>
    <w:rsid w:val="000B5222"/>
    <w:rsid w:val="000B5228"/>
    <w:rsid w:val="000B5578"/>
    <w:rsid w:val="000B57AA"/>
    <w:rsid w:val="000B5C19"/>
    <w:rsid w:val="000B608E"/>
    <w:rsid w:val="000B60AB"/>
    <w:rsid w:val="000B60DE"/>
    <w:rsid w:val="000B62F4"/>
    <w:rsid w:val="000B6543"/>
    <w:rsid w:val="000B6774"/>
    <w:rsid w:val="000B6876"/>
    <w:rsid w:val="000B6BB8"/>
    <w:rsid w:val="000B6BE2"/>
    <w:rsid w:val="000B6C2E"/>
    <w:rsid w:val="000B7083"/>
    <w:rsid w:val="000B717C"/>
    <w:rsid w:val="000B71F9"/>
    <w:rsid w:val="000B7275"/>
    <w:rsid w:val="000B744C"/>
    <w:rsid w:val="000B76A3"/>
    <w:rsid w:val="000B77DF"/>
    <w:rsid w:val="000B7A28"/>
    <w:rsid w:val="000B7AAD"/>
    <w:rsid w:val="000C025F"/>
    <w:rsid w:val="000C05E7"/>
    <w:rsid w:val="000C0985"/>
    <w:rsid w:val="000C0A16"/>
    <w:rsid w:val="000C0EFE"/>
    <w:rsid w:val="000C10E3"/>
    <w:rsid w:val="000C1813"/>
    <w:rsid w:val="000C1972"/>
    <w:rsid w:val="000C1DE4"/>
    <w:rsid w:val="000C1F66"/>
    <w:rsid w:val="000C2449"/>
    <w:rsid w:val="000C2453"/>
    <w:rsid w:val="000C26CB"/>
    <w:rsid w:val="000C2A46"/>
    <w:rsid w:val="000C2D6E"/>
    <w:rsid w:val="000C2DA3"/>
    <w:rsid w:val="000C2DA7"/>
    <w:rsid w:val="000C2DD6"/>
    <w:rsid w:val="000C31B3"/>
    <w:rsid w:val="000C340C"/>
    <w:rsid w:val="000C3452"/>
    <w:rsid w:val="000C3560"/>
    <w:rsid w:val="000C382E"/>
    <w:rsid w:val="000C3859"/>
    <w:rsid w:val="000C3864"/>
    <w:rsid w:val="000C388A"/>
    <w:rsid w:val="000C3A62"/>
    <w:rsid w:val="000C4043"/>
    <w:rsid w:val="000C40B2"/>
    <w:rsid w:val="000C4531"/>
    <w:rsid w:val="000C46B1"/>
    <w:rsid w:val="000C476A"/>
    <w:rsid w:val="000C4BE7"/>
    <w:rsid w:val="000C4C8A"/>
    <w:rsid w:val="000C4DAC"/>
    <w:rsid w:val="000C4E8A"/>
    <w:rsid w:val="000C5068"/>
    <w:rsid w:val="000C50FC"/>
    <w:rsid w:val="000C53CA"/>
    <w:rsid w:val="000C5873"/>
    <w:rsid w:val="000C5D02"/>
    <w:rsid w:val="000C5D60"/>
    <w:rsid w:val="000C5E8F"/>
    <w:rsid w:val="000C5F1B"/>
    <w:rsid w:val="000C6073"/>
    <w:rsid w:val="000C621C"/>
    <w:rsid w:val="000C62A8"/>
    <w:rsid w:val="000C6487"/>
    <w:rsid w:val="000C663E"/>
    <w:rsid w:val="000C66E9"/>
    <w:rsid w:val="000C6984"/>
    <w:rsid w:val="000C69C4"/>
    <w:rsid w:val="000C69CB"/>
    <w:rsid w:val="000C6B9E"/>
    <w:rsid w:val="000C6C37"/>
    <w:rsid w:val="000C6DF1"/>
    <w:rsid w:val="000C7025"/>
    <w:rsid w:val="000C708C"/>
    <w:rsid w:val="000C7116"/>
    <w:rsid w:val="000C72E4"/>
    <w:rsid w:val="000C759A"/>
    <w:rsid w:val="000C77B1"/>
    <w:rsid w:val="000D0097"/>
    <w:rsid w:val="000D0540"/>
    <w:rsid w:val="000D0798"/>
    <w:rsid w:val="000D081D"/>
    <w:rsid w:val="000D0900"/>
    <w:rsid w:val="000D0936"/>
    <w:rsid w:val="000D0CF5"/>
    <w:rsid w:val="000D0FA3"/>
    <w:rsid w:val="000D1155"/>
    <w:rsid w:val="000D1323"/>
    <w:rsid w:val="000D141A"/>
    <w:rsid w:val="000D164A"/>
    <w:rsid w:val="000D1685"/>
    <w:rsid w:val="000D1931"/>
    <w:rsid w:val="000D1C34"/>
    <w:rsid w:val="000D1C95"/>
    <w:rsid w:val="000D22A0"/>
    <w:rsid w:val="000D239D"/>
    <w:rsid w:val="000D2587"/>
    <w:rsid w:val="000D2752"/>
    <w:rsid w:val="000D2B64"/>
    <w:rsid w:val="000D2C33"/>
    <w:rsid w:val="000D2DC6"/>
    <w:rsid w:val="000D2E5D"/>
    <w:rsid w:val="000D36C5"/>
    <w:rsid w:val="000D3ADD"/>
    <w:rsid w:val="000D3C36"/>
    <w:rsid w:val="000D3C7F"/>
    <w:rsid w:val="000D4094"/>
    <w:rsid w:val="000D41F1"/>
    <w:rsid w:val="000D46E6"/>
    <w:rsid w:val="000D4756"/>
    <w:rsid w:val="000D480B"/>
    <w:rsid w:val="000D4FEF"/>
    <w:rsid w:val="000D50C3"/>
    <w:rsid w:val="000D5295"/>
    <w:rsid w:val="000D5383"/>
    <w:rsid w:val="000D5BB6"/>
    <w:rsid w:val="000D5CD7"/>
    <w:rsid w:val="000D5D04"/>
    <w:rsid w:val="000D648B"/>
    <w:rsid w:val="000D6558"/>
    <w:rsid w:val="000D6690"/>
    <w:rsid w:val="000D67DC"/>
    <w:rsid w:val="000D69B6"/>
    <w:rsid w:val="000D6B78"/>
    <w:rsid w:val="000D6E0E"/>
    <w:rsid w:val="000D6F8D"/>
    <w:rsid w:val="000D701E"/>
    <w:rsid w:val="000D7303"/>
    <w:rsid w:val="000D74DC"/>
    <w:rsid w:val="000D75BE"/>
    <w:rsid w:val="000D7611"/>
    <w:rsid w:val="000D7A71"/>
    <w:rsid w:val="000D7FB1"/>
    <w:rsid w:val="000E02F0"/>
    <w:rsid w:val="000E0480"/>
    <w:rsid w:val="000E04F7"/>
    <w:rsid w:val="000E07A1"/>
    <w:rsid w:val="000E099D"/>
    <w:rsid w:val="000E09B6"/>
    <w:rsid w:val="000E09C6"/>
    <w:rsid w:val="000E09FE"/>
    <w:rsid w:val="000E0ED9"/>
    <w:rsid w:val="000E0F72"/>
    <w:rsid w:val="000E1317"/>
    <w:rsid w:val="000E1993"/>
    <w:rsid w:val="000E19D9"/>
    <w:rsid w:val="000E1C20"/>
    <w:rsid w:val="000E1C8E"/>
    <w:rsid w:val="000E1CE0"/>
    <w:rsid w:val="000E1E7D"/>
    <w:rsid w:val="000E1F53"/>
    <w:rsid w:val="000E24B5"/>
    <w:rsid w:val="000E2D95"/>
    <w:rsid w:val="000E2DEF"/>
    <w:rsid w:val="000E3059"/>
    <w:rsid w:val="000E31DF"/>
    <w:rsid w:val="000E3316"/>
    <w:rsid w:val="000E33B1"/>
    <w:rsid w:val="000E33B6"/>
    <w:rsid w:val="000E3590"/>
    <w:rsid w:val="000E378F"/>
    <w:rsid w:val="000E39D6"/>
    <w:rsid w:val="000E3B86"/>
    <w:rsid w:val="000E3D90"/>
    <w:rsid w:val="000E3FA2"/>
    <w:rsid w:val="000E3FA3"/>
    <w:rsid w:val="000E44D3"/>
    <w:rsid w:val="000E4669"/>
    <w:rsid w:val="000E4ACD"/>
    <w:rsid w:val="000E4ADC"/>
    <w:rsid w:val="000E51AE"/>
    <w:rsid w:val="000E553C"/>
    <w:rsid w:val="000E5548"/>
    <w:rsid w:val="000E5870"/>
    <w:rsid w:val="000E5C19"/>
    <w:rsid w:val="000E5C8C"/>
    <w:rsid w:val="000E5F1F"/>
    <w:rsid w:val="000E62C6"/>
    <w:rsid w:val="000E62CA"/>
    <w:rsid w:val="000E63FB"/>
    <w:rsid w:val="000E645F"/>
    <w:rsid w:val="000E663C"/>
    <w:rsid w:val="000E6947"/>
    <w:rsid w:val="000E6986"/>
    <w:rsid w:val="000E6A3A"/>
    <w:rsid w:val="000E6B66"/>
    <w:rsid w:val="000E6BDA"/>
    <w:rsid w:val="000E7131"/>
    <w:rsid w:val="000E716D"/>
    <w:rsid w:val="000E728B"/>
    <w:rsid w:val="000E73D9"/>
    <w:rsid w:val="000E744D"/>
    <w:rsid w:val="000E751E"/>
    <w:rsid w:val="000E7768"/>
    <w:rsid w:val="000E7770"/>
    <w:rsid w:val="000E7779"/>
    <w:rsid w:val="000E7C8A"/>
    <w:rsid w:val="000E7F5B"/>
    <w:rsid w:val="000F0100"/>
    <w:rsid w:val="000F0A17"/>
    <w:rsid w:val="000F0C4E"/>
    <w:rsid w:val="000F0DD5"/>
    <w:rsid w:val="000F12ED"/>
    <w:rsid w:val="000F1754"/>
    <w:rsid w:val="000F1A04"/>
    <w:rsid w:val="000F1A73"/>
    <w:rsid w:val="000F1B2A"/>
    <w:rsid w:val="000F1D13"/>
    <w:rsid w:val="000F2236"/>
    <w:rsid w:val="000F224C"/>
    <w:rsid w:val="000F2BD0"/>
    <w:rsid w:val="000F2BDB"/>
    <w:rsid w:val="000F2CAB"/>
    <w:rsid w:val="000F2CBB"/>
    <w:rsid w:val="000F2CFD"/>
    <w:rsid w:val="000F2EB0"/>
    <w:rsid w:val="000F2EE6"/>
    <w:rsid w:val="000F2F2D"/>
    <w:rsid w:val="000F2FE8"/>
    <w:rsid w:val="000F31E2"/>
    <w:rsid w:val="000F395D"/>
    <w:rsid w:val="000F399A"/>
    <w:rsid w:val="000F3B08"/>
    <w:rsid w:val="000F3B94"/>
    <w:rsid w:val="000F3C06"/>
    <w:rsid w:val="000F3FFC"/>
    <w:rsid w:val="000F4036"/>
    <w:rsid w:val="000F4550"/>
    <w:rsid w:val="000F458F"/>
    <w:rsid w:val="000F45A6"/>
    <w:rsid w:val="000F47E8"/>
    <w:rsid w:val="000F48E5"/>
    <w:rsid w:val="000F4FAD"/>
    <w:rsid w:val="000F5113"/>
    <w:rsid w:val="000F52C8"/>
    <w:rsid w:val="000F52E9"/>
    <w:rsid w:val="000F580A"/>
    <w:rsid w:val="000F5A2F"/>
    <w:rsid w:val="000F5C88"/>
    <w:rsid w:val="000F60C9"/>
    <w:rsid w:val="000F617F"/>
    <w:rsid w:val="000F61A9"/>
    <w:rsid w:val="000F66CD"/>
    <w:rsid w:val="000F6A07"/>
    <w:rsid w:val="000F6AE9"/>
    <w:rsid w:val="000F6BE0"/>
    <w:rsid w:val="000F6C47"/>
    <w:rsid w:val="000F6E19"/>
    <w:rsid w:val="000F6E80"/>
    <w:rsid w:val="000F6FB7"/>
    <w:rsid w:val="000F6FFA"/>
    <w:rsid w:val="000F715A"/>
    <w:rsid w:val="000F7218"/>
    <w:rsid w:val="000F72C8"/>
    <w:rsid w:val="000F749B"/>
    <w:rsid w:val="000F7552"/>
    <w:rsid w:val="000F75B2"/>
    <w:rsid w:val="000F7675"/>
    <w:rsid w:val="000F7685"/>
    <w:rsid w:val="000F799F"/>
    <w:rsid w:val="000F7B81"/>
    <w:rsid w:val="000F7B83"/>
    <w:rsid w:val="00100209"/>
    <w:rsid w:val="0010065E"/>
    <w:rsid w:val="00100873"/>
    <w:rsid w:val="001009E6"/>
    <w:rsid w:val="00100A61"/>
    <w:rsid w:val="00100A88"/>
    <w:rsid w:val="00100BF2"/>
    <w:rsid w:val="00100C11"/>
    <w:rsid w:val="00100CD4"/>
    <w:rsid w:val="00100E3D"/>
    <w:rsid w:val="00100E4A"/>
    <w:rsid w:val="00100ED5"/>
    <w:rsid w:val="00100F06"/>
    <w:rsid w:val="00100F1E"/>
    <w:rsid w:val="00100F4F"/>
    <w:rsid w:val="00100FBB"/>
    <w:rsid w:val="00101027"/>
    <w:rsid w:val="00101200"/>
    <w:rsid w:val="00101243"/>
    <w:rsid w:val="0010178A"/>
    <w:rsid w:val="001019B9"/>
    <w:rsid w:val="001019EC"/>
    <w:rsid w:val="00101CB6"/>
    <w:rsid w:val="001020B3"/>
    <w:rsid w:val="00102197"/>
    <w:rsid w:val="001022BA"/>
    <w:rsid w:val="001022DC"/>
    <w:rsid w:val="00102364"/>
    <w:rsid w:val="001027CC"/>
    <w:rsid w:val="00102AEA"/>
    <w:rsid w:val="00102DAA"/>
    <w:rsid w:val="00102F87"/>
    <w:rsid w:val="001030DC"/>
    <w:rsid w:val="00103460"/>
    <w:rsid w:val="0010357F"/>
    <w:rsid w:val="00103597"/>
    <w:rsid w:val="00103DB0"/>
    <w:rsid w:val="00103FFB"/>
    <w:rsid w:val="00104B04"/>
    <w:rsid w:val="00104E24"/>
    <w:rsid w:val="001051BF"/>
    <w:rsid w:val="00105765"/>
    <w:rsid w:val="001057F8"/>
    <w:rsid w:val="001058FE"/>
    <w:rsid w:val="00105986"/>
    <w:rsid w:val="00105E96"/>
    <w:rsid w:val="001061DB"/>
    <w:rsid w:val="001061EF"/>
    <w:rsid w:val="001064E9"/>
    <w:rsid w:val="00106593"/>
    <w:rsid w:val="00106775"/>
    <w:rsid w:val="0010680A"/>
    <w:rsid w:val="00106EF6"/>
    <w:rsid w:val="001072C1"/>
    <w:rsid w:val="001072E7"/>
    <w:rsid w:val="001075A8"/>
    <w:rsid w:val="001077C0"/>
    <w:rsid w:val="00107A57"/>
    <w:rsid w:val="00107EFB"/>
    <w:rsid w:val="00110392"/>
    <w:rsid w:val="001103EC"/>
    <w:rsid w:val="00110768"/>
    <w:rsid w:val="00110A0B"/>
    <w:rsid w:val="00110A65"/>
    <w:rsid w:val="00110E53"/>
    <w:rsid w:val="0011111F"/>
    <w:rsid w:val="00111160"/>
    <w:rsid w:val="001113BC"/>
    <w:rsid w:val="00111698"/>
    <w:rsid w:val="00111704"/>
    <w:rsid w:val="00111A3D"/>
    <w:rsid w:val="00111B07"/>
    <w:rsid w:val="00111BF7"/>
    <w:rsid w:val="00111F4B"/>
    <w:rsid w:val="0011240E"/>
    <w:rsid w:val="001124F8"/>
    <w:rsid w:val="00112841"/>
    <w:rsid w:val="001129F9"/>
    <w:rsid w:val="00112A4A"/>
    <w:rsid w:val="00112DA5"/>
    <w:rsid w:val="00112E53"/>
    <w:rsid w:val="001130D4"/>
    <w:rsid w:val="00113177"/>
    <w:rsid w:val="001132AF"/>
    <w:rsid w:val="00113585"/>
    <w:rsid w:val="001136EA"/>
    <w:rsid w:val="001136FE"/>
    <w:rsid w:val="00113C56"/>
    <w:rsid w:val="00113E5D"/>
    <w:rsid w:val="00113F49"/>
    <w:rsid w:val="0011454E"/>
    <w:rsid w:val="00114E55"/>
    <w:rsid w:val="001153B2"/>
    <w:rsid w:val="00115842"/>
    <w:rsid w:val="00115994"/>
    <w:rsid w:val="001159DE"/>
    <w:rsid w:val="00115B33"/>
    <w:rsid w:val="00115B8E"/>
    <w:rsid w:val="001160E8"/>
    <w:rsid w:val="001165AD"/>
    <w:rsid w:val="0011669B"/>
    <w:rsid w:val="00116BD3"/>
    <w:rsid w:val="00116C4E"/>
    <w:rsid w:val="00116E87"/>
    <w:rsid w:val="001172F5"/>
    <w:rsid w:val="0011751D"/>
    <w:rsid w:val="00117EF7"/>
    <w:rsid w:val="00120247"/>
    <w:rsid w:val="00120402"/>
    <w:rsid w:val="00120579"/>
    <w:rsid w:val="00120B86"/>
    <w:rsid w:val="00121157"/>
    <w:rsid w:val="00121174"/>
    <w:rsid w:val="001212C5"/>
    <w:rsid w:val="00121571"/>
    <w:rsid w:val="00121833"/>
    <w:rsid w:val="00121A71"/>
    <w:rsid w:val="00121B34"/>
    <w:rsid w:val="00121C31"/>
    <w:rsid w:val="001225F6"/>
    <w:rsid w:val="00122E44"/>
    <w:rsid w:val="00122E4D"/>
    <w:rsid w:val="00122F3C"/>
    <w:rsid w:val="001230B2"/>
    <w:rsid w:val="00123669"/>
    <w:rsid w:val="001236D7"/>
    <w:rsid w:val="00123C51"/>
    <w:rsid w:val="00123CC3"/>
    <w:rsid w:val="00123EF0"/>
    <w:rsid w:val="0012452A"/>
    <w:rsid w:val="00124733"/>
    <w:rsid w:val="00124748"/>
    <w:rsid w:val="00124962"/>
    <w:rsid w:val="00124C6C"/>
    <w:rsid w:val="00124F00"/>
    <w:rsid w:val="0012560C"/>
    <w:rsid w:val="00125B7D"/>
    <w:rsid w:val="001266F8"/>
    <w:rsid w:val="0012694A"/>
    <w:rsid w:val="00126FF3"/>
    <w:rsid w:val="001270D7"/>
    <w:rsid w:val="0012718A"/>
    <w:rsid w:val="001278D5"/>
    <w:rsid w:val="00127B36"/>
    <w:rsid w:val="00130222"/>
    <w:rsid w:val="00130357"/>
    <w:rsid w:val="001304EE"/>
    <w:rsid w:val="0013058E"/>
    <w:rsid w:val="001306C2"/>
    <w:rsid w:val="0013087E"/>
    <w:rsid w:val="001308C5"/>
    <w:rsid w:val="001308FC"/>
    <w:rsid w:val="00130960"/>
    <w:rsid w:val="00130974"/>
    <w:rsid w:val="00130989"/>
    <w:rsid w:val="00130B95"/>
    <w:rsid w:val="00130B97"/>
    <w:rsid w:val="00130CDD"/>
    <w:rsid w:val="00130D1D"/>
    <w:rsid w:val="00130D3A"/>
    <w:rsid w:val="00130DC3"/>
    <w:rsid w:val="00130E7B"/>
    <w:rsid w:val="00130FB7"/>
    <w:rsid w:val="0013145A"/>
    <w:rsid w:val="001318CB"/>
    <w:rsid w:val="00131A84"/>
    <w:rsid w:val="00131B1C"/>
    <w:rsid w:val="00131BEF"/>
    <w:rsid w:val="00131C62"/>
    <w:rsid w:val="0013208A"/>
    <w:rsid w:val="001323A5"/>
    <w:rsid w:val="001327DC"/>
    <w:rsid w:val="00132BB1"/>
    <w:rsid w:val="00132BC0"/>
    <w:rsid w:val="00132DFD"/>
    <w:rsid w:val="00132EF2"/>
    <w:rsid w:val="0013326E"/>
    <w:rsid w:val="00133490"/>
    <w:rsid w:val="00133AF1"/>
    <w:rsid w:val="00133BBA"/>
    <w:rsid w:val="00133C77"/>
    <w:rsid w:val="00133D10"/>
    <w:rsid w:val="00133D19"/>
    <w:rsid w:val="00133F50"/>
    <w:rsid w:val="001340CB"/>
    <w:rsid w:val="0013414A"/>
    <w:rsid w:val="001344E1"/>
    <w:rsid w:val="001345DE"/>
    <w:rsid w:val="0013479E"/>
    <w:rsid w:val="001347F7"/>
    <w:rsid w:val="001348F6"/>
    <w:rsid w:val="00134A1D"/>
    <w:rsid w:val="00135096"/>
    <w:rsid w:val="00135695"/>
    <w:rsid w:val="001357E7"/>
    <w:rsid w:val="0013588A"/>
    <w:rsid w:val="0013593C"/>
    <w:rsid w:val="00135B36"/>
    <w:rsid w:val="00135C69"/>
    <w:rsid w:val="00135DC4"/>
    <w:rsid w:val="00135F36"/>
    <w:rsid w:val="00136151"/>
    <w:rsid w:val="0013654F"/>
    <w:rsid w:val="001366DC"/>
    <w:rsid w:val="00136726"/>
    <w:rsid w:val="00136AD3"/>
    <w:rsid w:val="00136C41"/>
    <w:rsid w:val="00136DF8"/>
    <w:rsid w:val="00136E01"/>
    <w:rsid w:val="00136EC3"/>
    <w:rsid w:val="0013708E"/>
    <w:rsid w:val="00137899"/>
    <w:rsid w:val="001379F3"/>
    <w:rsid w:val="00137A14"/>
    <w:rsid w:val="00137A60"/>
    <w:rsid w:val="00137ADC"/>
    <w:rsid w:val="00137BE6"/>
    <w:rsid w:val="00137D6A"/>
    <w:rsid w:val="00137DBE"/>
    <w:rsid w:val="00137F83"/>
    <w:rsid w:val="0014010C"/>
    <w:rsid w:val="001402AD"/>
    <w:rsid w:val="00140398"/>
    <w:rsid w:val="001408A2"/>
    <w:rsid w:val="00140C59"/>
    <w:rsid w:val="00140D20"/>
    <w:rsid w:val="00140E74"/>
    <w:rsid w:val="00140FC9"/>
    <w:rsid w:val="001412A5"/>
    <w:rsid w:val="0014166A"/>
    <w:rsid w:val="00141A6E"/>
    <w:rsid w:val="00141AF3"/>
    <w:rsid w:val="00141CA5"/>
    <w:rsid w:val="001426CA"/>
    <w:rsid w:val="00142762"/>
    <w:rsid w:val="00142927"/>
    <w:rsid w:val="00143115"/>
    <w:rsid w:val="0014380E"/>
    <w:rsid w:val="00143B81"/>
    <w:rsid w:val="00143CA1"/>
    <w:rsid w:val="00143CB9"/>
    <w:rsid w:val="00143D66"/>
    <w:rsid w:val="0014427F"/>
    <w:rsid w:val="001444FC"/>
    <w:rsid w:val="001445F3"/>
    <w:rsid w:val="001446F9"/>
    <w:rsid w:val="00144779"/>
    <w:rsid w:val="0014482A"/>
    <w:rsid w:val="00144920"/>
    <w:rsid w:val="00144989"/>
    <w:rsid w:val="001449C2"/>
    <w:rsid w:val="00144AC2"/>
    <w:rsid w:val="00144B7F"/>
    <w:rsid w:val="00144C28"/>
    <w:rsid w:val="00144F5E"/>
    <w:rsid w:val="00144FDE"/>
    <w:rsid w:val="001452E6"/>
    <w:rsid w:val="001453B3"/>
    <w:rsid w:val="001454BD"/>
    <w:rsid w:val="00145560"/>
    <w:rsid w:val="0014564C"/>
    <w:rsid w:val="00145E5F"/>
    <w:rsid w:val="001466D9"/>
    <w:rsid w:val="001466F2"/>
    <w:rsid w:val="00146DEE"/>
    <w:rsid w:val="00146E68"/>
    <w:rsid w:val="00146EB1"/>
    <w:rsid w:val="00146ECE"/>
    <w:rsid w:val="00146EE1"/>
    <w:rsid w:val="001472E6"/>
    <w:rsid w:val="00147440"/>
    <w:rsid w:val="001476B5"/>
    <w:rsid w:val="001476C3"/>
    <w:rsid w:val="0014783E"/>
    <w:rsid w:val="00147861"/>
    <w:rsid w:val="001479F9"/>
    <w:rsid w:val="00147CE6"/>
    <w:rsid w:val="00147D2F"/>
    <w:rsid w:val="001500F2"/>
    <w:rsid w:val="001500F4"/>
    <w:rsid w:val="00150409"/>
    <w:rsid w:val="00150ED5"/>
    <w:rsid w:val="00150FA4"/>
    <w:rsid w:val="0015148C"/>
    <w:rsid w:val="00151527"/>
    <w:rsid w:val="00151E4D"/>
    <w:rsid w:val="00151E89"/>
    <w:rsid w:val="001520F8"/>
    <w:rsid w:val="001522F5"/>
    <w:rsid w:val="0015249D"/>
    <w:rsid w:val="00152510"/>
    <w:rsid w:val="00152645"/>
    <w:rsid w:val="0015274A"/>
    <w:rsid w:val="00152DC3"/>
    <w:rsid w:val="00153A0F"/>
    <w:rsid w:val="00153B1B"/>
    <w:rsid w:val="00153EEE"/>
    <w:rsid w:val="001541AF"/>
    <w:rsid w:val="00154377"/>
    <w:rsid w:val="001548E9"/>
    <w:rsid w:val="001549CD"/>
    <w:rsid w:val="00154A05"/>
    <w:rsid w:val="00154BA0"/>
    <w:rsid w:val="00154C71"/>
    <w:rsid w:val="00154CBB"/>
    <w:rsid w:val="00154EB8"/>
    <w:rsid w:val="00154EF3"/>
    <w:rsid w:val="00154F78"/>
    <w:rsid w:val="00154FA3"/>
    <w:rsid w:val="0015509B"/>
    <w:rsid w:val="00155195"/>
    <w:rsid w:val="001558EF"/>
    <w:rsid w:val="001559F5"/>
    <w:rsid w:val="00155A12"/>
    <w:rsid w:val="00155C90"/>
    <w:rsid w:val="00155D15"/>
    <w:rsid w:val="00155E7E"/>
    <w:rsid w:val="00155EC3"/>
    <w:rsid w:val="00155FC0"/>
    <w:rsid w:val="0015680F"/>
    <w:rsid w:val="00156E0E"/>
    <w:rsid w:val="00156E89"/>
    <w:rsid w:val="00156F25"/>
    <w:rsid w:val="00156FE3"/>
    <w:rsid w:val="00157059"/>
    <w:rsid w:val="0015718B"/>
    <w:rsid w:val="001571E5"/>
    <w:rsid w:val="001576FC"/>
    <w:rsid w:val="00157B15"/>
    <w:rsid w:val="00157E72"/>
    <w:rsid w:val="00157E7B"/>
    <w:rsid w:val="001601D8"/>
    <w:rsid w:val="00160339"/>
    <w:rsid w:val="00160532"/>
    <w:rsid w:val="0016065A"/>
    <w:rsid w:val="00160751"/>
    <w:rsid w:val="001612F3"/>
    <w:rsid w:val="00161427"/>
    <w:rsid w:val="00161776"/>
    <w:rsid w:val="00161C70"/>
    <w:rsid w:val="001620D4"/>
    <w:rsid w:val="00162172"/>
    <w:rsid w:val="00162824"/>
    <w:rsid w:val="00162B5D"/>
    <w:rsid w:val="00162C73"/>
    <w:rsid w:val="00162E2F"/>
    <w:rsid w:val="00163061"/>
    <w:rsid w:val="00163128"/>
    <w:rsid w:val="001636C3"/>
    <w:rsid w:val="0016382B"/>
    <w:rsid w:val="00163BC9"/>
    <w:rsid w:val="00163C4B"/>
    <w:rsid w:val="00163FC3"/>
    <w:rsid w:val="001640D9"/>
    <w:rsid w:val="001645E4"/>
    <w:rsid w:val="001649AB"/>
    <w:rsid w:val="001649BE"/>
    <w:rsid w:val="00164A67"/>
    <w:rsid w:val="00164C65"/>
    <w:rsid w:val="00164CC8"/>
    <w:rsid w:val="00164CD5"/>
    <w:rsid w:val="00164DA4"/>
    <w:rsid w:val="0016506E"/>
    <w:rsid w:val="0016596C"/>
    <w:rsid w:val="001659F7"/>
    <w:rsid w:val="00165AAA"/>
    <w:rsid w:val="0016611E"/>
    <w:rsid w:val="00166130"/>
    <w:rsid w:val="001662DA"/>
    <w:rsid w:val="00166606"/>
    <w:rsid w:val="00166C6C"/>
    <w:rsid w:val="00166FB9"/>
    <w:rsid w:val="001671CA"/>
    <w:rsid w:val="001673AB"/>
    <w:rsid w:val="001673AE"/>
    <w:rsid w:val="0016792A"/>
    <w:rsid w:val="001679F0"/>
    <w:rsid w:val="00167A37"/>
    <w:rsid w:val="00167FAE"/>
    <w:rsid w:val="001706C2"/>
    <w:rsid w:val="0017071E"/>
    <w:rsid w:val="00170955"/>
    <w:rsid w:val="00170B2F"/>
    <w:rsid w:val="00170D07"/>
    <w:rsid w:val="00170EFD"/>
    <w:rsid w:val="00170FA5"/>
    <w:rsid w:val="001711EF"/>
    <w:rsid w:val="00171281"/>
    <w:rsid w:val="001713D1"/>
    <w:rsid w:val="001715B5"/>
    <w:rsid w:val="0017173F"/>
    <w:rsid w:val="00171777"/>
    <w:rsid w:val="001717F3"/>
    <w:rsid w:val="00171BB3"/>
    <w:rsid w:val="00171C21"/>
    <w:rsid w:val="00171E19"/>
    <w:rsid w:val="001724ED"/>
    <w:rsid w:val="00172595"/>
    <w:rsid w:val="001727C1"/>
    <w:rsid w:val="00172844"/>
    <w:rsid w:val="00172975"/>
    <w:rsid w:val="00172BE6"/>
    <w:rsid w:val="00172EB3"/>
    <w:rsid w:val="00172F42"/>
    <w:rsid w:val="00173127"/>
    <w:rsid w:val="00173281"/>
    <w:rsid w:val="0017360F"/>
    <w:rsid w:val="00173AF4"/>
    <w:rsid w:val="00174031"/>
    <w:rsid w:val="00174116"/>
    <w:rsid w:val="001741E5"/>
    <w:rsid w:val="00174529"/>
    <w:rsid w:val="00174679"/>
    <w:rsid w:val="001747C7"/>
    <w:rsid w:val="00174A73"/>
    <w:rsid w:val="00174B64"/>
    <w:rsid w:val="00174BCD"/>
    <w:rsid w:val="00174D8C"/>
    <w:rsid w:val="00174FE0"/>
    <w:rsid w:val="00175215"/>
    <w:rsid w:val="001754AA"/>
    <w:rsid w:val="00175898"/>
    <w:rsid w:val="0017591B"/>
    <w:rsid w:val="0017596E"/>
    <w:rsid w:val="00175A4A"/>
    <w:rsid w:val="00175DE8"/>
    <w:rsid w:val="00175F53"/>
    <w:rsid w:val="0017610A"/>
    <w:rsid w:val="0017636B"/>
    <w:rsid w:val="00176455"/>
    <w:rsid w:val="00176A4A"/>
    <w:rsid w:val="00176DAB"/>
    <w:rsid w:val="00176EE7"/>
    <w:rsid w:val="001771B4"/>
    <w:rsid w:val="001774A2"/>
    <w:rsid w:val="001774D5"/>
    <w:rsid w:val="001775B4"/>
    <w:rsid w:val="00177F90"/>
    <w:rsid w:val="001804C1"/>
    <w:rsid w:val="0018050B"/>
    <w:rsid w:val="00180542"/>
    <w:rsid w:val="001808FA"/>
    <w:rsid w:val="00180BB2"/>
    <w:rsid w:val="00180BB8"/>
    <w:rsid w:val="001810D3"/>
    <w:rsid w:val="001812F8"/>
    <w:rsid w:val="00181328"/>
    <w:rsid w:val="001815A9"/>
    <w:rsid w:val="00181719"/>
    <w:rsid w:val="001817A2"/>
    <w:rsid w:val="001818FA"/>
    <w:rsid w:val="001819EF"/>
    <w:rsid w:val="00181A5C"/>
    <w:rsid w:val="00181CB2"/>
    <w:rsid w:val="00181D1A"/>
    <w:rsid w:val="0018200E"/>
    <w:rsid w:val="001825FE"/>
    <w:rsid w:val="0018265C"/>
    <w:rsid w:val="00182B56"/>
    <w:rsid w:val="00182B89"/>
    <w:rsid w:val="00182BCA"/>
    <w:rsid w:val="00182DD7"/>
    <w:rsid w:val="00182F64"/>
    <w:rsid w:val="00182FD3"/>
    <w:rsid w:val="00183174"/>
    <w:rsid w:val="00183504"/>
    <w:rsid w:val="0018350D"/>
    <w:rsid w:val="001836E8"/>
    <w:rsid w:val="001837B4"/>
    <w:rsid w:val="00183E58"/>
    <w:rsid w:val="00183EFF"/>
    <w:rsid w:val="0018450D"/>
    <w:rsid w:val="00184558"/>
    <w:rsid w:val="00184BE5"/>
    <w:rsid w:val="00184C9D"/>
    <w:rsid w:val="00184F55"/>
    <w:rsid w:val="00184F9E"/>
    <w:rsid w:val="00184FCD"/>
    <w:rsid w:val="00185312"/>
    <w:rsid w:val="001853FD"/>
    <w:rsid w:val="00185753"/>
    <w:rsid w:val="0018582D"/>
    <w:rsid w:val="001861E1"/>
    <w:rsid w:val="00186225"/>
    <w:rsid w:val="0018673C"/>
    <w:rsid w:val="001868CE"/>
    <w:rsid w:val="00186987"/>
    <w:rsid w:val="00186A61"/>
    <w:rsid w:val="00186F84"/>
    <w:rsid w:val="0018713D"/>
    <w:rsid w:val="00187674"/>
    <w:rsid w:val="001877EA"/>
    <w:rsid w:val="00187864"/>
    <w:rsid w:val="00187B89"/>
    <w:rsid w:val="00190823"/>
    <w:rsid w:val="0019087E"/>
    <w:rsid w:val="00190B9D"/>
    <w:rsid w:val="00190DAE"/>
    <w:rsid w:val="00190FF1"/>
    <w:rsid w:val="00191162"/>
    <w:rsid w:val="0019123E"/>
    <w:rsid w:val="0019172B"/>
    <w:rsid w:val="00191795"/>
    <w:rsid w:val="0019187C"/>
    <w:rsid w:val="00191A36"/>
    <w:rsid w:val="00191C3D"/>
    <w:rsid w:val="00191F1B"/>
    <w:rsid w:val="00192537"/>
    <w:rsid w:val="00192568"/>
    <w:rsid w:val="001928B2"/>
    <w:rsid w:val="001928BF"/>
    <w:rsid w:val="00192D68"/>
    <w:rsid w:val="00192EDD"/>
    <w:rsid w:val="00192F37"/>
    <w:rsid w:val="00192FA4"/>
    <w:rsid w:val="001932AE"/>
    <w:rsid w:val="00193A03"/>
    <w:rsid w:val="00193BCE"/>
    <w:rsid w:val="00193D25"/>
    <w:rsid w:val="00193E47"/>
    <w:rsid w:val="00193E51"/>
    <w:rsid w:val="00193EA7"/>
    <w:rsid w:val="001942FB"/>
    <w:rsid w:val="00194322"/>
    <w:rsid w:val="00194350"/>
    <w:rsid w:val="00194688"/>
    <w:rsid w:val="00194746"/>
    <w:rsid w:val="00194BBD"/>
    <w:rsid w:val="00194E69"/>
    <w:rsid w:val="00194F53"/>
    <w:rsid w:val="00195BF5"/>
    <w:rsid w:val="00195F0B"/>
    <w:rsid w:val="00195F4D"/>
    <w:rsid w:val="00196015"/>
    <w:rsid w:val="00196218"/>
    <w:rsid w:val="00196327"/>
    <w:rsid w:val="001963DC"/>
    <w:rsid w:val="00196799"/>
    <w:rsid w:val="001967DD"/>
    <w:rsid w:val="0019693D"/>
    <w:rsid w:val="00196947"/>
    <w:rsid w:val="00196968"/>
    <w:rsid w:val="001969AC"/>
    <w:rsid w:val="00196AE9"/>
    <w:rsid w:val="00196BB2"/>
    <w:rsid w:val="0019712B"/>
    <w:rsid w:val="00197522"/>
    <w:rsid w:val="00197928"/>
    <w:rsid w:val="00197B00"/>
    <w:rsid w:val="001A0133"/>
    <w:rsid w:val="001A0198"/>
    <w:rsid w:val="001A040A"/>
    <w:rsid w:val="001A070D"/>
    <w:rsid w:val="001A07F1"/>
    <w:rsid w:val="001A084A"/>
    <w:rsid w:val="001A0DE1"/>
    <w:rsid w:val="001A101D"/>
    <w:rsid w:val="001A104A"/>
    <w:rsid w:val="001A10CA"/>
    <w:rsid w:val="001A132A"/>
    <w:rsid w:val="001A1547"/>
    <w:rsid w:val="001A1692"/>
    <w:rsid w:val="001A20BE"/>
    <w:rsid w:val="001A24B5"/>
    <w:rsid w:val="001A2765"/>
    <w:rsid w:val="001A2830"/>
    <w:rsid w:val="001A2881"/>
    <w:rsid w:val="001A28C3"/>
    <w:rsid w:val="001A2983"/>
    <w:rsid w:val="001A2997"/>
    <w:rsid w:val="001A29BE"/>
    <w:rsid w:val="001A2A5F"/>
    <w:rsid w:val="001A2CC2"/>
    <w:rsid w:val="001A36B1"/>
    <w:rsid w:val="001A36BC"/>
    <w:rsid w:val="001A3707"/>
    <w:rsid w:val="001A38F0"/>
    <w:rsid w:val="001A3979"/>
    <w:rsid w:val="001A3A86"/>
    <w:rsid w:val="001A3AFF"/>
    <w:rsid w:val="001A3CA8"/>
    <w:rsid w:val="001A3CD5"/>
    <w:rsid w:val="001A42B4"/>
    <w:rsid w:val="001A4315"/>
    <w:rsid w:val="001A44FF"/>
    <w:rsid w:val="001A47F9"/>
    <w:rsid w:val="001A48F4"/>
    <w:rsid w:val="001A4D93"/>
    <w:rsid w:val="001A4E71"/>
    <w:rsid w:val="001A4E73"/>
    <w:rsid w:val="001A4EE5"/>
    <w:rsid w:val="001A5031"/>
    <w:rsid w:val="001A54D0"/>
    <w:rsid w:val="001A5754"/>
    <w:rsid w:val="001A5B54"/>
    <w:rsid w:val="001A5C29"/>
    <w:rsid w:val="001A5C40"/>
    <w:rsid w:val="001A5E53"/>
    <w:rsid w:val="001A5F55"/>
    <w:rsid w:val="001A6026"/>
    <w:rsid w:val="001A6358"/>
    <w:rsid w:val="001A64E0"/>
    <w:rsid w:val="001A6901"/>
    <w:rsid w:val="001A69BE"/>
    <w:rsid w:val="001A6B1D"/>
    <w:rsid w:val="001A6BBD"/>
    <w:rsid w:val="001A6BD3"/>
    <w:rsid w:val="001A6CE6"/>
    <w:rsid w:val="001A700F"/>
    <w:rsid w:val="001A72D8"/>
    <w:rsid w:val="001A7618"/>
    <w:rsid w:val="001A7624"/>
    <w:rsid w:val="001A79B8"/>
    <w:rsid w:val="001A7D03"/>
    <w:rsid w:val="001B01E7"/>
    <w:rsid w:val="001B037A"/>
    <w:rsid w:val="001B0560"/>
    <w:rsid w:val="001B0753"/>
    <w:rsid w:val="001B0A40"/>
    <w:rsid w:val="001B0A48"/>
    <w:rsid w:val="001B0B45"/>
    <w:rsid w:val="001B0F55"/>
    <w:rsid w:val="001B0F8B"/>
    <w:rsid w:val="001B0FDF"/>
    <w:rsid w:val="001B16DE"/>
    <w:rsid w:val="001B190D"/>
    <w:rsid w:val="001B1D7E"/>
    <w:rsid w:val="001B1FD5"/>
    <w:rsid w:val="001B1FF0"/>
    <w:rsid w:val="001B21F4"/>
    <w:rsid w:val="001B24FD"/>
    <w:rsid w:val="001B2583"/>
    <w:rsid w:val="001B2668"/>
    <w:rsid w:val="001B284C"/>
    <w:rsid w:val="001B31AE"/>
    <w:rsid w:val="001B34CF"/>
    <w:rsid w:val="001B393E"/>
    <w:rsid w:val="001B3968"/>
    <w:rsid w:val="001B3AE8"/>
    <w:rsid w:val="001B3AED"/>
    <w:rsid w:val="001B3C7C"/>
    <w:rsid w:val="001B3C93"/>
    <w:rsid w:val="001B3D2C"/>
    <w:rsid w:val="001B3F0A"/>
    <w:rsid w:val="001B407B"/>
    <w:rsid w:val="001B42D6"/>
    <w:rsid w:val="001B4599"/>
    <w:rsid w:val="001B4885"/>
    <w:rsid w:val="001B49CB"/>
    <w:rsid w:val="001B4F56"/>
    <w:rsid w:val="001B5492"/>
    <w:rsid w:val="001B550F"/>
    <w:rsid w:val="001B55AF"/>
    <w:rsid w:val="001B5799"/>
    <w:rsid w:val="001B5928"/>
    <w:rsid w:val="001B5AFD"/>
    <w:rsid w:val="001B5C4C"/>
    <w:rsid w:val="001B5DC0"/>
    <w:rsid w:val="001B65D1"/>
    <w:rsid w:val="001B6921"/>
    <w:rsid w:val="001B6B38"/>
    <w:rsid w:val="001B6DE1"/>
    <w:rsid w:val="001B6E6C"/>
    <w:rsid w:val="001B70E1"/>
    <w:rsid w:val="001B71FF"/>
    <w:rsid w:val="001B7244"/>
    <w:rsid w:val="001B7764"/>
    <w:rsid w:val="001B776D"/>
    <w:rsid w:val="001B795F"/>
    <w:rsid w:val="001B7CD4"/>
    <w:rsid w:val="001C06AE"/>
    <w:rsid w:val="001C094A"/>
    <w:rsid w:val="001C0978"/>
    <w:rsid w:val="001C1161"/>
    <w:rsid w:val="001C11F5"/>
    <w:rsid w:val="001C1416"/>
    <w:rsid w:val="001C14BC"/>
    <w:rsid w:val="001C16B3"/>
    <w:rsid w:val="001C1AE4"/>
    <w:rsid w:val="001C1B58"/>
    <w:rsid w:val="001C21A8"/>
    <w:rsid w:val="001C2352"/>
    <w:rsid w:val="001C25B1"/>
    <w:rsid w:val="001C25F3"/>
    <w:rsid w:val="001C2894"/>
    <w:rsid w:val="001C2901"/>
    <w:rsid w:val="001C292E"/>
    <w:rsid w:val="001C2CAD"/>
    <w:rsid w:val="001C2F9A"/>
    <w:rsid w:val="001C30A4"/>
    <w:rsid w:val="001C378A"/>
    <w:rsid w:val="001C378D"/>
    <w:rsid w:val="001C37B4"/>
    <w:rsid w:val="001C38A0"/>
    <w:rsid w:val="001C3B54"/>
    <w:rsid w:val="001C3BBC"/>
    <w:rsid w:val="001C401D"/>
    <w:rsid w:val="001C43B8"/>
    <w:rsid w:val="001C44EA"/>
    <w:rsid w:val="001C4561"/>
    <w:rsid w:val="001C4A1B"/>
    <w:rsid w:val="001C4B8F"/>
    <w:rsid w:val="001C4EAD"/>
    <w:rsid w:val="001C4F0C"/>
    <w:rsid w:val="001C50A4"/>
    <w:rsid w:val="001C540C"/>
    <w:rsid w:val="001C57F6"/>
    <w:rsid w:val="001C5AF4"/>
    <w:rsid w:val="001C5CF7"/>
    <w:rsid w:val="001C6047"/>
    <w:rsid w:val="001C6260"/>
    <w:rsid w:val="001C631A"/>
    <w:rsid w:val="001C6413"/>
    <w:rsid w:val="001C6815"/>
    <w:rsid w:val="001C6A75"/>
    <w:rsid w:val="001C6B3A"/>
    <w:rsid w:val="001C7151"/>
    <w:rsid w:val="001C729F"/>
    <w:rsid w:val="001C7543"/>
    <w:rsid w:val="001C757C"/>
    <w:rsid w:val="001C75E5"/>
    <w:rsid w:val="001C7691"/>
    <w:rsid w:val="001C775B"/>
    <w:rsid w:val="001D0067"/>
    <w:rsid w:val="001D00E2"/>
    <w:rsid w:val="001D01E9"/>
    <w:rsid w:val="001D0267"/>
    <w:rsid w:val="001D02B3"/>
    <w:rsid w:val="001D049A"/>
    <w:rsid w:val="001D0527"/>
    <w:rsid w:val="001D06BD"/>
    <w:rsid w:val="001D08ED"/>
    <w:rsid w:val="001D08EF"/>
    <w:rsid w:val="001D0943"/>
    <w:rsid w:val="001D0A6F"/>
    <w:rsid w:val="001D0C2F"/>
    <w:rsid w:val="001D0DD6"/>
    <w:rsid w:val="001D1832"/>
    <w:rsid w:val="001D1CDB"/>
    <w:rsid w:val="001D2273"/>
    <w:rsid w:val="001D26EC"/>
    <w:rsid w:val="001D2AFD"/>
    <w:rsid w:val="001D3257"/>
    <w:rsid w:val="001D361C"/>
    <w:rsid w:val="001D3D3B"/>
    <w:rsid w:val="001D41ED"/>
    <w:rsid w:val="001D4632"/>
    <w:rsid w:val="001D4890"/>
    <w:rsid w:val="001D4898"/>
    <w:rsid w:val="001D48AD"/>
    <w:rsid w:val="001D49C6"/>
    <w:rsid w:val="001D4BFB"/>
    <w:rsid w:val="001D4C1A"/>
    <w:rsid w:val="001D4D45"/>
    <w:rsid w:val="001D4D92"/>
    <w:rsid w:val="001D4E5D"/>
    <w:rsid w:val="001D575F"/>
    <w:rsid w:val="001D5890"/>
    <w:rsid w:val="001D5ADD"/>
    <w:rsid w:val="001D5C05"/>
    <w:rsid w:val="001D5FE8"/>
    <w:rsid w:val="001D607C"/>
    <w:rsid w:val="001D63ED"/>
    <w:rsid w:val="001D6434"/>
    <w:rsid w:val="001D668E"/>
    <w:rsid w:val="001D6714"/>
    <w:rsid w:val="001D6749"/>
    <w:rsid w:val="001D6838"/>
    <w:rsid w:val="001D6927"/>
    <w:rsid w:val="001D698F"/>
    <w:rsid w:val="001D6A42"/>
    <w:rsid w:val="001D6C40"/>
    <w:rsid w:val="001D6C75"/>
    <w:rsid w:val="001D765C"/>
    <w:rsid w:val="001D7814"/>
    <w:rsid w:val="001D7932"/>
    <w:rsid w:val="001D7A90"/>
    <w:rsid w:val="001D7B4C"/>
    <w:rsid w:val="001D7BF0"/>
    <w:rsid w:val="001D7E9A"/>
    <w:rsid w:val="001E0008"/>
    <w:rsid w:val="001E00C6"/>
    <w:rsid w:val="001E0447"/>
    <w:rsid w:val="001E06BF"/>
    <w:rsid w:val="001E07E6"/>
    <w:rsid w:val="001E08E8"/>
    <w:rsid w:val="001E0DDC"/>
    <w:rsid w:val="001E10E1"/>
    <w:rsid w:val="001E1256"/>
    <w:rsid w:val="001E14F8"/>
    <w:rsid w:val="001E1721"/>
    <w:rsid w:val="001E18DC"/>
    <w:rsid w:val="001E1993"/>
    <w:rsid w:val="001E1D80"/>
    <w:rsid w:val="001E1F07"/>
    <w:rsid w:val="001E1FE3"/>
    <w:rsid w:val="001E2064"/>
    <w:rsid w:val="001E2476"/>
    <w:rsid w:val="001E27AA"/>
    <w:rsid w:val="001E27B5"/>
    <w:rsid w:val="001E28E7"/>
    <w:rsid w:val="001E2AC1"/>
    <w:rsid w:val="001E2CC4"/>
    <w:rsid w:val="001E2DFB"/>
    <w:rsid w:val="001E2E4C"/>
    <w:rsid w:val="001E34F8"/>
    <w:rsid w:val="001E368D"/>
    <w:rsid w:val="001E385B"/>
    <w:rsid w:val="001E3A75"/>
    <w:rsid w:val="001E3B12"/>
    <w:rsid w:val="001E3CF7"/>
    <w:rsid w:val="001E43AC"/>
    <w:rsid w:val="001E43D7"/>
    <w:rsid w:val="001E450F"/>
    <w:rsid w:val="001E46F2"/>
    <w:rsid w:val="001E4B76"/>
    <w:rsid w:val="001E4D0E"/>
    <w:rsid w:val="001E4E16"/>
    <w:rsid w:val="001E4F92"/>
    <w:rsid w:val="001E5185"/>
    <w:rsid w:val="001E54DD"/>
    <w:rsid w:val="001E5527"/>
    <w:rsid w:val="001E55EE"/>
    <w:rsid w:val="001E5605"/>
    <w:rsid w:val="001E560D"/>
    <w:rsid w:val="001E5917"/>
    <w:rsid w:val="001E59A6"/>
    <w:rsid w:val="001E5EF1"/>
    <w:rsid w:val="001E5F3A"/>
    <w:rsid w:val="001E5FAB"/>
    <w:rsid w:val="001E60B3"/>
    <w:rsid w:val="001E62E5"/>
    <w:rsid w:val="001E6552"/>
    <w:rsid w:val="001E6777"/>
    <w:rsid w:val="001E6816"/>
    <w:rsid w:val="001E6822"/>
    <w:rsid w:val="001E68F3"/>
    <w:rsid w:val="001E6B01"/>
    <w:rsid w:val="001E6B3D"/>
    <w:rsid w:val="001E6F4F"/>
    <w:rsid w:val="001E7203"/>
    <w:rsid w:val="001E72EF"/>
    <w:rsid w:val="001E7392"/>
    <w:rsid w:val="001E74CF"/>
    <w:rsid w:val="001E787F"/>
    <w:rsid w:val="001E7989"/>
    <w:rsid w:val="001E7E47"/>
    <w:rsid w:val="001F0089"/>
    <w:rsid w:val="001F018C"/>
    <w:rsid w:val="001F07DD"/>
    <w:rsid w:val="001F0893"/>
    <w:rsid w:val="001F0980"/>
    <w:rsid w:val="001F09BD"/>
    <w:rsid w:val="001F0F4A"/>
    <w:rsid w:val="001F134E"/>
    <w:rsid w:val="001F13C8"/>
    <w:rsid w:val="001F151C"/>
    <w:rsid w:val="001F156C"/>
    <w:rsid w:val="001F1620"/>
    <w:rsid w:val="001F17CC"/>
    <w:rsid w:val="001F18D1"/>
    <w:rsid w:val="001F1B59"/>
    <w:rsid w:val="001F1D18"/>
    <w:rsid w:val="001F1D7C"/>
    <w:rsid w:val="001F21F0"/>
    <w:rsid w:val="001F261F"/>
    <w:rsid w:val="001F2B95"/>
    <w:rsid w:val="001F2EB6"/>
    <w:rsid w:val="001F31E1"/>
    <w:rsid w:val="001F32D6"/>
    <w:rsid w:val="001F3335"/>
    <w:rsid w:val="001F335B"/>
    <w:rsid w:val="001F34D2"/>
    <w:rsid w:val="001F3A5E"/>
    <w:rsid w:val="001F3A88"/>
    <w:rsid w:val="001F3BFE"/>
    <w:rsid w:val="001F3C3A"/>
    <w:rsid w:val="001F3E9D"/>
    <w:rsid w:val="001F4257"/>
    <w:rsid w:val="001F4618"/>
    <w:rsid w:val="001F47C8"/>
    <w:rsid w:val="001F47CD"/>
    <w:rsid w:val="001F48E9"/>
    <w:rsid w:val="001F49C2"/>
    <w:rsid w:val="001F49DC"/>
    <w:rsid w:val="001F4A6F"/>
    <w:rsid w:val="001F4ACD"/>
    <w:rsid w:val="001F4C04"/>
    <w:rsid w:val="001F4E8E"/>
    <w:rsid w:val="001F503E"/>
    <w:rsid w:val="001F5527"/>
    <w:rsid w:val="001F5810"/>
    <w:rsid w:val="001F5865"/>
    <w:rsid w:val="001F586D"/>
    <w:rsid w:val="001F5A4D"/>
    <w:rsid w:val="001F5D87"/>
    <w:rsid w:val="001F5FF0"/>
    <w:rsid w:val="001F6024"/>
    <w:rsid w:val="001F6473"/>
    <w:rsid w:val="001F65A0"/>
    <w:rsid w:val="001F65AD"/>
    <w:rsid w:val="001F68C8"/>
    <w:rsid w:val="001F69F4"/>
    <w:rsid w:val="001F6B41"/>
    <w:rsid w:val="001F6D25"/>
    <w:rsid w:val="001F6DF2"/>
    <w:rsid w:val="001F6F64"/>
    <w:rsid w:val="001F7301"/>
    <w:rsid w:val="001F7523"/>
    <w:rsid w:val="001F757B"/>
    <w:rsid w:val="001F7636"/>
    <w:rsid w:val="001F798E"/>
    <w:rsid w:val="001F7EC8"/>
    <w:rsid w:val="00200268"/>
    <w:rsid w:val="002003A5"/>
    <w:rsid w:val="00200465"/>
    <w:rsid w:val="00200529"/>
    <w:rsid w:val="002007E4"/>
    <w:rsid w:val="0020090E"/>
    <w:rsid w:val="00200EA3"/>
    <w:rsid w:val="00200F28"/>
    <w:rsid w:val="00201161"/>
    <w:rsid w:val="00201409"/>
    <w:rsid w:val="002014BF"/>
    <w:rsid w:val="00201584"/>
    <w:rsid w:val="00201837"/>
    <w:rsid w:val="00201D27"/>
    <w:rsid w:val="00201EA6"/>
    <w:rsid w:val="00202123"/>
    <w:rsid w:val="00202462"/>
    <w:rsid w:val="00202511"/>
    <w:rsid w:val="002025B6"/>
    <w:rsid w:val="00202773"/>
    <w:rsid w:val="00203374"/>
    <w:rsid w:val="002034D0"/>
    <w:rsid w:val="00203502"/>
    <w:rsid w:val="00203612"/>
    <w:rsid w:val="0020386D"/>
    <w:rsid w:val="002040C9"/>
    <w:rsid w:val="00204AE5"/>
    <w:rsid w:val="00204CDE"/>
    <w:rsid w:val="00204DDB"/>
    <w:rsid w:val="00205075"/>
    <w:rsid w:val="002055CB"/>
    <w:rsid w:val="002055CC"/>
    <w:rsid w:val="0020566D"/>
    <w:rsid w:val="00205857"/>
    <w:rsid w:val="00205C1E"/>
    <w:rsid w:val="00205DD0"/>
    <w:rsid w:val="00205E10"/>
    <w:rsid w:val="00205E91"/>
    <w:rsid w:val="00205F2A"/>
    <w:rsid w:val="00206264"/>
    <w:rsid w:val="00206308"/>
    <w:rsid w:val="0020638B"/>
    <w:rsid w:val="00206474"/>
    <w:rsid w:val="002065B8"/>
    <w:rsid w:val="00206704"/>
    <w:rsid w:val="00206712"/>
    <w:rsid w:val="00206764"/>
    <w:rsid w:val="00206971"/>
    <w:rsid w:val="0020737E"/>
    <w:rsid w:val="002077A0"/>
    <w:rsid w:val="002079B7"/>
    <w:rsid w:val="00207A86"/>
    <w:rsid w:val="00207B75"/>
    <w:rsid w:val="00207C9E"/>
    <w:rsid w:val="00207CC3"/>
    <w:rsid w:val="00207ED8"/>
    <w:rsid w:val="00210181"/>
    <w:rsid w:val="0021045C"/>
    <w:rsid w:val="00210470"/>
    <w:rsid w:val="00210481"/>
    <w:rsid w:val="002104C9"/>
    <w:rsid w:val="002106EE"/>
    <w:rsid w:val="0021089F"/>
    <w:rsid w:val="0021090A"/>
    <w:rsid w:val="0021096E"/>
    <w:rsid w:val="00210A70"/>
    <w:rsid w:val="00210B11"/>
    <w:rsid w:val="00210BD5"/>
    <w:rsid w:val="00210DCF"/>
    <w:rsid w:val="0021113C"/>
    <w:rsid w:val="002112BF"/>
    <w:rsid w:val="002113E0"/>
    <w:rsid w:val="00211A15"/>
    <w:rsid w:val="00211CA7"/>
    <w:rsid w:val="00211F5D"/>
    <w:rsid w:val="002120C1"/>
    <w:rsid w:val="002123C3"/>
    <w:rsid w:val="00212715"/>
    <w:rsid w:val="002128C8"/>
    <w:rsid w:val="00212BDD"/>
    <w:rsid w:val="0021300D"/>
    <w:rsid w:val="0021346F"/>
    <w:rsid w:val="00213636"/>
    <w:rsid w:val="00213AB4"/>
    <w:rsid w:val="00213AFA"/>
    <w:rsid w:val="00213F80"/>
    <w:rsid w:val="00214326"/>
    <w:rsid w:val="002143E1"/>
    <w:rsid w:val="002146B0"/>
    <w:rsid w:val="00214721"/>
    <w:rsid w:val="00214D1F"/>
    <w:rsid w:val="00214DC3"/>
    <w:rsid w:val="00214DE7"/>
    <w:rsid w:val="00214F27"/>
    <w:rsid w:val="0021500E"/>
    <w:rsid w:val="00215113"/>
    <w:rsid w:val="00215600"/>
    <w:rsid w:val="002159BC"/>
    <w:rsid w:val="00215FBD"/>
    <w:rsid w:val="002160AA"/>
    <w:rsid w:val="002161EB"/>
    <w:rsid w:val="00216235"/>
    <w:rsid w:val="0021633D"/>
    <w:rsid w:val="00216388"/>
    <w:rsid w:val="002163A0"/>
    <w:rsid w:val="0021642F"/>
    <w:rsid w:val="002164F3"/>
    <w:rsid w:val="0021661E"/>
    <w:rsid w:val="00216E0F"/>
    <w:rsid w:val="00216EC4"/>
    <w:rsid w:val="0021707E"/>
    <w:rsid w:val="00217340"/>
    <w:rsid w:val="002174D2"/>
    <w:rsid w:val="00217C56"/>
    <w:rsid w:val="00217E36"/>
    <w:rsid w:val="00220451"/>
    <w:rsid w:val="00220599"/>
    <w:rsid w:val="0022072E"/>
    <w:rsid w:val="002207C3"/>
    <w:rsid w:val="00220814"/>
    <w:rsid w:val="00220928"/>
    <w:rsid w:val="00220F3B"/>
    <w:rsid w:val="00221401"/>
    <w:rsid w:val="00221653"/>
    <w:rsid w:val="0022182F"/>
    <w:rsid w:val="00221933"/>
    <w:rsid w:val="00221AC3"/>
    <w:rsid w:val="00221BDD"/>
    <w:rsid w:val="00221D39"/>
    <w:rsid w:val="0022215A"/>
    <w:rsid w:val="002222C5"/>
    <w:rsid w:val="00222525"/>
    <w:rsid w:val="00222594"/>
    <w:rsid w:val="0022261C"/>
    <w:rsid w:val="00222A50"/>
    <w:rsid w:val="00222A66"/>
    <w:rsid w:val="00222C3B"/>
    <w:rsid w:val="00222E5E"/>
    <w:rsid w:val="0022314B"/>
    <w:rsid w:val="00223199"/>
    <w:rsid w:val="002234BF"/>
    <w:rsid w:val="002237EA"/>
    <w:rsid w:val="00223D28"/>
    <w:rsid w:val="00223E69"/>
    <w:rsid w:val="0022401B"/>
    <w:rsid w:val="00224226"/>
    <w:rsid w:val="0022426C"/>
    <w:rsid w:val="00224290"/>
    <w:rsid w:val="0022474B"/>
    <w:rsid w:val="0022475C"/>
    <w:rsid w:val="0022490F"/>
    <w:rsid w:val="002249BC"/>
    <w:rsid w:val="00224B50"/>
    <w:rsid w:val="00224DE8"/>
    <w:rsid w:val="00225165"/>
    <w:rsid w:val="002251D7"/>
    <w:rsid w:val="0022530D"/>
    <w:rsid w:val="002253B2"/>
    <w:rsid w:val="00225571"/>
    <w:rsid w:val="00225961"/>
    <w:rsid w:val="002259A7"/>
    <w:rsid w:val="002259D2"/>
    <w:rsid w:val="00225B32"/>
    <w:rsid w:val="00225D8A"/>
    <w:rsid w:val="00225F91"/>
    <w:rsid w:val="00226291"/>
    <w:rsid w:val="0022631A"/>
    <w:rsid w:val="0022642B"/>
    <w:rsid w:val="00226730"/>
    <w:rsid w:val="002268A4"/>
    <w:rsid w:val="002268F9"/>
    <w:rsid w:val="002270CB"/>
    <w:rsid w:val="00227892"/>
    <w:rsid w:val="002278F3"/>
    <w:rsid w:val="00227AAA"/>
    <w:rsid w:val="00227DC8"/>
    <w:rsid w:val="00230136"/>
    <w:rsid w:val="00230180"/>
    <w:rsid w:val="0023021F"/>
    <w:rsid w:val="002302A8"/>
    <w:rsid w:val="00230319"/>
    <w:rsid w:val="002305E2"/>
    <w:rsid w:val="00230608"/>
    <w:rsid w:val="00230618"/>
    <w:rsid w:val="00230AB8"/>
    <w:rsid w:val="00230E26"/>
    <w:rsid w:val="00230E4E"/>
    <w:rsid w:val="00230FFC"/>
    <w:rsid w:val="002310DB"/>
    <w:rsid w:val="0023116C"/>
    <w:rsid w:val="002311DC"/>
    <w:rsid w:val="0023120F"/>
    <w:rsid w:val="002312AC"/>
    <w:rsid w:val="00231739"/>
    <w:rsid w:val="00231A7E"/>
    <w:rsid w:val="00231F0F"/>
    <w:rsid w:val="002321C6"/>
    <w:rsid w:val="002323CB"/>
    <w:rsid w:val="0023278F"/>
    <w:rsid w:val="00232976"/>
    <w:rsid w:val="0023298E"/>
    <w:rsid w:val="00232A6C"/>
    <w:rsid w:val="00232AD8"/>
    <w:rsid w:val="00232DAE"/>
    <w:rsid w:val="00232FDD"/>
    <w:rsid w:val="00233328"/>
    <w:rsid w:val="002333B0"/>
    <w:rsid w:val="00233468"/>
    <w:rsid w:val="00233894"/>
    <w:rsid w:val="00233A3B"/>
    <w:rsid w:val="002340FE"/>
    <w:rsid w:val="002341D1"/>
    <w:rsid w:val="002341E2"/>
    <w:rsid w:val="0023461D"/>
    <w:rsid w:val="00234713"/>
    <w:rsid w:val="00234826"/>
    <w:rsid w:val="00234C6A"/>
    <w:rsid w:val="00234C81"/>
    <w:rsid w:val="00234DE1"/>
    <w:rsid w:val="00234E89"/>
    <w:rsid w:val="00234F7A"/>
    <w:rsid w:val="0023518D"/>
    <w:rsid w:val="00235548"/>
    <w:rsid w:val="0023560F"/>
    <w:rsid w:val="00235B2E"/>
    <w:rsid w:val="00235C65"/>
    <w:rsid w:val="00235FD7"/>
    <w:rsid w:val="00235FE2"/>
    <w:rsid w:val="00236011"/>
    <w:rsid w:val="002363A8"/>
    <w:rsid w:val="002363F1"/>
    <w:rsid w:val="002366F3"/>
    <w:rsid w:val="0023687A"/>
    <w:rsid w:val="00236957"/>
    <w:rsid w:val="00236B81"/>
    <w:rsid w:val="002371A1"/>
    <w:rsid w:val="00237220"/>
    <w:rsid w:val="00237285"/>
    <w:rsid w:val="0023742C"/>
    <w:rsid w:val="00237691"/>
    <w:rsid w:val="00237A3B"/>
    <w:rsid w:val="00237C5B"/>
    <w:rsid w:val="00237E5E"/>
    <w:rsid w:val="00237F74"/>
    <w:rsid w:val="00240003"/>
    <w:rsid w:val="002400F8"/>
    <w:rsid w:val="00240121"/>
    <w:rsid w:val="00240EAA"/>
    <w:rsid w:val="00241129"/>
    <w:rsid w:val="0024148A"/>
    <w:rsid w:val="002417A6"/>
    <w:rsid w:val="00241985"/>
    <w:rsid w:val="002419D9"/>
    <w:rsid w:val="00241ABD"/>
    <w:rsid w:val="00241B62"/>
    <w:rsid w:val="00241C0C"/>
    <w:rsid w:val="00241C71"/>
    <w:rsid w:val="00241CE0"/>
    <w:rsid w:val="00241E49"/>
    <w:rsid w:val="00241F1C"/>
    <w:rsid w:val="00241F74"/>
    <w:rsid w:val="00242061"/>
    <w:rsid w:val="002423CB"/>
    <w:rsid w:val="002426B7"/>
    <w:rsid w:val="002429F8"/>
    <w:rsid w:val="00242A7F"/>
    <w:rsid w:val="00242EAF"/>
    <w:rsid w:val="0024385D"/>
    <w:rsid w:val="00243884"/>
    <w:rsid w:val="00243A4F"/>
    <w:rsid w:val="00243C61"/>
    <w:rsid w:val="00243CBA"/>
    <w:rsid w:val="00243CD8"/>
    <w:rsid w:val="00243E49"/>
    <w:rsid w:val="00243FC8"/>
    <w:rsid w:val="002442FF"/>
    <w:rsid w:val="002445C3"/>
    <w:rsid w:val="00244766"/>
    <w:rsid w:val="002448FD"/>
    <w:rsid w:val="00244A01"/>
    <w:rsid w:val="00244A3A"/>
    <w:rsid w:val="00244B7A"/>
    <w:rsid w:val="00244C20"/>
    <w:rsid w:val="00244D2F"/>
    <w:rsid w:val="00244DF7"/>
    <w:rsid w:val="00244E13"/>
    <w:rsid w:val="00244E6D"/>
    <w:rsid w:val="002450EF"/>
    <w:rsid w:val="0024511A"/>
    <w:rsid w:val="002452E4"/>
    <w:rsid w:val="00245648"/>
    <w:rsid w:val="00245A94"/>
    <w:rsid w:val="00245ADE"/>
    <w:rsid w:val="00245DE8"/>
    <w:rsid w:val="0024642F"/>
    <w:rsid w:val="00246B72"/>
    <w:rsid w:val="00246C0B"/>
    <w:rsid w:val="00246C6F"/>
    <w:rsid w:val="00246CC0"/>
    <w:rsid w:val="00246CE6"/>
    <w:rsid w:val="00246FB2"/>
    <w:rsid w:val="002470F0"/>
    <w:rsid w:val="00247179"/>
    <w:rsid w:val="0024732F"/>
    <w:rsid w:val="0024733A"/>
    <w:rsid w:val="002473D8"/>
    <w:rsid w:val="00247739"/>
    <w:rsid w:val="00247748"/>
    <w:rsid w:val="0024793A"/>
    <w:rsid w:val="00247A52"/>
    <w:rsid w:val="00247FAA"/>
    <w:rsid w:val="00250088"/>
    <w:rsid w:val="00250162"/>
    <w:rsid w:val="00250739"/>
    <w:rsid w:val="00250759"/>
    <w:rsid w:val="00250E30"/>
    <w:rsid w:val="0025103D"/>
    <w:rsid w:val="00251742"/>
    <w:rsid w:val="0025180D"/>
    <w:rsid w:val="00252053"/>
    <w:rsid w:val="0025210B"/>
    <w:rsid w:val="00252A6B"/>
    <w:rsid w:val="00252A76"/>
    <w:rsid w:val="00252B50"/>
    <w:rsid w:val="00252B8B"/>
    <w:rsid w:val="00252C60"/>
    <w:rsid w:val="00252D8C"/>
    <w:rsid w:val="00252D8E"/>
    <w:rsid w:val="00253025"/>
    <w:rsid w:val="0025336D"/>
    <w:rsid w:val="002536DC"/>
    <w:rsid w:val="00253ABA"/>
    <w:rsid w:val="00253D7D"/>
    <w:rsid w:val="00253DFA"/>
    <w:rsid w:val="00253F5D"/>
    <w:rsid w:val="00254029"/>
    <w:rsid w:val="002542D4"/>
    <w:rsid w:val="002542DF"/>
    <w:rsid w:val="002546B3"/>
    <w:rsid w:val="00254948"/>
    <w:rsid w:val="00254B1B"/>
    <w:rsid w:val="00254B5B"/>
    <w:rsid w:val="00254BC4"/>
    <w:rsid w:val="00254E8B"/>
    <w:rsid w:val="00254F27"/>
    <w:rsid w:val="00255209"/>
    <w:rsid w:val="002552AB"/>
    <w:rsid w:val="00255829"/>
    <w:rsid w:val="0025583B"/>
    <w:rsid w:val="00255868"/>
    <w:rsid w:val="0025589C"/>
    <w:rsid w:val="00255C5B"/>
    <w:rsid w:val="00255DB4"/>
    <w:rsid w:val="00255DF6"/>
    <w:rsid w:val="002561BC"/>
    <w:rsid w:val="002566BC"/>
    <w:rsid w:val="002567C3"/>
    <w:rsid w:val="00256AE8"/>
    <w:rsid w:val="00256B02"/>
    <w:rsid w:val="002572B4"/>
    <w:rsid w:val="002572B5"/>
    <w:rsid w:val="00257426"/>
    <w:rsid w:val="002574E8"/>
    <w:rsid w:val="002577E5"/>
    <w:rsid w:val="00257AC3"/>
    <w:rsid w:val="00260063"/>
    <w:rsid w:val="00260097"/>
    <w:rsid w:val="0026017F"/>
    <w:rsid w:val="002604AB"/>
    <w:rsid w:val="00260513"/>
    <w:rsid w:val="0026057C"/>
    <w:rsid w:val="0026074C"/>
    <w:rsid w:val="00260779"/>
    <w:rsid w:val="002608B9"/>
    <w:rsid w:val="00260C36"/>
    <w:rsid w:val="00260FD0"/>
    <w:rsid w:val="0026104C"/>
    <w:rsid w:val="002615BE"/>
    <w:rsid w:val="00261716"/>
    <w:rsid w:val="0026190F"/>
    <w:rsid w:val="00261BFD"/>
    <w:rsid w:val="00261C37"/>
    <w:rsid w:val="00262176"/>
    <w:rsid w:val="0026254B"/>
    <w:rsid w:val="0026286E"/>
    <w:rsid w:val="002628C9"/>
    <w:rsid w:val="00262CBA"/>
    <w:rsid w:val="00263086"/>
    <w:rsid w:val="00263178"/>
    <w:rsid w:val="0026317E"/>
    <w:rsid w:val="002631E8"/>
    <w:rsid w:val="00263218"/>
    <w:rsid w:val="002634DA"/>
    <w:rsid w:val="00263527"/>
    <w:rsid w:val="0026359A"/>
    <w:rsid w:val="00263763"/>
    <w:rsid w:val="00263AE5"/>
    <w:rsid w:val="00263C2F"/>
    <w:rsid w:val="00263C7C"/>
    <w:rsid w:val="002640A7"/>
    <w:rsid w:val="002640D7"/>
    <w:rsid w:val="00264281"/>
    <w:rsid w:val="0026444C"/>
    <w:rsid w:val="0026456D"/>
    <w:rsid w:val="002646D8"/>
    <w:rsid w:val="002647A9"/>
    <w:rsid w:val="00264A39"/>
    <w:rsid w:val="00264A6E"/>
    <w:rsid w:val="00264B63"/>
    <w:rsid w:val="00264BCA"/>
    <w:rsid w:val="00264EFB"/>
    <w:rsid w:val="00265011"/>
    <w:rsid w:val="002650D9"/>
    <w:rsid w:val="002650FB"/>
    <w:rsid w:val="002651C7"/>
    <w:rsid w:val="002651CE"/>
    <w:rsid w:val="002655FD"/>
    <w:rsid w:val="002657FA"/>
    <w:rsid w:val="00265917"/>
    <w:rsid w:val="00265B48"/>
    <w:rsid w:val="00265CA6"/>
    <w:rsid w:val="00265CED"/>
    <w:rsid w:val="00265D66"/>
    <w:rsid w:val="00265E0F"/>
    <w:rsid w:val="00265EF0"/>
    <w:rsid w:val="002661BE"/>
    <w:rsid w:val="002667F4"/>
    <w:rsid w:val="00266892"/>
    <w:rsid w:val="002668C5"/>
    <w:rsid w:val="0026697B"/>
    <w:rsid w:val="002669D3"/>
    <w:rsid w:val="00266A1C"/>
    <w:rsid w:val="00266A46"/>
    <w:rsid w:val="00266C28"/>
    <w:rsid w:val="00266F30"/>
    <w:rsid w:val="002675BC"/>
    <w:rsid w:val="002675C7"/>
    <w:rsid w:val="0026777E"/>
    <w:rsid w:val="00267A2B"/>
    <w:rsid w:val="00267B08"/>
    <w:rsid w:val="00267BE3"/>
    <w:rsid w:val="00267DA2"/>
    <w:rsid w:val="00267EFB"/>
    <w:rsid w:val="00270148"/>
    <w:rsid w:val="002701BE"/>
    <w:rsid w:val="00270259"/>
    <w:rsid w:val="00270450"/>
    <w:rsid w:val="0027048A"/>
    <w:rsid w:val="002706AB"/>
    <w:rsid w:val="00270814"/>
    <w:rsid w:val="002709E9"/>
    <w:rsid w:val="00270AF0"/>
    <w:rsid w:val="00271012"/>
    <w:rsid w:val="0027101E"/>
    <w:rsid w:val="002712F4"/>
    <w:rsid w:val="00271446"/>
    <w:rsid w:val="002715C6"/>
    <w:rsid w:val="002716EE"/>
    <w:rsid w:val="00271893"/>
    <w:rsid w:val="00271A3A"/>
    <w:rsid w:val="00271B72"/>
    <w:rsid w:val="00271BB5"/>
    <w:rsid w:val="00271E04"/>
    <w:rsid w:val="002721AF"/>
    <w:rsid w:val="002722C9"/>
    <w:rsid w:val="002722E9"/>
    <w:rsid w:val="00272853"/>
    <w:rsid w:val="00272A1C"/>
    <w:rsid w:val="00272B50"/>
    <w:rsid w:val="00272D67"/>
    <w:rsid w:val="0027324D"/>
    <w:rsid w:val="00273507"/>
    <w:rsid w:val="00273714"/>
    <w:rsid w:val="00273860"/>
    <w:rsid w:val="0027392F"/>
    <w:rsid w:val="00273A7E"/>
    <w:rsid w:val="00273B23"/>
    <w:rsid w:val="00273B53"/>
    <w:rsid w:val="00273D18"/>
    <w:rsid w:val="0027478E"/>
    <w:rsid w:val="00274AC3"/>
    <w:rsid w:val="00274B0D"/>
    <w:rsid w:val="00274FDD"/>
    <w:rsid w:val="002750E5"/>
    <w:rsid w:val="002752D6"/>
    <w:rsid w:val="00275535"/>
    <w:rsid w:val="0027553A"/>
    <w:rsid w:val="00275682"/>
    <w:rsid w:val="00275A0C"/>
    <w:rsid w:val="00275BD0"/>
    <w:rsid w:val="00275D10"/>
    <w:rsid w:val="00275D67"/>
    <w:rsid w:val="002760E6"/>
    <w:rsid w:val="00276445"/>
    <w:rsid w:val="002764E2"/>
    <w:rsid w:val="002767BA"/>
    <w:rsid w:val="00276D9F"/>
    <w:rsid w:val="00277300"/>
    <w:rsid w:val="00277732"/>
    <w:rsid w:val="002779BC"/>
    <w:rsid w:val="002779D8"/>
    <w:rsid w:val="00277C21"/>
    <w:rsid w:val="00277C78"/>
    <w:rsid w:val="00277E24"/>
    <w:rsid w:val="00277EEB"/>
    <w:rsid w:val="002801B7"/>
    <w:rsid w:val="002803BC"/>
    <w:rsid w:val="00280738"/>
    <w:rsid w:val="0028079E"/>
    <w:rsid w:val="00280843"/>
    <w:rsid w:val="00280888"/>
    <w:rsid w:val="002808A2"/>
    <w:rsid w:val="00280921"/>
    <w:rsid w:val="0028103C"/>
    <w:rsid w:val="0028118C"/>
    <w:rsid w:val="002813B2"/>
    <w:rsid w:val="0028171E"/>
    <w:rsid w:val="002818F6"/>
    <w:rsid w:val="00281F9E"/>
    <w:rsid w:val="00282311"/>
    <w:rsid w:val="00282ACF"/>
    <w:rsid w:val="00282B42"/>
    <w:rsid w:val="00282BBF"/>
    <w:rsid w:val="00282C96"/>
    <w:rsid w:val="00282D73"/>
    <w:rsid w:val="00282DCA"/>
    <w:rsid w:val="00282DD3"/>
    <w:rsid w:val="00282E8C"/>
    <w:rsid w:val="00282F48"/>
    <w:rsid w:val="00283314"/>
    <w:rsid w:val="002836CA"/>
    <w:rsid w:val="00283758"/>
    <w:rsid w:val="00283BC6"/>
    <w:rsid w:val="00283C8B"/>
    <w:rsid w:val="00283CFA"/>
    <w:rsid w:val="00283F70"/>
    <w:rsid w:val="002840C1"/>
    <w:rsid w:val="00284630"/>
    <w:rsid w:val="00284979"/>
    <w:rsid w:val="00284AB0"/>
    <w:rsid w:val="00284E0C"/>
    <w:rsid w:val="00284E80"/>
    <w:rsid w:val="00285162"/>
    <w:rsid w:val="002851EF"/>
    <w:rsid w:val="00285240"/>
    <w:rsid w:val="00285461"/>
    <w:rsid w:val="00285464"/>
    <w:rsid w:val="0028556E"/>
    <w:rsid w:val="0028556F"/>
    <w:rsid w:val="00285595"/>
    <w:rsid w:val="0028610D"/>
    <w:rsid w:val="0028632E"/>
    <w:rsid w:val="00286470"/>
    <w:rsid w:val="00286474"/>
    <w:rsid w:val="0028675F"/>
    <w:rsid w:val="0028685F"/>
    <w:rsid w:val="00286A30"/>
    <w:rsid w:val="00286AB8"/>
    <w:rsid w:val="00286B1C"/>
    <w:rsid w:val="00286E9F"/>
    <w:rsid w:val="00286FE2"/>
    <w:rsid w:val="0028704E"/>
    <w:rsid w:val="002878D5"/>
    <w:rsid w:val="00290015"/>
    <w:rsid w:val="002900AF"/>
    <w:rsid w:val="00290C09"/>
    <w:rsid w:val="00290FAC"/>
    <w:rsid w:val="00291511"/>
    <w:rsid w:val="002918A3"/>
    <w:rsid w:val="00291AA1"/>
    <w:rsid w:val="00291D9D"/>
    <w:rsid w:val="00291EA5"/>
    <w:rsid w:val="00291F26"/>
    <w:rsid w:val="00291FDB"/>
    <w:rsid w:val="0029209F"/>
    <w:rsid w:val="0029221C"/>
    <w:rsid w:val="002924C0"/>
    <w:rsid w:val="00292571"/>
    <w:rsid w:val="0029264F"/>
    <w:rsid w:val="0029298A"/>
    <w:rsid w:val="00292A22"/>
    <w:rsid w:val="00292D16"/>
    <w:rsid w:val="00292DFE"/>
    <w:rsid w:val="00293285"/>
    <w:rsid w:val="0029335C"/>
    <w:rsid w:val="00293740"/>
    <w:rsid w:val="002938D8"/>
    <w:rsid w:val="00293C49"/>
    <w:rsid w:val="00293ED0"/>
    <w:rsid w:val="00293FCF"/>
    <w:rsid w:val="00294215"/>
    <w:rsid w:val="00294AAC"/>
    <w:rsid w:val="00294BF6"/>
    <w:rsid w:val="00294F91"/>
    <w:rsid w:val="00294FB9"/>
    <w:rsid w:val="0029583D"/>
    <w:rsid w:val="0029591E"/>
    <w:rsid w:val="00295BAA"/>
    <w:rsid w:val="00295FC5"/>
    <w:rsid w:val="0029607E"/>
    <w:rsid w:val="00296144"/>
    <w:rsid w:val="002961C4"/>
    <w:rsid w:val="002963CE"/>
    <w:rsid w:val="00296599"/>
    <w:rsid w:val="002966B8"/>
    <w:rsid w:val="002966E1"/>
    <w:rsid w:val="00296D44"/>
    <w:rsid w:val="00296E37"/>
    <w:rsid w:val="00296E3A"/>
    <w:rsid w:val="00296E50"/>
    <w:rsid w:val="00297105"/>
    <w:rsid w:val="0029720B"/>
    <w:rsid w:val="0029739D"/>
    <w:rsid w:val="0029747E"/>
    <w:rsid w:val="0029752E"/>
    <w:rsid w:val="002976FE"/>
    <w:rsid w:val="0029786F"/>
    <w:rsid w:val="00297A64"/>
    <w:rsid w:val="00297F12"/>
    <w:rsid w:val="002A011A"/>
    <w:rsid w:val="002A0630"/>
    <w:rsid w:val="002A069F"/>
    <w:rsid w:val="002A0C1D"/>
    <w:rsid w:val="002A0E61"/>
    <w:rsid w:val="002A0F17"/>
    <w:rsid w:val="002A0FA6"/>
    <w:rsid w:val="002A10A1"/>
    <w:rsid w:val="002A1581"/>
    <w:rsid w:val="002A1593"/>
    <w:rsid w:val="002A18E4"/>
    <w:rsid w:val="002A1942"/>
    <w:rsid w:val="002A1C76"/>
    <w:rsid w:val="002A1FD3"/>
    <w:rsid w:val="002A20FA"/>
    <w:rsid w:val="002A25A6"/>
    <w:rsid w:val="002A2684"/>
    <w:rsid w:val="002A2C07"/>
    <w:rsid w:val="002A3002"/>
    <w:rsid w:val="002A30A0"/>
    <w:rsid w:val="002A30DE"/>
    <w:rsid w:val="002A3192"/>
    <w:rsid w:val="002A334C"/>
    <w:rsid w:val="002A33C0"/>
    <w:rsid w:val="002A3415"/>
    <w:rsid w:val="002A3513"/>
    <w:rsid w:val="002A3552"/>
    <w:rsid w:val="002A3567"/>
    <w:rsid w:val="002A3762"/>
    <w:rsid w:val="002A38B3"/>
    <w:rsid w:val="002A3971"/>
    <w:rsid w:val="002A3AFA"/>
    <w:rsid w:val="002A3D96"/>
    <w:rsid w:val="002A4148"/>
    <w:rsid w:val="002A44A8"/>
    <w:rsid w:val="002A45A0"/>
    <w:rsid w:val="002A4695"/>
    <w:rsid w:val="002A4721"/>
    <w:rsid w:val="002A4797"/>
    <w:rsid w:val="002A48AA"/>
    <w:rsid w:val="002A4966"/>
    <w:rsid w:val="002A4F6C"/>
    <w:rsid w:val="002A502B"/>
    <w:rsid w:val="002A50C4"/>
    <w:rsid w:val="002A51B3"/>
    <w:rsid w:val="002A545E"/>
    <w:rsid w:val="002A5488"/>
    <w:rsid w:val="002A54E9"/>
    <w:rsid w:val="002A5556"/>
    <w:rsid w:val="002A557F"/>
    <w:rsid w:val="002A5918"/>
    <w:rsid w:val="002A5D84"/>
    <w:rsid w:val="002A5EE0"/>
    <w:rsid w:val="002A5FBB"/>
    <w:rsid w:val="002A5FEC"/>
    <w:rsid w:val="002A698C"/>
    <w:rsid w:val="002A6DA1"/>
    <w:rsid w:val="002A6F91"/>
    <w:rsid w:val="002A7164"/>
    <w:rsid w:val="002A721D"/>
    <w:rsid w:val="002A753A"/>
    <w:rsid w:val="002A753D"/>
    <w:rsid w:val="002A7909"/>
    <w:rsid w:val="002A7971"/>
    <w:rsid w:val="002A7AEA"/>
    <w:rsid w:val="002A7C85"/>
    <w:rsid w:val="002A7CB9"/>
    <w:rsid w:val="002A7CC5"/>
    <w:rsid w:val="002A7CD8"/>
    <w:rsid w:val="002A7E91"/>
    <w:rsid w:val="002A7F66"/>
    <w:rsid w:val="002B0172"/>
    <w:rsid w:val="002B0204"/>
    <w:rsid w:val="002B027E"/>
    <w:rsid w:val="002B0344"/>
    <w:rsid w:val="002B04E8"/>
    <w:rsid w:val="002B06BB"/>
    <w:rsid w:val="002B06D1"/>
    <w:rsid w:val="002B08A6"/>
    <w:rsid w:val="002B0A93"/>
    <w:rsid w:val="002B0E12"/>
    <w:rsid w:val="002B13CE"/>
    <w:rsid w:val="002B1775"/>
    <w:rsid w:val="002B1FCB"/>
    <w:rsid w:val="002B21F8"/>
    <w:rsid w:val="002B241A"/>
    <w:rsid w:val="002B248C"/>
    <w:rsid w:val="002B2BA5"/>
    <w:rsid w:val="002B2C0F"/>
    <w:rsid w:val="002B2CAA"/>
    <w:rsid w:val="002B2DAC"/>
    <w:rsid w:val="002B31C7"/>
    <w:rsid w:val="002B3533"/>
    <w:rsid w:val="002B3557"/>
    <w:rsid w:val="002B3646"/>
    <w:rsid w:val="002B3CD3"/>
    <w:rsid w:val="002B3E94"/>
    <w:rsid w:val="002B3FD6"/>
    <w:rsid w:val="002B43DF"/>
    <w:rsid w:val="002B453B"/>
    <w:rsid w:val="002B48BF"/>
    <w:rsid w:val="002B4A6B"/>
    <w:rsid w:val="002B4B72"/>
    <w:rsid w:val="002B4BC7"/>
    <w:rsid w:val="002B4C9F"/>
    <w:rsid w:val="002B4DC7"/>
    <w:rsid w:val="002B4E30"/>
    <w:rsid w:val="002B501C"/>
    <w:rsid w:val="002B5326"/>
    <w:rsid w:val="002B54BF"/>
    <w:rsid w:val="002B550C"/>
    <w:rsid w:val="002B5855"/>
    <w:rsid w:val="002B5990"/>
    <w:rsid w:val="002B5E8A"/>
    <w:rsid w:val="002B6019"/>
    <w:rsid w:val="002B614F"/>
    <w:rsid w:val="002B64A4"/>
    <w:rsid w:val="002B6556"/>
    <w:rsid w:val="002B6C49"/>
    <w:rsid w:val="002B6C65"/>
    <w:rsid w:val="002B6EEF"/>
    <w:rsid w:val="002B738F"/>
    <w:rsid w:val="002B7501"/>
    <w:rsid w:val="002B7508"/>
    <w:rsid w:val="002B75BF"/>
    <w:rsid w:val="002B7792"/>
    <w:rsid w:val="002B7970"/>
    <w:rsid w:val="002B7A0A"/>
    <w:rsid w:val="002B7A58"/>
    <w:rsid w:val="002B7D00"/>
    <w:rsid w:val="002C04F0"/>
    <w:rsid w:val="002C0653"/>
    <w:rsid w:val="002C0A34"/>
    <w:rsid w:val="002C0B69"/>
    <w:rsid w:val="002C0E62"/>
    <w:rsid w:val="002C0FF3"/>
    <w:rsid w:val="002C1050"/>
    <w:rsid w:val="002C1785"/>
    <w:rsid w:val="002C17AB"/>
    <w:rsid w:val="002C17AE"/>
    <w:rsid w:val="002C187D"/>
    <w:rsid w:val="002C210F"/>
    <w:rsid w:val="002C225F"/>
    <w:rsid w:val="002C2312"/>
    <w:rsid w:val="002C2AE0"/>
    <w:rsid w:val="002C3592"/>
    <w:rsid w:val="002C3694"/>
    <w:rsid w:val="002C372D"/>
    <w:rsid w:val="002C3EC1"/>
    <w:rsid w:val="002C3F3E"/>
    <w:rsid w:val="002C3FA0"/>
    <w:rsid w:val="002C408B"/>
    <w:rsid w:val="002C42F1"/>
    <w:rsid w:val="002C461E"/>
    <w:rsid w:val="002C4A6F"/>
    <w:rsid w:val="002C4A97"/>
    <w:rsid w:val="002C4CDE"/>
    <w:rsid w:val="002C4ED6"/>
    <w:rsid w:val="002C5176"/>
    <w:rsid w:val="002C566C"/>
    <w:rsid w:val="002C5AE4"/>
    <w:rsid w:val="002C5B5C"/>
    <w:rsid w:val="002C5D7C"/>
    <w:rsid w:val="002C5D8D"/>
    <w:rsid w:val="002C5EC0"/>
    <w:rsid w:val="002C6130"/>
    <w:rsid w:val="002C64CB"/>
    <w:rsid w:val="002C686A"/>
    <w:rsid w:val="002C6E0F"/>
    <w:rsid w:val="002C74C3"/>
    <w:rsid w:val="002C7644"/>
    <w:rsid w:val="002C76E4"/>
    <w:rsid w:val="002C7771"/>
    <w:rsid w:val="002C783E"/>
    <w:rsid w:val="002C78C1"/>
    <w:rsid w:val="002C7AC9"/>
    <w:rsid w:val="002C7CCC"/>
    <w:rsid w:val="002C7E10"/>
    <w:rsid w:val="002C7E9C"/>
    <w:rsid w:val="002D0720"/>
    <w:rsid w:val="002D08F7"/>
    <w:rsid w:val="002D0C10"/>
    <w:rsid w:val="002D0C6E"/>
    <w:rsid w:val="002D1012"/>
    <w:rsid w:val="002D1322"/>
    <w:rsid w:val="002D155A"/>
    <w:rsid w:val="002D1CD9"/>
    <w:rsid w:val="002D1DCE"/>
    <w:rsid w:val="002D1E46"/>
    <w:rsid w:val="002D1ECE"/>
    <w:rsid w:val="002D1FA5"/>
    <w:rsid w:val="002D2009"/>
    <w:rsid w:val="002D207F"/>
    <w:rsid w:val="002D2647"/>
    <w:rsid w:val="002D28C6"/>
    <w:rsid w:val="002D2B81"/>
    <w:rsid w:val="002D2B9C"/>
    <w:rsid w:val="002D2EA8"/>
    <w:rsid w:val="002D361A"/>
    <w:rsid w:val="002D39FB"/>
    <w:rsid w:val="002D3DFB"/>
    <w:rsid w:val="002D4063"/>
    <w:rsid w:val="002D448F"/>
    <w:rsid w:val="002D4587"/>
    <w:rsid w:val="002D4669"/>
    <w:rsid w:val="002D4CE8"/>
    <w:rsid w:val="002D4CED"/>
    <w:rsid w:val="002D4F54"/>
    <w:rsid w:val="002D54CD"/>
    <w:rsid w:val="002D5513"/>
    <w:rsid w:val="002D57A6"/>
    <w:rsid w:val="002D57F8"/>
    <w:rsid w:val="002D5848"/>
    <w:rsid w:val="002D6001"/>
    <w:rsid w:val="002D623C"/>
    <w:rsid w:val="002D647B"/>
    <w:rsid w:val="002D6606"/>
    <w:rsid w:val="002D693C"/>
    <w:rsid w:val="002D6B71"/>
    <w:rsid w:val="002D7228"/>
    <w:rsid w:val="002D7268"/>
    <w:rsid w:val="002D746E"/>
    <w:rsid w:val="002D7530"/>
    <w:rsid w:val="002D75AD"/>
    <w:rsid w:val="002D76B8"/>
    <w:rsid w:val="002D7E6F"/>
    <w:rsid w:val="002D7FF1"/>
    <w:rsid w:val="002E00F5"/>
    <w:rsid w:val="002E03A1"/>
    <w:rsid w:val="002E03D1"/>
    <w:rsid w:val="002E055D"/>
    <w:rsid w:val="002E06CA"/>
    <w:rsid w:val="002E1F5D"/>
    <w:rsid w:val="002E1F6F"/>
    <w:rsid w:val="002E2118"/>
    <w:rsid w:val="002E2729"/>
    <w:rsid w:val="002E27D9"/>
    <w:rsid w:val="002E28CB"/>
    <w:rsid w:val="002E2934"/>
    <w:rsid w:val="002E2A9D"/>
    <w:rsid w:val="002E3205"/>
    <w:rsid w:val="002E3478"/>
    <w:rsid w:val="002E353D"/>
    <w:rsid w:val="002E3575"/>
    <w:rsid w:val="002E3EB2"/>
    <w:rsid w:val="002E3F7A"/>
    <w:rsid w:val="002E42A5"/>
    <w:rsid w:val="002E449A"/>
    <w:rsid w:val="002E4659"/>
    <w:rsid w:val="002E4696"/>
    <w:rsid w:val="002E4BC8"/>
    <w:rsid w:val="002E505B"/>
    <w:rsid w:val="002E517B"/>
    <w:rsid w:val="002E52B5"/>
    <w:rsid w:val="002E54A7"/>
    <w:rsid w:val="002E57FD"/>
    <w:rsid w:val="002E5806"/>
    <w:rsid w:val="002E5A00"/>
    <w:rsid w:val="002E5A0A"/>
    <w:rsid w:val="002E5DDB"/>
    <w:rsid w:val="002E5E62"/>
    <w:rsid w:val="002E5EDE"/>
    <w:rsid w:val="002E62CF"/>
    <w:rsid w:val="002E6362"/>
    <w:rsid w:val="002E6711"/>
    <w:rsid w:val="002E69F1"/>
    <w:rsid w:val="002E6AD4"/>
    <w:rsid w:val="002E6BBD"/>
    <w:rsid w:val="002E6BC5"/>
    <w:rsid w:val="002E6BFC"/>
    <w:rsid w:val="002E72DF"/>
    <w:rsid w:val="002E747F"/>
    <w:rsid w:val="002E78C6"/>
    <w:rsid w:val="002E7BB9"/>
    <w:rsid w:val="002E7C3F"/>
    <w:rsid w:val="002E7C71"/>
    <w:rsid w:val="002E7D1F"/>
    <w:rsid w:val="002E7D49"/>
    <w:rsid w:val="002E7E7D"/>
    <w:rsid w:val="002E7EFD"/>
    <w:rsid w:val="002F0D25"/>
    <w:rsid w:val="002F112B"/>
    <w:rsid w:val="002F11CE"/>
    <w:rsid w:val="002F127A"/>
    <w:rsid w:val="002F1511"/>
    <w:rsid w:val="002F1AC6"/>
    <w:rsid w:val="002F1DD2"/>
    <w:rsid w:val="002F227C"/>
    <w:rsid w:val="002F26BF"/>
    <w:rsid w:val="002F28D5"/>
    <w:rsid w:val="002F2A0F"/>
    <w:rsid w:val="002F2CD5"/>
    <w:rsid w:val="002F2CFE"/>
    <w:rsid w:val="002F321C"/>
    <w:rsid w:val="002F3260"/>
    <w:rsid w:val="002F340B"/>
    <w:rsid w:val="002F34B3"/>
    <w:rsid w:val="002F37D4"/>
    <w:rsid w:val="002F38D2"/>
    <w:rsid w:val="002F3A54"/>
    <w:rsid w:val="002F3CAE"/>
    <w:rsid w:val="002F3D94"/>
    <w:rsid w:val="002F3DB9"/>
    <w:rsid w:val="002F40A0"/>
    <w:rsid w:val="002F4111"/>
    <w:rsid w:val="002F4131"/>
    <w:rsid w:val="002F4307"/>
    <w:rsid w:val="002F44D0"/>
    <w:rsid w:val="002F46D8"/>
    <w:rsid w:val="002F4EC9"/>
    <w:rsid w:val="002F4F22"/>
    <w:rsid w:val="002F4FA5"/>
    <w:rsid w:val="002F51C7"/>
    <w:rsid w:val="002F5217"/>
    <w:rsid w:val="002F55AB"/>
    <w:rsid w:val="002F59AF"/>
    <w:rsid w:val="002F5E0F"/>
    <w:rsid w:val="002F5E7C"/>
    <w:rsid w:val="002F63C9"/>
    <w:rsid w:val="002F6473"/>
    <w:rsid w:val="002F6575"/>
    <w:rsid w:val="002F6B44"/>
    <w:rsid w:val="002F6C00"/>
    <w:rsid w:val="002F6FDB"/>
    <w:rsid w:val="002F722F"/>
    <w:rsid w:val="002F7299"/>
    <w:rsid w:val="002F7365"/>
    <w:rsid w:val="002F757D"/>
    <w:rsid w:val="002F779C"/>
    <w:rsid w:val="002F77D3"/>
    <w:rsid w:val="002F7883"/>
    <w:rsid w:val="002F7A10"/>
    <w:rsid w:val="002F7A9B"/>
    <w:rsid w:val="002F7B29"/>
    <w:rsid w:val="002F7CBF"/>
    <w:rsid w:val="002F7D30"/>
    <w:rsid w:val="002F7F56"/>
    <w:rsid w:val="003000C8"/>
    <w:rsid w:val="00300879"/>
    <w:rsid w:val="00300BDC"/>
    <w:rsid w:val="00300CE8"/>
    <w:rsid w:val="00300E10"/>
    <w:rsid w:val="00300E29"/>
    <w:rsid w:val="00300F8D"/>
    <w:rsid w:val="0030114A"/>
    <w:rsid w:val="003011F0"/>
    <w:rsid w:val="003011F5"/>
    <w:rsid w:val="0030142F"/>
    <w:rsid w:val="00301568"/>
    <w:rsid w:val="003019B2"/>
    <w:rsid w:val="00301AB3"/>
    <w:rsid w:val="00301C50"/>
    <w:rsid w:val="00301D8C"/>
    <w:rsid w:val="00301DB6"/>
    <w:rsid w:val="00301F12"/>
    <w:rsid w:val="00302004"/>
    <w:rsid w:val="00302151"/>
    <w:rsid w:val="003021E9"/>
    <w:rsid w:val="0030255F"/>
    <w:rsid w:val="00302662"/>
    <w:rsid w:val="00302693"/>
    <w:rsid w:val="003028DF"/>
    <w:rsid w:val="00302954"/>
    <w:rsid w:val="00302A58"/>
    <w:rsid w:val="00302AEA"/>
    <w:rsid w:val="00302B67"/>
    <w:rsid w:val="00302D43"/>
    <w:rsid w:val="00302DE9"/>
    <w:rsid w:val="00302EF7"/>
    <w:rsid w:val="0030308F"/>
    <w:rsid w:val="00303141"/>
    <w:rsid w:val="003037FB"/>
    <w:rsid w:val="00303859"/>
    <w:rsid w:val="00303A95"/>
    <w:rsid w:val="00303B3E"/>
    <w:rsid w:val="00303F65"/>
    <w:rsid w:val="003043CF"/>
    <w:rsid w:val="003048D6"/>
    <w:rsid w:val="00304930"/>
    <w:rsid w:val="00304B16"/>
    <w:rsid w:val="00304B34"/>
    <w:rsid w:val="00304B4F"/>
    <w:rsid w:val="003050BE"/>
    <w:rsid w:val="003050E3"/>
    <w:rsid w:val="003052D9"/>
    <w:rsid w:val="003053AA"/>
    <w:rsid w:val="00305BAE"/>
    <w:rsid w:val="00305C23"/>
    <w:rsid w:val="00305CE3"/>
    <w:rsid w:val="00305D7A"/>
    <w:rsid w:val="00305DF8"/>
    <w:rsid w:val="00305E20"/>
    <w:rsid w:val="00305E90"/>
    <w:rsid w:val="00306112"/>
    <w:rsid w:val="0030612E"/>
    <w:rsid w:val="003063C3"/>
    <w:rsid w:val="00306542"/>
    <w:rsid w:val="0030655B"/>
    <w:rsid w:val="0030655E"/>
    <w:rsid w:val="00306780"/>
    <w:rsid w:val="003068BB"/>
    <w:rsid w:val="00306907"/>
    <w:rsid w:val="00306A4F"/>
    <w:rsid w:val="00306B19"/>
    <w:rsid w:val="0030703D"/>
    <w:rsid w:val="00307201"/>
    <w:rsid w:val="00307285"/>
    <w:rsid w:val="003075C8"/>
    <w:rsid w:val="0030788F"/>
    <w:rsid w:val="00307980"/>
    <w:rsid w:val="00307C5A"/>
    <w:rsid w:val="00307DB1"/>
    <w:rsid w:val="00307DC2"/>
    <w:rsid w:val="00307E93"/>
    <w:rsid w:val="00310173"/>
    <w:rsid w:val="0031021F"/>
    <w:rsid w:val="003103DA"/>
    <w:rsid w:val="003103E4"/>
    <w:rsid w:val="00310886"/>
    <w:rsid w:val="003109E2"/>
    <w:rsid w:val="00310E8C"/>
    <w:rsid w:val="00310F0A"/>
    <w:rsid w:val="00311048"/>
    <w:rsid w:val="003112F1"/>
    <w:rsid w:val="00311A5B"/>
    <w:rsid w:val="00311A6F"/>
    <w:rsid w:val="00311B1F"/>
    <w:rsid w:val="003123FD"/>
    <w:rsid w:val="00312682"/>
    <w:rsid w:val="00312901"/>
    <w:rsid w:val="003129F4"/>
    <w:rsid w:val="00312D8C"/>
    <w:rsid w:val="00312FE8"/>
    <w:rsid w:val="0031314E"/>
    <w:rsid w:val="0031351C"/>
    <w:rsid w:val="00313604"/>
    <w:rsid w:val="0031372B"/>
    <w:rsid w:val="00313905"/>
    <w:rsid w:val="00313E6D"/>
    <w:rsid w:val="00313EEE"/>
    <w:rsid w:val="00313F8C"/>
    <w:rsid w:val="0031418C"/>
    <w:rsid w:val="00314511"/>
    <w:rsid w:val="0031492C"/>
    <w:rsid w:val="00314CF4"/>
    <w:rsid w:val="00314E33"/>
    <w:rsid w:val="00315308"/>
    <w:rsid w:val="00315386"/>
    <w:rsid w:val="0031538B"/>
    <w:rsid w:val="0031568E"/>
    <w:rsid w:val="00315B9A"/>
    <w:rsid w:val="00315E7B"/>
    <w:rsid w:val="00315FFC"/>
    <w:rsid w:val="00316338"/>
    <w:rsid w:val="0031659A"/>
    <w:rsid w:val="00316628"/>
    <w:rsid w:val="003166F8"/>
    <w:rsid w:val="00316794"/>
    <w:rsid w:val="00316D04"/>
    <w:rsid w:val="00316FF0"/>
    <w:rsid w:val="0031726D"/>
    <w:rsid w:val="003173CA"/>
    <w:rsid w:val="003174B6"/>
    <w:rsid w:val="003174D5"/>
    <w:rsid w:val="003175AB"/>
    <w:rsid w:val="0031774B"/>
    <w:rsid w:val="00317BB7"/>
    <w:rsid w:val="00317DFA"/>
    <w:rsid w:val="003204DA"/>
    <w:rsid w:val="00320818"/>
    <w:rsid w:val="00320CA7"/>
    <w:rsid w:val="00320D7B"/>
    <w:rsid w:val="00320EE2"/>
    <w:rsid w:val="0032103D"/>
    <w:rsid w:val="00321100"/>
    <w:rsid w:val="00321103"/>
    <w:rsid w:val="0032177E"/>
    <w:rsid w:val="00321869"/>
    <w:rsid w:val="0032192E"/>
    <w:rsid w:val="003219FB"/>
    <w:rsid w:val="00321F17"/>
    <w:rsid w:val="003220F7"/>
    <w:rsid w:val="00322477"/>
    <w:rsid w:val="0032278F"/>
    <w:rsid w:val="00322878"/>
    <w:rsid w:val="00322E0F"/>
    <w:rsid w:val="003232F5"/>
    <w:rsid w:val="003233D5"/>
    <w:rsid w:val="00323476"/>
    <w:rsid w:val="00323980"/>
    <w:rsid w:val="003239DA"/>
    <w:rsid w:val="00323A70"/>
    <w:rsid w:val="00323C01"/>
    <w:rsid w:val="003242EA"/>
    <w:rsid w:val="00324864"/>
    <w:rsid w:val="00324A85"/>
    <w:rsid w:val="00324B16"/>
    <w:rsid w:val="00324C6C"/>
    <w:rsid w:val="00324CA8"/>
    <w:rsid w:val="00325106"/>
    <w:rsid w:val="0032543E"/>
    <w:rsid w:val="003257C2"/>
    <w:rsid w:val="003258B5"/>
    <w:rsid w:val="00325ADB"/>
    <w:rsid w:val="00325B80"/>
    <w:rsid w:val="00325C87"/>
    <w:rsid w:val="00325CAD"/>
    <w:rsid w:val="00325FEB"/>
    <w:rsid w:val="00326125"/>
    <w:rsid w:val="0032612A"/>
    <w:rsid w:val="0032637A"/>
    <w:rsid w:val="003266C7"/>
    <w:rsid w:val="003267EE"/>
    <w:rsid w:val="00326954"/>
    <w:rsid w:val="00326FC2"/>
    <w:rsid w:val="00327070"/>
    <w:rsid w:val="003271FB"/>
    <w:rsid w:val="0032726F"/>
    <w:rsid w:val="003275A7"/>
    <w:rsid w:val="0032792C"/>
    <w:rsid w:val="00327A11"/>
    <w:rsid w:val="00327B6C"/>
    <w:rsid w:val="00327D5C"/>
    <w:rsid w:val="00327F2A"/>
    <w:rsid w:val="0033043D"/>
    <w:rsid w:val="0033054B"/>
    <w:rsid w:val="00330571"/>
    <w:rsid w:val="00330793"/>
    <w:rsid w:val="00330BC9"/>
    <w:rsid w:val="00330DE8"/>
    <w:rsid w:val="00330FA8"/>
    <w:rsid w:val="0033145F"/>
    <w:rsid w:val="00331511"/>
    <w:rsid w:val="00331530"/>
    <w:rsid w:val="00331666"/>
    <w:rsid w:val="00331879"/>
    <w:rsid w:val="00331AE3"/>
    <w:rsid w:val="00331E7E"/>
    <w:rsid w:val="003321A5"/>
    <w:rsid w:val="00332228"/>
    <w:rsid w:val="00332319"/>
    <w:rsid w:val="003323E8"/>
    <w:rsid w:val="0033242D"/>
    <w:rsid w:val="00332444"/>
    <w:rsid w:val="0033256F"/>
    <w:rsid w:val="003325AF"/>
    <w:rsid w:val="003326E2"/>
    <w:rsid w:val="00332777"/>
    <w:rsid w:val="00332DE2"/>
    <w:rsid w:val="00332FCF"/>
    <w:rsid w:val="003332DF"/>
    <w:rsid w:val="0033346E"/>
    <w:rsid w:val="00334180"/>
    <w:rsid w:val="003342B6"/>
    <w:rsid w:val="00334656"/>
    <w:rsid w:val="0033486A"/>
    <w:rsid w:val="0033497B"/>
    <w:rsid w:val="00334AA4"/>
    <w:rsid w:val="00334C0B"/>
    <w:rsid w:val="00334C31"/>
    <w:rsid w:val="00334C7E"/>
    <w:rsid w:val="00334D79"/>
    <w:rsid w:val="00334DAF"/>
    <w:rsid w:val="00334FA6"/>
    <w:rsid w:val="00335301"/>
    <w:rsid w:val="0033570F"/>
    <w:rsid w:val="003358CA"/>
    <w:rsid w:val="00335CE7"/>
    <w:rsid w:val="003364C6"/>
    <w:rsid w:val="00336540"/>
    <w:rsid w:val="00336A1B"/>
    <w:rsid w:val="00336B87"/>
    <w:rsid w:val="00336C08"/>
    <w:rsid w:val="00336DBB"/>
    <w:rsid w:val="00336E59"/>
    <w:rsid w:val="0033705E"/>
    <w:rsid w:val="0033741E"/>
    <w:rsid w:val="00337944"/>
    <w:rsid w:val="0033797E"/>
    <w:rsid w:val="00337B5D"/>
    <w:rsid w:val="00337D95"/>
    <w:rsid w:val="00337F58"/>
    <w:rsid w:val="0034033E"/>
    <w:rsid w:val="003403DF"/>
    <w:rsid w:val="00340508"/>
    <w:rsid w:val="0034057A"/>
    <w:rsid w:val="003406FE"/>
    <w:rsid w:val="00340988"/>
    <w:rsid w:val="0034099E"/>
    <w:rsid w:val="00340B45"/>
    <w:rsid w:val="00340BAF"/>
    <w:rsid w:val="00340C70"/>
    <w:rsid w:val="00340FD0"/>
    <w:rsid w:val="003410D8"/>
    <w:rsid w:val="00341959"/>
    <w:rsid w:val="00341AB1"/>
    <w:rsid w:val="00341EB3"/>
    <w:rsid w:val="00341F7C"/>
    <w:rsid w:val="00341FB6"/>
    <w:rsid w:val="003421EB"/>
    <w:rsid w:val="003427DC"/>
    <w:rsid w:val="00342AB7"/>
    <w:rsid w:val="00342B6D"/>
    <w:rsid w:val="00342B95"/>
    <w:rsid w:val="00342CAA"/>
    <w:rsid w:val="00342FB6"/>
    <w:rsid w:val="003432B9"/>
    <w:rsid w:val="003436DE"/>
    <w:rsid w:val="003438C4"/>
    <w:rsid w:val="0034391D"/>
    <w:rsid w:val="00343940"/>
    <w:rsid w:val="00343A95"/>
    <w:rsid w:val="00343DB0"/>
    <w:rsid w:val="0034426D"/>
    <w:rsid w:val="003446E9"/>
    <w:rsid w:val="00344AE6"/>
    <w:rsid w:val="00344C12"/>
    <w:rsid w:val="00344C1D"/>
    <w:rsid w:val="00344C6A"/>
    <w:rsid w:val="00344CBA"/>
    <w:rsid w:val="00344ECC"/>
    <w:rsid w:val="00344F69"/>
    <w:rsid w:val="0034507B"/>
    <w:rsid w:val="003453FC"/>
    <w:rsid w:val="00345458"/>
    <w:rsid w:val="003454B5"/>
    <w:rsid w:val="00345613"/>
    <w:rsid w:val="003458DC"/>
    <w:rsid w:val="00345977"/>
    <w:rsid w:val="00345BFD"/>
    <w:rsid w:val="00345D3F"/>
    <w:rsid w:val="00345DD7"/>
    <w:rsid w:val="0034617B"/>
    <w:rsid w:val="003466E1"/>
    <w:rsid w:val="0034674D"/>
    <w:rsid w:val="00346989"/>
    <w:rsid w:val="00346995"/>
    <w:rsid w:val="00346A4F"/>
    <w:rsid w:val="00346CAB"/>
    <w:rsid w:val="00346CD7"/>
    <w:rsid w:val="00346DDA"/>
    <w:rsid w:val="00346DF8"/>
    <w:rsid w:val="00346E23"/>
    <w:rsid w:val="003473EC"/>
    <w:rsid w:val="00347441"/>
    <w:rsid w:val="00347448"/>
    <w:rsid w:val="0034748D"/>
    <w:rsid w:val="003475E1"/>
    <w:rsid w:val="00347658"/>
    <w:rsid w:val="003476FC"/>
    <w:rsid w:val="00347F48"/>
    <w:rsid w:val="003501EC"/>
    <w:rsid w:val="00350BFC"/>
    <w:rsid w:val="00350DCB"/>
    <w:rsid w:val="00350F5C"/>
    <w:rsid w:val="00350FCB"/>
    <w:rsid w:val="00351022"/>
    <w:rsid w:val="003511A6"/>
    <w:rsid w:val="00351583"/>
    <w:rsid w:val="00351AC3"/>
    <w:rsid w:val="00351B83"/>
    <w:rsid w:val="00351C48"/>
    <w:rsid w:val="00351C86"/>
    <w:rsid w:val="00351E43"/>
    <w:rsid w:val="00351FCA"/>
    <w:rsid w:val="00352B7E"/>
    <w:rsid w:val="00352C3F"/>
    <w:rsid w:val="00352C5C"/>
    <w:rsid w:val="00353328"/>
    <w:rsid w:val="00353344"/>
    <w:rsid w:val="00353A94"/>
    <w:rsid w:val="00353BB4"/>
    <w:rsid w:val="00353ED5"/>
    <w:rsid w:val="003540C7"/>
    <w:rsid w:val="003542D1"/>
    <w:rsid w:val="00354365"/>
    <w:rsid w:val="00354462"/>
    <w:rsid w:val="003544C2"/>
    <w:rsid w:val="00354558"/>
    <w:rsid w:val="00354690"/>
    <w:rsid w:val="00354BDD"/>
    <w:rsid w:val="00354C17"/>
    <w:rsid w:val="00354C5A"/>
    <w:rsid w:val="00355645"/>
    <w:rsid w:val="003556A9"/>
    <w:rsid w:val="003558F3"/>
    <w:rsid w:val="00355F01"/>
    <w:rsid w:val="003563C2"/>
    <w:rsid w:val="0035641F"/>
    <w:rsid w:val="00356A26"/>
    <w:rsid w:val="00356B90"/>
    <w:rsid w:val="00356CFF"/>
    <w:rsid w:val="0035701B"/>
    <w:rsid w:val="0035715F"/>
    <w:rsid w:val="003571B6"/>
    <w:rsid w:val="003574BF"/>
    <w:rsid w:val="00357523"/>
    <w:rsid w:val="00357813"/>
    <w:rsid w:val="003578D1"/>
    <w:rsid w:val="003579EF"/>
    <w:rsid w:val="00357A55"/>
    <w:rsid w:val="00357C69"/>
    <w:rsid w:val="0036005A"/>
    <w:rsid w:val="00360177"/>
    <w:rsid w:val="00360570"/>
    <w:rsid w:val="003606E6"/>
    <w:rsid w:val="0036076A"/>
    <w:rsid w:val="00360911"/>
    <w:rsid w:val="00360C7F"/>
    <w:rsid w:val="00360CF2"/>
    <w:rsid w:val="00360D2A"/>
    <w:rsid w:val="00360E56"/>
    <w:rsid w:val="00360F36"/>
    <w:rsid w:val="00360F56"/>
    <w:rsid w:val="003611AD"/>
    <w:rsid w:val="003613DD"/>
    <w:rsid w:val="00361662"/>
    <w:rsid w:val="00361694"/>
    <w:rsid w:val="0036190C"/>
    <w:rsid w:val="00361C53"/>
    <w:rsid w:val="003624FB"/>
    <w:rsid w:val="00362616"/>
    <w:rsid w:val="003626E3"/>
    <w:rsid w:val="00362750"/>
    <w:rsid w:val="003628F0"/>
    <w:rsid w:val="003629C6"/>
    <w:rsid w:val="00362A75"/>
    <w:rsid w:val="00362D3D"/>
    <w:rsid w:val="00362DBC"/>
    <w:rsid w:val="00362EC5"/>
    <w:rsid w:val="00362EE2"/>
    <w:rsid w:val="00362F21"/>
    <w:rsid w:val="003631B0"/>
    <w:rsid w:val="003631B8"/>
    <w:rsid w:val="00363A84"/>
    <w:rsid w:val="00363EFE"/>
    <w:rsid w:val="00363F90"/>
    <w:rsid w:val="003640F9"/>
    <w:rsid w:val="0036438B"/>
    <w:rsid w:val="0036474F"/>
    <w:rsid w:val="00364893"/>
    <w:rsid w:val="00364B20"/>
    <w:rsid w:val="00364CF9"/>
    <w:rsid w:val="003653A3"/>
    <w:rsid w:val="0036548E"/>
    <w:rsid w:val="003655D3"/>
    <w:rsid w:val="0036562E"/>
    <w:rsid w:val="003657E5"/>
    <w:rsid w:val="00365DFA"/>
    <w:rsid w:val="00365F9F"/>
    <w:rsid w:val="0036618F"/>
    <w:rsid w:val="003663C1"/>
    <w:rsid w:val="003664ED"/>
    <w:rsid w:val="00366687"/>
    <w:rsid w:val="0036671C"/>
    <w:rsid w:val="003667F1"/>
    <w:rsid w:val="00366F51"/>
    <w:rsid w:val="003673B8"/>
    <w:rsid w:val="003675E6"/>
    <w:rsid w:val="00367921"/>
    <w:rsid w:val="0037005F"/>
    <w:rsid w:val="003701B8"/>
    <w:rsid w:val="003702C6"/>
    <w:rsid w:val="0037037C"/>
    <w:rsid w:val="00370413"/>
    <w:rsid w:val="003705C1"/>
    <w:rsid w:val="00370652"/>
    <w:rsid w:val="00370AF1"/>
    <w:rsid w:val="00370B7D"/>
    <w:rsid w:val="00370FFE"/>
    <w:rsid w:val="00371340"/>
    <w:rsid w:val="00371452"/>
    <w:rsid w:val="00371B1F"/>
    <w:rsid w:val="00371B53"/>
    <w:rsid w:val="00371EDC"/>
    <w:rsid w:val="00371EF3"/>
    <w:rsid w:val="0037213D"/>
    <w:rsid w:val="0037267E"/>
    <w:rsid w:val="00372890"/>
    <w:rsid w:val="0037295C"/>
    <w:rsid w:val="00372EC3"/>
    <w:rsid w:val="00373006"/>
    <w:rsid w:val="00373022"/>
    <w:rsid w:val="0037307D"/>
    <w:rsid w:val="0037337E"/>
    <w:rsid w:val="0037375F"/>
    <w:rsid w:val="003737E1"/>
    <w:rsid w:val="003738CF"/>
    <w:rsid w:val="00373A43"/>
    <w:rsid w:val="00373BD9"/>
    <w:rsid w:val="00373C90"/>
    <w:rsid w:val="00373CFE"/>
    <w:rsid w:val="00373DB7"/>
    <w:rsid w:val="00374140"/>
    <w:rsid w:val="0037417A"/>
    <w:rsid w:val="00374521"/>
    <w:rsid w:val="00374875"/>
    <w:rsid w:val="00374B36"/>
    <w:rsid w:val="00374EFD"/>
    <w:rsid w:val="00375397"/>
    <w:rsid w:val="00375752"/>
    <w:rsid w:val="00375878"/>
    <w:rsid w:val="00375AF7"/>
    <w:rsid w:val="00375BB2"/>
    <w:rsid w:val="00375D63"/>
    <w:rsid w:val="00375E66"/>
    <w:rsid w:val="003762B1"/>
    <w:rsid w:val="003762D5"/>
    <w:rsid w:val="00376474"/>
    <w:rsid w:val="00376494"/>
    <w:rsid w:val="003764AB"/>
    <w:rsid w:val="003767D9"/>
    <w:rsid w:val="00376A20"/>
    <w:rsid w:val="00376FE8"/>
    <w:rsid w:val="003774CE"/>
    <w:rsid w:val="0037753C"/>
    <w:rsid w:val="003775CA"/>
    <w:rsid w:val="00377F0E"/>
    <w:rsid w:val="00380380"/>
    <w:rsid w:val="003807CB"/>
    <w:rsid w:val="00380971"/>
    <w:rsid w:val="00380AE0"/>
    <w:rsid w:val="00380AEB"/>
    <w:rsid w:val="003811CA"/>
    <w:rsid w:val="0038129B"/>
    <w:rsid w:val="00381522"/>
    <w:rsid w:val="003815AF"/>
    <w:rsid w:val="003815F0"/>
    <w:rsid w:val="003816E8"/>
    <w:rsid w:val="00381B43"/>
    <w:rsid w:val="00381BDF"/>
    <w:rsid w:val="00381C96"/>
    <w:rsid w:val="00381D0C"/>
    <w:rsid w:val="00381EFC"/>
    <w:rsid w:val="00381F9B"/>
    <w:rsid w:val="003824CA"/>
    <w:rsid w:val="00382919"/>
    <w:rsid w:val="00382A91"/>
    <w:rsid w:val="00382DE6"/>
    <w:rsid w:val="00382EFF"/>
    <w:rsid w:val="0038300A"/>
    <w:rsid w:val="003830CE"/>
    <w:rsid w:val="003830D8"/>
    <w:rsid w:val="003831EF"/>
    <w:rsid w:val="00383268"/>
    <w:rsid w:val="00383734"/>
    <w:rsid w:val="00383932"/>
    <w:rsid w:val="003839E1"/>
    <w:rsid w:val="00383ABA"/>
    <w:rsid w:val="00383D91"/>
    <w:rsid w:val="00383F06"/>
    <w:rsid w:val="003842C6"/>
    <w:rsid w:val="00384430"/>
    <w:rsid w:val="0038450A"/>
    <w:rsid w:val="00384A46"/>
    <w:rsid w:val="00384F37"/>
    <w:rsid w:val="00385294"/>
    <w:rsid w:val="0038537F"/>
    <w:rsid w:val="003856CB"/>
    <w:rsid w:val="00385A07"/>
    <w:rsid w:val="00385FEF"/>
    <w:rsid w:val="00386560"/>
    <w:rsid w:val="003866C0"/>
    <w:rsid w:val="00386826"/>
    <w:rsid w:val="003868F8"/>
    <w:rsid w:val="00386A52"/>
    <w:rsid w:val="00386A8E"/>
    <w:rsid w:val="00386B9B"/>
    <w:rsid w:val="00386DB1"/>
    <w:rsid w:val="00386F65"/>
    <w:rsid w:val="0038708A"/>
    <w:rsid w:val="0038748C"/>
    <w:rsid w:val="0038753D"/>
    <w:rsid w:val="0038778A"/>
    <w:rsid w:val="00387959"/>
    <w:rsid w:val="00387AC1"/>
    <w:rsid w:val="00387D6C"/>
    <w:rsid w:val="003904B0"/>
    <w:rsid w:val="00390688"/>
    <w:rsid w:val="0039073C"/>
    <w:rsid w:val="0039078A"/>
    <w:rsid w:val="00390A3A"/>
    <w:rsid w:val="00390BB0"/>
    <w:rsid w:val="00390D72"/>
    <w:rsid w:val="003910D3"/>
    <w:rsid w:val="003918CF"/>
    <w:rsid w:val="00391A97"/>
    <w:rsid w:val="00391CCD"/>
    <w:rsid w:val="00391E59"/>
    <w:rsid w:val="00391F73"/>
    <w:rsid w:val="00391FCB"/>
    <w:rsid w:val="0039230A"/>
    <w:rsid w:val="003923BC"/>
    <w:rsid w:val="003923F0"/>
    <w:rsid w:val="00392765"/>
    <w:rsid w:val="003929A8"/>
    <w:rsid w:val="00392ABF"/>
    <w:rsid w:val="00392BC9"/>
    <w:rsid w:val="00392C94"/>
    <w:rsid w:val="00392CF8"/>
    <w:rsid w:val="00392FB4"/>
    <w:rsid w:val="0039318B"/>
    <w:rsid w:val="0039330A"/>
    <w:rsid w:val="00393698"/>
    <w:rsid w:val="00393A4E"/>
    <w:rsid w:val="00393FE8"/>
    <w:rsid w:val="00394236"/>
    <w:rsid w:val="003947B9"/>
    <w:rsid w:val="00394B94"/>
    <w:rsid w:val="00394D7A"/>
    <w:rsid w:val="00394E8B"/>
    <w:rsid w:val="00394FAC"/>
    <w:rsid w:val="003954E4"/>
    <w:rsid w:val="00395AF7"/>
    <w:rsid w:val="00395D17"/>
    <w:rsid w:val="003962F3"/>
    <w:rsid w:val="0039653B"/>
    <w:rsid w:val="003965D5"/>
    <w:rsid w:val="00396626"/>
    <w:rsid w:val="003967CB"/>
    <w:rsid w:val="00396840"/>
    <w:rsid w:val="00396AC9"/>
    <w:rsid w:val="00396C0E"/>
    <w:rsid w:val="00396D28"/>
    <w:rsid w:val="00396D73"/>
    <w:rsid w:val="00396DD6"/>
    <w:rsid w:val="00396FD6"/>
    <w:rsid w:val="00397610"/>
    <w:rsid w:val="003978B7"/>
    <w:rsid w:val="003979A2"/>
    <w:rsid w:val="00397ACE"/>
    <w:rsid w:val="00397CEE"/>
    <w:rsid w:val="003A03ED"/>
    <w:rsid w:val="003A0C62"/>
    <w:rsid w:val="003A0CBB"/>
    <w:rsid w:val="003A1163"/>
    <w:rsid w:val="003A146A"/>
    <w:rsid w:val="003A1964"/>
    <w:rsid w:val="003A1AAB"/>
    <w:rsid w:val="003A1B19"/>
    <w:rsid w:val="003A1DA3"/>
    <w:rsid w:val="003A1DFD"/>
    <w:rsid w:val="003A1F60"/>
    <w:rsid w:val="003A2168"/>
    <w:rsid w:val="003A22CD"/>
    <w:rsid w:val="003A23E5"/>
    <w:rsid w:val="003A24AD"/>
    <w:rsid w:val="003A27DF"/>
    <w:rsid w:val="003A28BF"/>
    <w:rsid w:val="003A2AA3"/>
    <w:rsid w:val="003A2CA4"/>
    <w:rsid w:val="003A2DC6"/>
    <w:rsid w:val="003A31E6"/>
    <w:rsid w:val="003A35C3"/>
    <w:rsid w:val="003A374C"/>
    <w:rsid w:val="003A37DF"/>
    <w:rsid w:val="003A3EB2"/>
    <w:rsid w:val="003A400E"/>
    <w:rsid w:val="003A400F"/>
    <w:rsid w:val="003A401F"/>
    <w:rsid w:val="003A42A2"/>
    <w:rsid w:val="003A44BF"/>
    <w:rsid w:val="003A45A6"/>
    <w:rsid w:val="003A45BC"/>
    <w:rsid w:val="003A45D8"/>
    <w:rsid w:val="003A4801"/>
    <w:rsid w:val="003A48A6"/>
    <w:rsid w:val="003A490A"/>
    <w:rsid w:val="003A4959"/>
    <w:rsid w:val="003A497A"/>
    <w:rsid w:val="003A4989"/>
    <w:rsid w:val="003A49CF"/>
    <w:rsid w:val="003A4B14"/>
    <w:rsid w:val="003A4C1D"/>
    <w:rsid w:val="003A50C6"/>
    <w:rsid w:val="003A513A"/>
    <w:rsid w:val="003A5307"/>
    <w:rsid w:val="003A5317"/>
    <w:rsid w:val="003A53EF"/>
    <w:rsid w:val="003A5400"/>
    <w:rsid w:val="003A5554"/>
    <w:rsid w:val="003A55B0"/>
    <w:rsid w:val="003A5792"/>
    <w:rsid w:val="003A582C"/>
    <w:rsid w:val="003A5911"/>
    <w:rsid w:val="003A5AE3"/>
    <w:rsid w:val="003A5B92"/>
    <w:rsid w:val="003A5BC6"/>
    <w:rsid w:val="003A5BFB"/>
    <w:rsid w:val="003A611A"/>
    <w:rsid w:val="003A630E"/>
    <w:rsid w:val="003A6385"/>
    <w:rsid w:val="003A66E4"/>
    <w:rsid w:val="003A678B"/>
    <w:rsid w:val="003A6894"/>
    <w:rsid w:val="003A68CD"/>
    <w:rsid w:val="003A6A1E"/>
    <w:rsid w:val="003A6EA3"/>
    <w:rsid w:val="003A7135"/>
    <w:rsid w:val="003A71A8"/>
    <w:rsid w:val="003A7647"/>
    <w:rsid w:val="003A770E"/>
    <w:rsid w:val="003A7AF8"/>
    <w:rsid w:val="003A7D75"/>
    <w:rsid w:val="003A7FAC"/>
    <w:rsid w:val="003B0085"/>
    <w:rsid w:val="003B035A"/>
    <w:rsid w:val="003B038E"/>
    <w:rsid w:val="003B03AA"/>
    <w:rsid w:val="003B03D8"/>
    <w:rsid w:val="003B061C"/>
    <w:rsid w:val="003B0724"/>
    <w:rsid w:val="003B0B28"/>
    <w:rsid w:val="003B0C40"/>
    <w:rsid w:val="003B0E53"/>
    <w:rsid w:val="003B0E73"/>
    <w:rsid w:val="003B1439"/>
    <w:rsid w:val="003B18AD"/>
    <w:rsid w:val="003B1AA4"/>
    <w:rsid w:val="003B1B62"/>
    <w:rsid w:val="003B1B72"/>
    <w:rsid w:val="003B1EC9"/>
    <w:rsid w:val="003B1F82"/>
    <w:rsid w:val="003B209E"/>
    <w:rsid w:val="003B219C"/>
    <w:rsid w:val="003B2363"/>
    <w:rsid w:val="003B2596"/>
    <w:rsid w:val="003B2675"/>
    <w:rsid w:val="003B29D6"/>
    <w:rsid w:val="003B2BD9"/>
    <w:rsid w:val="003B2DA4"/>
    <w:rsid w:val="003B2DBC"/>
    <w:rsid w:val="003B2ED7"/>
    <w:rsid w:val="003B3044"/>
    <w:rsid w:val="003B34D8"/>
    <w:rsid w:val="003B35A3"/>
    <w:rsid w:val="003B3623"/>
    <w:rsid w:val="003B3E2F"/>
    <w:rsid w:val="003B3F3E"/>
    <w:rsid w:val="003B3F5C"/>
    <w:rsid w:val="003B3F8B"/>
    <w:rsid w:val="003B40EB"/>
    <w:rsid w:val="003B41E7"/>
    <w:rsid w:val="003B4335"/>
    <w:rsid w:val="003B43D2"/>
    <w:rsid w:val="003B4ADE"/>
    <w:rsid w:val="003B4C05"/>
    <w:rsid w:val="003B4DCF"/>
    <w:rsid w:val="003B4F6B"/>
    <w:rsid w:val="003B4F83"/>
    <w:rsid w:val="003B5098"/>
    <w:rsid w:val="003B516A"/>
    <w:rsid w:val="003B52B3"/>
    <w:rsid w:val="003B52FD"/>
    <w:rsid w:val="003B609C"/>
    <w:rsid w:val="003B60BC"/>
    <w:rsid w:val="003B66BA"/>
    <w:rsid w:val="003B67C5"/>
    <w:rsid w:val="003B680A"/>
    <w:rsid w:val="003B6E79"/>
    <w:rsid w:val="003B6FF4"/>
    <w:rsid w:val="003B72FB"/>
    <w:rsid w:val="003B74F6"/>
    <w:rsid w:val="003B784B"/>
    <w:rsid w:val="003B7868"/>
    <w:rsid w:val="003B79E2"/>
    <w:rsid w:val="003C009E"/>
    <w:rsid w:val="003C04D0"/>
    <w:rsid w:val="003C0781"/>
    <w:rsid w:val="003C0961"/>
    <w:rsid w:val="003C0AB2"/>
    <w:rsid w:val="003C0B1F"/>
    <w:rsid w:val="003C0B6A"/>
    <w:rsid w:val="003C0ED2"/>
    <w:rsid w:val="003C0F63"/>
    <w:rsid w:val="003C11C4"/>
    <w:rsid w:val="003C14D6"/>
    <w:rsid w:val="003C1874"/>
    <w:rsid w:val="003C1B4C"/>
    <w:rsid w:val="003C1B8A"/>
    <w:rsid w:val="003C1B93"/>
    <w:rsid w:val="003C1EA5"/>
    <w:rsid w:val="003C23CE"/>
    <w:rsid w:val="003C27EE"/>
    <w:rsid w:val="003C2AE8"/>
    <w:rsid w:val="003C2D18"/>
    <w:rsid w:val="003C3239"/>
    <w:rsid w:val="003C372A"/>
    <w:rsid w:val="003C38B1"/>
    <w:rsid w:val="003C3DA3"/>
    <w:rsid w:val="003C3DB8"/>
    <w:rsid w:val="003C4037"/>
    <w:rsid w:val="003C4494"/>
    <w:rsid w:val="003C4876"/>
    <w:rsid w:val="003C4C2D"/>
    <w:rsid w:val="003C4C63"/>
    <w:rsid w:val="003C5012"/>
    <w:rsid w:val="003C5042"/>
    <w:rsid w:val="003C52F2"/>
    <w:rsid w:val="003C5384"/>
    <w:rsid w:val="003C5404"/>
    <w:rsid w:val="003C59D8"/>
    <w:rsid w:val="003C5B56"/>
    <w:rsid w:val="003C5D70"/>
    <w:rsid w:val="003C5F5D"/>
    <w:rsid w:val="003C610F"/>
    <w:rsid w:val="003C6138"/>
    <w:rsid w:val="003C6216"/>
    <w:rsid w:val="003C634A"/>
    <w:rsid w:val="003C67BF"/>
    <w:rsid w:val="003C6BED"/>
    <w:rsid w:val="003C6E91"/>
    <w:rsid w:val="003C71E1"/>
    <w:rsid w:val="003C7217"/>
    <w:rsid w:val="003C7469"/>
    <w:rsid w:val="003C7545"/>
    <w:rsid w:val="003C7715"/>
    <w:rsid w:val="003C7AED"/>
    <w:rsid w:val="003C7B39"/>
    <w:rsid w:val="003C7BAC"/>
    <w:rsid w:val="003C7BCA"/>
    <w:rsid w:val="003C7C9E"/>
    <w:rsid w:val="003C7D52"/>
    <w:rsid w:val="003C7D97"/>
    <w:rsid w:val="003C7E9B"/>
    <w:rsid w:val="003C7EA4"/>
    <w:rsid w:val="003D01FC"/>
    <w:rsid w:val="003D0236"/>
    <w:rsid w:val="003D049F"/>
    <w:rsid w:val="003D0751"/>
    <w:rsid w:val="003D0DC3"/>
    <w:rsid w:val="003D1158"/>
    <w:rsid w:val="003D136B"/>
    <w:rsid w:val="003D14ED"/>
    <w:rsid w:val="003D1674"/>
    <w:rsid w:val="003D1D01"/>
    <w:rsid w:val="003D1ED0"/>
    <w:rsid w:val="003D1F2D"/>
    <w:rsid w:val="003D2310"/>
    <w:rsid w:val="003D23BD"/>
    <w:rsid w:val="003D23D7"/>
    <w:rsid w:val="003D27E2"/>
    <w:rsid w:val="003D2857"/>
    <w:rsid w:val="003D2873"/>
    <w:rsid w:val="003D298B"/>
    <w:rsid w:val="003D2B59"/>
    <w:rsid w:val="003D31B2"/>
    <w:rsid w:val="003D3673"/>
    <w:rsid w:val="003D3917"/>
    <w:rsid w:val="003D39EF"/>
    <w:rsid w:val="003D3A31"/>
    <w:rsid w:val="003D3C4A"/>
    <w:rsid w:val="003D403E"/>
    <w:rsid w:val="003D429A"/>
    <w:rsid w:val="003D43D5"/>
    <w:rsid w:val="003D4418"/>
    <w:rsid w:val="003D472B"/>
    <w:rsid w:val="003D4B9A"/>
    <w:rsid w:val="003D4CCE"/>
    <w:rsid w:val="003D567E"/>
    <w:rsid w:val="003D57B3"/>
    <w:rsid w:val="003D58DD"/>
    <w:rsid w:val="003D5C88"/>
    <w:rsid w:val="003D5DB9"/>
    <w:rsid w:val="003D5DF9"/>
    <w:rsid w:val="003D5E6A"/>
    <w:rsid w:val="003D5F32"/>
    <w:rsid w:val="003D6094"/>
    <w:rsid w:val="003D6468"/>
    <w:rsid w:val="003D65A3"/>
    <w:rsid w:val="003D67FD"/>
    <w:rsid w:val="003D6971"/>
    <w:rsid w:val="003D6BEB"/>
    <w:rsid w:val="003D6E15"/>
    <w:rsid w:val="003D6EC3"/>
    <w:rsid w:val="003D7167"/>
    <w:rsid w:val="003D725C"/>
    <w:rsid w:val="003D756A"/>
    <w:rsid w:val="003D75AE"/>
    <w:rsid w:val="003D766A"/>
    <w:rsid w:val="003D768C"/>
    <w:rsid w:val="003D7744"/>
    <w:rsid w:val="003D7A9B"/>
    <w:rsid w:val="003E0005"/>
    <w:rsid w:val="003E00F0"/>
    <w:rsid w:val="003E0129"/>
    <w:rsid w:val="003E0149"/>
    <w:rsid w:val="003E048D"/>
    <w:rsid w:val="003E054B"/>
    <w:rsid w:val="003E05BC"/>
    <w:rsid w:val="003E06D4"/>
    <w:rsid w:val="003E0AF4"/>
    <w:rsid w:val="003E0F03"/>
    <w:rsid w:val="003E1499"/>
    <w:rsid w:val="003E14E0"/>
    <w:rsid w:val="003E16A6"/>
    <w:rsid w:val="003E1718"/>
    <w:rsid w:val="003E1875"/>
    <w:rsid w:val="003E1A0C"/>
    <w:rsid w:val="003E1CCB"/>
    <w:rsid w:val="003E21D9"/>
    <w:rsid w:val="003E235D"/>
    <w:rsid w:val="003E2375"/>
    <w:rsid w:val="003E2A3A"/>
    <w:rsid w:val="003E2B86"/>
    <w:rsid w:val="003E2BBC"/>
    <w:rsid w:val="003E2D05"/>
    <w:rsid w:val="003E2F60"/>
    <w:rsid w:val="003E32F3"/>
    <w:rsid w:val="003E3597"/>
    <w:rsid w:val="003E3978"/>
    <w:rsid w:val="003E409A"/>
    <w:rsid w:val="003E40A7"/>
    <w:rsid w:val="003E41A5"/>
    <w:rsid w:val="003E48A8"/>
    <w:rsid w:val="003E4A3C"/>
    <w:rsid w:val="003E4AF4"/>
    <w:rsid w:val="003E4C13"/>
    <w:rsid w:val="003E5111"/>
    <w:rsid w:val="003E532A"/>
    <w:rsid w:val="003E5364"/>
    <w:rsid w:val="003E53E1"/>
    <w:rsid w:val="003E5850"/>
    <w:rsid w:val="003E5B4B"/>
    <w:rsid w:val="003E5B70"/>
    <w:rsid w:val="003E5F75"/>
    <w:rsid w:val="003E61E7"/>
    <w:rsid w:val="003E63A8"/>
    <w:rsid w:val="003E660B"/>
    <w:rsid w:val="003E6A59"/>
    <w:rsid w:val="003E6C6A"/>
    <w:rsid w:val="003E6D8C"/>
    <w:rsid w:val="003E6DEA"/>
    <w:rsid w:val="003E7718"/>
    <w:rsid w:val="003E7A70"/>
    <w:rsid w:val="003E7BFC"/>
    <w:rsid w:val="003E7C69"/>
    <w:rsid w:val="003E7C88"/>
    <w:rsid w:val="003E7CE0"/>
    <w:rsid w:val="003E7E27"/>
    <w:rsid w:val="003E7E7A"/>
    <w:rsid w:val="003F01D4"/>
    <w:rsid w:val="003F031B"/>
    <w:rsid w:val="003F03FF"/>
    <w:rsid w:val="003F082F"/>
    <w:rsid w:val="003F0871"/>
    <w:rsid w:val="003F0980"/>
    <w:rsid w:val="003F0993"/>
    <w:rsid w:val="003F0D90"/>
    <w:rsid w:val="003F1117"/>
    <w:rsid w:val="003F11ED"/>
    <w:rsid w:val="003F13B7"/>
    <w:rsid w:val="003F155B"/>
    <w:rsid w:val="003F1718"/>
    <w:rsid w:val="003F1DEE"/>
    <w:rsid w:val="003F2051"/>
    <w:rsid w:val="003F2285"/>
    <w:rsid w:val="003F2421"/>
    <w:rsid w:val="003F2E19"/>
    <w:rsid w:val="003F2FFD"/>
    <w:rsid w:val="003F31FB"/>
    <w:rsid w:val="003F348A"/>
    <w:rsid w:val="003F393A"/>
    <w:rsid w:val="003F3A7D"/>
    <w:rsid w:val="003F3B63"/>
    <w:rsid w:val="003F3FB5"/>
    <w:rsid w:val="003F449E"/>
    <w:rsid w:val="003F4963"/>
    <w:rsid w:val="003F4C8F"/>
    <w:rsid w:val="003F4C97"/>
    <w:rsid w:val="003F4E88"/>
    <w:rsid w:val="003F4FCA"/>
    <w:rsid w:val="003F5467"/>
    <w:rsid w:val="003F5484"/>
    <w:rsid w:val="003F5592"/>
    <w:rsid w:val="003F56EF"/>
    <w:rsid w:val="003F57D1"/>
    <w:rsid w:val="003F58E5"/>
    <w:rsid w:val="003F5DBF"/>
    <w:rsid w:val="003F60B4"/>
    <w:rsid w:val="003F6436"/>
    <w:rsid w:val="003F651B"/>
    <w:rsid w:val="003F655A"/>
    <w:rsid w:val="003F66A5"/>
    <w:rsid w:val="003F6A69"/>
    <w:rsid w:val="003F6AA7"/>
    <w:rsid w:val="003F6D28"/>
    <w:rsid w:val="003F7095"/>
    <w:rsid w:val="003F7196"/>
    <w:rsid w:val="003F7380"/>
    <w:rsid w:val="003F7428"/>
    <w:rsid w:val="003F7EB3"/>
    <w:rsid w:val="003F7F03"/>
    <w:rsid w:val="00400064"/>
    <w:rsid w:val="00400211"/>
    <w:rsid w:val="004002B1"/>
    <w:rsid w:val="00400527"/>
    <w:rsid w:val="0040061E"/>
    <w:rsid w:val="00400696"/>
    <w:rsid w:val="00400809"/>
    <w:rsid w:val="00400863"/>
    <w:rsid w:val="00400920"/>
    <w:rsid w:val="00400925"/>
    <w:rsid w:val="00400A41"/>
    <w:rsid w:val="00400C41"/>
    <w:rsid w:val="00400DB2"/>
    <w:rsid w:val="00400F09"/>
    <w:rsid w:val="00401206"/>
    <w:rsid w:val="004014B1"/>
    <w:rsid w:val="0040153F"/>
    <w:rsid w:val="0040164E"/>
    <w:rsid w:val="004017BC"/>
    <w:rsid w:val="004019EC"/>
    <w:rsid w:val="00401AE3"/>
    <w:rsid w:val="00401B25"/>
    <w:rsid w:val="00401BB3"/>
    <w:rsid w:val="00402142"/>
    <w:rsid w:val="00402353"/>
    <w:rsid w:val="00402874"/>
    <w:rsid w:val="00402A0C"/>
    <w:rsid w:val="00402A28"/>
    <w:rsid w:val="00403108"/>
    <w:rsid w:val="00403339"/>
    <w:rsid w:val="004035CB"/>
    <w:rsid w:val="00403AED"/>
    <w:rsid w:val="00403FEE"/>
    <w:rsid w:val="00404162"/>
    <w:rsid w:val="00404469"/>
    <w:rsid w:val="00404715"/>
    <w:rsid w:val="00404829"/>
    <w:rsid w:val="00404A97"/>
    <w:rsid w:val="00404FA5"/>
    <w:rsid w:val="0040503B"/>
    <w:rsid w:val="0040520E"/>
    <w:rsid w:val="004054D2"/>
    <w:rsid w:val="004054F9"/>
    <w:rsid w:val="00405D61"/>
    <w:rsid w:val="00406160"/>
    <w:rsid w:val="004068A4"/>
    <w:rsid w:val="004069D1"/>
    <w:rsid w:val="00406BFA"/>
    <w:rsid w:val="00406C19"/>
    <w:rsid w:val="00406F20"/>
    <w:rsid w:val="00407706"/>
    <w:rsid w:val="004077A0"/>
    <w:rsid w:val="004078FD"/>
    <w:rsid w:val="00407D57"/>
    <w:rsid w:val="00407D5C"/>
    <w:rsid w:val="0041035C"/>
    <w:rsid w:val="0041061B"/>
    <w:rsid w:val="00410814"/>
    <w:rsid w:val="0041098B"/>
    <w:rsid w:val="00410A24"/>
    <w:rsid w:val="00410E9B"/>
    <w:rsid w:val="0041104A"/>
    <w:rsid w:val="00411739"/>
    <w:rsid w:val="00411787"/>
    <w:rsid w:val="004118E3"/>
    <w:rsid w:val="00411977"/>
    <w:rsid w:val="00411988"/>
    <w:rsid w:val="00411C7B"/>
    <w:rsid w:val="004122B1"/>
    <w:rsid w:val="0041250A"/>
    <w:rsid w:val="00412858"/>
    <w:rsid w:val="004129D9"/>
    <w:rsid w:val="00412C41"/>
    <w:rsid w:val="004131D3"/>
    <w:rsid w:val="0041353B"/>
    <w:rsid w:val="004138B8"/>
    <w:rsid w:val="00413A4B"/>
    <w:rsid w:val="00413E2D"/>
    <w:rsid w:val="00413F19"/>
    <w:rsid w:val="004141D8"/>
    <w:rsid w:val="0041467E"/>
    <w:rsid w:val="00414818"/>
    <w:rsid w:val="00414A5A"/>
    <w:rsid w:val="00414ED6"/>
    <w:rsid w:val="0041525C"/>
    <w:rsid w:val="004153D4"/>
    <w:rsid w:val="004156B8"/>
    <w:rsid w:val="00415803"/>
    <w:rsid w:val="004158B2"/>
    <w:rsid w:val="004158E1"/>
    <w:rsid w:val="00415BA8"/>
    <w:rsid w:val="00415D14"/>
    <w:rsid w:val="00415E71"/>
    <w:rsid w:val="00415F16"/>
    <w:rsid w:val="00415F67"/>
    <w:rsid w:val="00416113"/>
    <w:rsid w:val="0041621C"/>
    <w:rsid w:val="00416997"/>
    <w:rsid w:val="00416AD6"/>
    <w:rsid w:val="00416EC6"/>
    <w:rsid w:val="004172BA"/>
    <w:rsid w:val="00417536"/>
    <w:rsid w:val="0041753B"/>
    <w:rsid w:val="00417699"/>
    <w:rsid w:val="0041787F"/>
    <w:rsid w:val="004179DB"/>
    <w:rsid w:val="00417DD4"/>
    <w:rsid w:val="004201BD"/>
    <w:rsid w:val="0042079A"/>
    <w:rsid w:val="00420C30"/>
    <w:rsid w:val="00420C5E"/>
    <w:rsid w:val="00420D81"/>
    <w:rsid w:val="004210CD"/>
    <w:rsid w:val="0042120B"/>
    <w:rsid w:val="0042144B"/>
    <w:rsid w:val="00421580"/>
    <w:rsid w:val="00421605"/>
    <w:rsid w:val="0042199E"/>
    <w:rsid w:val="00421F40"/>
    <w:rsid w:val="00421FCA"/>
    <w:rsid w:val="00421FE9"/>
    <w:rsid w:val="00422165"/>
    <w:rsid w:val="0042248B"/>
    <w:rsid w:val="00422BBE"/>
    <w:rsid w:val="00422DD6"/>
    <w:rsid w:val="00422E5A"/>
    <w:rsid w:val="00422EBD"/>
    <w:rsid w:val="0042302A"/>
    <w:rsid w:val="0042319B"/>
    <w:rsid w:val="0042336D"/>
    <w:rsid w:val="0042365C"/>
    <w:rsid w:val="00423779"/>
    <w:rsid w:val="00423841"/>
    <w:rsid w:val="004238F2"/>
    <w:rsid w:val="004240DE"/>
    <w:rsid w:val="004240EF"/>
    <w:rsid w:val="004241E7"/>
    <w:rsid w:val="0042422E"/>
    <w:rsid w:val="00424303"/>
    <w:rsid w:val="00424306"/>
    <w:rsid w:val="004246D5"/>
    <w:rsid w:val="00424851"/>
    <w:rsid w:val="00425154"/>
    <w:rsid w:val="004251CA"/>
    <w:rsid w:val="004253BB"/>
    <w:rsid w:val="00425487"/>
    <w:rsid w:val="00425A3E"/>
    <w:rsid w:val="00425C48"/>
    <w:rsid w:val="00426107"/>
    <w:rsid w:val="004261BB"/>
    <w:rsid w:val="00426336"/>
    <w:rsid w:val="004263E7"/>
    <w:rsid w:val="00426499"/>
    <w:rsid w:val="004266E4"/>
    <w:rsid w:val="00426BAA"/>
    <w:rsid w:val="004271AB"/>
    <w:rsid w:val="00427283"/>
    <w:rsid w:val="004272A3"/>
    <w:rsid w:val="0042731C"/>
    <w:rsid w:val="00427679"/>
    <w:rsid w:val="0042768E"/>
    <w:rsid w:val="00427B2D"/>
    <w:rsid w:val="00427BF8"/>
    <w:rsid w:val="00427E67"/>
    <w:rsid w:val="0043004C"/>
    <w:rsid w:val="00430B6E"/>
    <w:rsid w:val="00430CB6"/>
    <w:rsid w:val="00431000"/>
    <w:rsid w:val="004310CF"/>
    <w:rsid w:val="0043164D"/>
    <w:rsid w:val="004319A5"/>
    <w:rsid w:val="00431AD3"/>
    <w:rsid w:val="00431F42"/>
    <w:rsid w:val="00432348"/>
    <w:rsid w:val="0043260A"/>
    <w:rsid w:val="0043276F"/>
    <w:rsid w:val="004327DD"/>
    <w:rsid w:val="00432BA7"/>
    <w:rsid w:val="00432CF0"/>
    <w:rsid w:val="00432FAF"/>
    <w:rsid w:val="0043307F"/>
    <w:rsid w:val="004331DE"/>
    <w:rsid w:val="0043320E"/>
    <w:rsid w:val="0043397E"/>
    <w:rsid w:val="00433AEC"/>
    <w:rsid w:val="00433B8A"/>
    <w:rsid w:val="00433D50"/>
    <w:rsid w:val="00433D97"/>
    <w:rsid w:val="00433E5A"/>
    <w:rsid w:val="00433F27"/>
    <w:rsid w:val="004343B2"/>
    <w:rsid w:val="00434494"/>
    <w:rsid w:val="00434735"/>
    <w:rsid w:val="00434A52"/>
    <w:rsid w:val="00434AF1"/>
    <w:rsid w:val="00434C9A"/>
    <w:rsid w:val="0043539B"/>
    <w:rsid w:val="0043552A"/>
    <w:rsid w:val="004356A9"/>
    <w:rsid w:val="00435A0A"/>
    <w:rsid w:val="00435CDC"/>
    <w:rsid w:val="00435E5D"/>
    <w:rsid w:val="00435E71"/>
    <w:rsid w:val="00436070"/>
    <w:rsid w:val="0043648F"/>
    <w:rsid w:val="004364BC"/>
    <w:rsid w:val="004370BA"/>
    <w:rsid w:val="0043726E"/>
    <w:rsid w:val="0043757B"/>
    <w:rsid w:val="004379DD"/>
    <w:rsid w:val="00437A95"/>
    <w:rsid w:val="00437CD3"/>
    <w:rsid w:val="00437E40"/>
    <w:rsid w:val="00437E53"/>
    <w:rsid w:val="00437E6D"/>
    <w:rsid w:val="00437EB5"/>
    <w:rsid w:val="00437FE1"/>
    <w:rsid w:val="00440221"/>
    <w:rsid w:val="0044061B"/>
    <w:rsid w:val="0044090C"/>
    <w:rsid w:val="00440986"/>
    <w:rsid w:val="00440CD2"/>
    <w:rsid w:val="00440D4E"/>
    <w:rsid w:val="00440E0D"/>
    <w:rsid w:val="0044102B"/>
    <w:rsid w:val="004411A7"/>
    <w:rsid w:val="00441289"/>
    <w:rsid w:val="0044145C"/>
    <w:rsid w:val="00441707"/>
    <w:rsid w:val="00441B11"/>
    <w:rsid w:val="00441FFC"/>
    <w:rsid w:val="004424F3"/>
    <w:rsid w:val="00442A1F"/>
    <w:rsid w:val="00442CC3"/>
    <w:rsid w:val="00442E66"/>
    <w:rsid w:val="00442FE5"/>
    <w:rsid w:val="00443168"/>
    <w:rsid w:val="0044349C"/>
    <w:rsid w:val="0044368F"/>
    <w:rsid w:val="004437CD"/>
    <w:rsid w:val="004439EC"/>
    <w:rsid w:val="00443D7A"/>
    <w:rsid w:val="00443E83"/>
    <w:rsid w:val="00443F7B"/>
    <w:rsid w:val="004440F3"/>
    <w:rsid w:val="004441AF"/>
    <w:rsid w:val="004445E4"/>
    <w:rsid w:val="00444CCE"/>
    <w:rsid w:val="00444F6F"/>
    <w:rsid w:val="00444F84"/>
    <w:rsid w:val="004450CC"/>
    <w:rsid w:val="004456F1"/>
    <w:rsid w:val="00445748"/>
    <w:rsid w:val="0044580F"/>
    <w:rsid w:val="004459E6"/>
    <w:rsid w:val="00445A98"/>
    <w:rsid w:val="00446079"/>
    <w:rsid w:val="0044647D"/>
    <w:rsid w:val="004465F3"/>
    <w:rsid w:val="004469C7"/>
    <w:rsid w:val="00446AB9"/>
    <w:rsid w:val="00446CE5"/>
    <w:rsid w:val="00446EC3"/>
    <w:rsid w:val="0044712F"/>
    <w:rsid w:val="00447521"/>
    <w:rsid w:val="0044764B"/>
    <w:rsid w:val="004476BA"/>
    <w:rsid w:val="00447ACE"/>
    <w:rsid w:val="00447BEB"/>
    <w:rsid w:val="00447DD3"/>
    <w:rsid w:val="00447E5F"/>
    <w:rsid w:val="0045031E"/>
    <w:rsid w:val="0045075D"/>
    <w:rsid w:val="0045099B"/>
    <w:rsid w:val="004509DC"/>
    <w:rsid w:val="00450ACD"/>
    <w:rsid w:val="00450CA3"/>
    <w:rsid w:val="00451115"/>
    <w:rsid w:val="00451122"/>
    <w:rsid w:val="00451216"/>
    <w:rsid w:val="00451302"/>
    <w:rsid w:val="0045145C"/>
    <w:rsid w:val="0045178D"/>
    <w:rsid w:val="00451ADB"/>
    <w:rsid w:val="00451B81"/>
    <w:rsid w:val="00451EF1"/>
    <w:rsid w:val="00451F2C"/>
    <w:rsid w:val="004520F8"/>
    <w:rsid w:val="0045219B"/>
    <w:rsid w:val="004527F3"/>
    <w:rsid w:val="00452B9A"/>
    <w:rsid w:val="00452CBB"/>
    <w:rsid w:val="00452CD8"/>
    <w:rsid w:val="00453252"/>
    <w:rsid w:val="0045325B"/>
    <w:rsid w:val="004538A7"/>
    <w:rsid w:val="004539C6"/>
    <w:rsid w:val="00453E58"/>
    <w:rsid w:val="00453E92"/>
    <w:rsid w:val="00453F32"/>
    <w:rsid w:val="00453FA5"/>
    <w:rsid w:val="00454466"/>
    <w:rsid w:val="004544FD"/>
    <w:rsid w:val="00454583"/>
    <w:rsid w:val="0045458C"/>
    <w:rsid w:val="0045555C"/>
    <w:rsid w:val="00455575"/>
    <w:rsid w:val="00455722"/>
    <w:rsid w:val="00455F57"/>
    <w:rsid w:val="004560DC"/>
    <w:rsid w:val="004560E2"/>
    <w:rsid w:val="00456482"/>
    <w:rsid w:val="00456734"/>
    <w:rsid w:val="00456747"/>
    <w:rsid w:val="00456785"/>
    <w:rsid w:val="00456A34"/>
    <w:rsid w:val="00456B1A"/>
    <w:rsid w:val="00456B49"/>
    <w:rsid w:val="00456E36"/>
    <w:rsid w:val="00456F3B"/>
    <w:rsid w:val="004572C7"/>
    <w:rsid w:val="004573B1"/>
    <w:rsid w:val="004578FC"/>
    <w:rsid w:val="00457CD2"/>
    <w:rsid w:val="00457ED9"/>
    <w:rsid w:val="00460087"/>
    <w:rsid w:val="004600B0"/>
    <w:rsid w:val="0046020A"/>
    <w:rsid w:val="0046031C"/>
    <w:rsid w:val="00460E94"/>
    <w:rsid w:val="00460F31"/>
    <w:rsid w:val="00461288"/>
    <w:rsid w:val="00461589"/>
    <w:rsid w:val="00461868"/>
    <w:rsid w:val="004618E3"/>
    <w:rsid w:val="00461F84"/>
    <w:rsid w:val="00462275"/>
    <w:rsid w:val="004624A9"/>
    <w:rsid w:val="004624B6"/>
    <w:rsid w:val="0046288C"/>
    <w:rsid w:val="004628EB"/>
    <w:rsid w:val="00462DAC"/>
    <w:rsid w:val="00463319"/>
    <w:rsid w:val="004637F0"/>
    <w:rsid w:val="00463C14"/>
    <w:rsid w:val="00463D58"/>
    <w:rsid w:val="00463F14"/>
    <w:rsid w:val="004641C8"/>
    <w:rsid w:val="004641F8"/>
    <w:rsid w:val="0046490A"/>
    <w:rsid w:val="00464BC7"/>
    <w:rsid w:val="004653E2"/>
    <w:rsid w:val="00465422"/>
    <w:rsid w:val="00465889"/>
    <w:rsid w:val="0046606C"/>
    <w:rsid w:val="004660B8"/>
    <w:rsid w:val="004666AD"/>
    <w:rsid w:val="0046672A"/>
    <w:rsid w:val="004667CC"/>
    <w:rsid w:val="004669C6"/>
    <w:rsid w:val="00466A04"/>
    <w:rsid w:val="00466AA5"/>
    <w:rsid w:val="00466B31"/>
    <w:rsid w:val="004673D7"/>
    <w:rsid w:val="0046779B"/>
    <w:rsid w:val="00467BDB"/>
    <w:rsid w:val="00467C59"/>
    <w:rsid w:val="00467ED6"/>
    <w:rsid w:val="0047012C"/>
    <w:rsid w:val="0047038C"/>
    <w:rsid w:val="004708B9"/>
    <w:rsid w:val="004709A4"/>
    <w:rsid w:val="004709AE"/>
    <w:rsid w:val="00470B3C"/>
    <w:rsid w:val="00470F00"/>
    <w:rsid w:val="00470F10"/>
    <w:rsid w:val="00470F64"/>
    <w:rsid w:val="004716AA"/>
    <w:rsid w:val="00471728"/>
    <w:rsid w:val="00471817"/>
    <w:rsid w:val="0047191D"/>
    <w:rsid w:val="00471A3D"/>
    <w:rsid w:val="00471A45"/>
    <w:rsid w:val="00471E1A"/>
    <w:rsid w:val="00471E52"/>
    <w:rsid w:val="00472038"/>
    <w:rsid w:val="00472463"/>
    <w:rsid w:val="00472708"/>
    <w:rsid w:val="004727BE"/>
    <w:rsid w:val="004727F3"/>
    <w:rsid w:val="00472887"/>
    <w:rsid w:val="00472BAF"/>
    <w:rsid w:val="00472CD2"/>
    <w:rsid w:val="00472E5D"/>
    <w:rsid w:val="0047319E"/>
    <w:rsid w:val="00473475"/>
    <w:rsid w:val="0047347F"/>
    <w:rsid w:val="0047359A"/>
    <w:rsid w:val="0047366F"/>
    <w:rsid w:val="00473961"/>
    <w:rsid w:val="004739B0"/>
    <w:rsid w:val="00473AD9"/>
    <w:rsid w:val="00473B7D"/>
    <w:rsid w:val="00473E70"/>
    <w:rsid w:val="004740EC"/>
    <w:rsid w:val="00474126"/>
    <w:rsid w:val="00474292"/>
    <w:rsid w:val="0047429F"/>
    <w:rsid w:val="00474775"/>
    <w:rsid w:val="0047478E"/>
    <w:rsid w:val="004753E0"/>
    <w:rsid w:val="0047557E"/>
    <w:rsid w:val="00475616"/>
    <w:rsid w:val="004757BE"/>
    <w:rsid w:val="0047584B"/>
    <w:rsid w:val="00475890"/>
    <w:rsid w:val="004758F2"/>
    <w:rsid w:val="00475978"/>
    <w:rsid w:val="004759DC"/>
    <w:rsid w:val="00475A09"/>
    <w:rsid w:val="00475C64"/>
    <w:rsid w:val="00476237"/>
    <w:rsid w:val="00476293"/>
    <w:rsid w:val="00476445"/>
    <w:rsid w:val="00476470"/>
    <w:rsid w:val="0047655B"/>
    <w:rsid w:val="004765E6"/>
    <w:rsid w:val="00476614"/>
    <w:rsid w:val="004769BE"/>
    <w:rsid w:val="00477158"/>
    <w:rsid w:val="0047729F"/>
    <w:rsid w:val="00477325"/>
    <w:rsid w:val="0047786D"/>
    <w:rsid w:val="00477934"/>
    <w:rsid w:val="00477AFE"/>
    <w:rsid w:val="00477BF9"/>
    <w:rsid w:val="00477C7B"/>
    <w:rsid w:val="004801E5"/>
    <w:rsid w:val="004806A6"/>
    <w:rsid w:val="00480795"/>
    <w:rsid w:val="00480A1C"/>
    <w:rsid w:val="00480A48"/>
    <w:rsid w:val="004811EE"/>
    <w:rsid w:val="004814EB"/>
    <w:rsid w:val="00481646"/>
    <w:rsid w:val="00481992"/>
    <w:rsid w:val="00481F9C"/>
    <w:rsid w:val="0048281D"/>
    <w:rsid w:val="00482BF3"/>
    <w:rsid w:val="0048319D"/>
    <w:rsid w:val="004833CD"/>
    <w:rsid w:val="0048382D"/>
    <w:rsid w:val="00483E14"/>
    <w:rsid w:val="00484000"/>
    <w:rsid w:val="004840FE"/>
    <w:rsid w:val="00484105"/>
    <w:rsid w:val="004844B0"/>
    <w:rsid w:val="004844CD"/>
    <w:rsid w:val="004844E1"/>
    <w:rsid w:val="00484768"/>
    <w:rsid w:val="004847C0"/>
    <w:rsid w:val="00484B9F"/>
    <w:rsid w:val="00484CCE"/>
    <w:rsid w:val="00484CF6"/>
    <w:rsid w:val="00484D13"/>
    <w:rsid w:val="004853A8"/>
    <w:rsid w:val="00485504"/>
    <w:rsid w:val="004856E2"/>
    <w:rsid w:val="00485AB9"/>
    <w:rsid w:val="00485BD9"/>
    <w:rsid w:val="00485C22"/>
    <w:rsid w:val="00485CAC"/>
    <w:rsid w:val="00485F84"/>
    <w:rsid w:val="0048613D"/>
    <w:rsid w:val="0048622D"/>
    <w:rsid w:val="004862C7"/>
    <w:rsid w:val="0048667A"/>
    <w:rsid w:val="004868B0"/>
    <w:rsid w:val="00486A49"/>
    <w:rsid w:val="00486C77"/>
    <w:rsid w:val="00486CC0"/>
    <w:rsid w:val="00486DE2"/>
    <w:rsid w:val="00486EAB"/>
    <w:rsid w:val="00486ED5"/>
    <w:rsid w:val="0048750A"/>
    <w:rsid w:val="00487688"/>
    <w:rsid w:val="0048792D"/>
    <w:rsid w:val="00487A7B"/>
    <w:rsid w:val="00487DD4"/>
    <w:rsid w:val="00487EB6"/>
    <w:rsid w:val="004901C7"/>
    <w:rsid w:val="00490225"/>
    <w:rsid w:val="00490362"/>
    <w:rsid w:val="0049040C"/>
    <w:rsid w:val="004904A0"/>
    <w:rsid w:val="004904DC"/>
    <w:rsid w:val="0049071B"/>
    <w:rsid w:val="004907F4"/>
    <w:rsid w:val="00490891"/>
    <w:rsid w:val="00490B55"/>
    <w:rsid w:val="00490BF4"/>
    <w:rsid w:val="00490C6C"/>
    <w:rsid w:val="00490EC7"/>
    <w:rsid w:val="00491069"/>
    <w:rsid w:val="0049123C"/>
    <w:rsid w:val="0049124A"/>
    <w:rsid w:val="004913E7"/>
    <w:rsid w:val="004914B6"/>
    <w:rsid w:val="00491599"/>
    <w:rsid w:val="0049198D"/>
    <w:rsid w:val="00491A82"/>
    <w:rsid w:val="00491EC7"/>
    <w:rsid w:val="00491FBD"/>
    <w:rsid w:val="0049241F"/>
    <w:rsid w:val="00492445"/>
    <w:rsid w:val="0049254B"/>
    <w:rsid w:val="00492706"/>
    <w:rsid w:val="00492733"/>
    <w:rsid w:val="00492844"/>
    <w:rsid w:val="00492884"/>
    <w:rsid w:val="00492B9F"/>
    <w:rsid w:val="00492E25"/>
    <w:rsid w:val="00492F33"/>
    <w:rsid w:val="0049331F"/>
    <w:rsid w:val="004935B4"/>
    <w:rsid w:val="004936B1"/>
    <w:rsid w:val="00493942"/>
    <w:rsid w:val="00493A69"/>
    <w:rsid w:val="00493B50"/>
    <w:rsid w:val="00493BC9"/>
    <w:rsid w:val="00493EBD"/>
    <w:rsid w:val="00494269"/>
    <w:rsid w:val="00494BD8"/>
    <w:rsid w:val="00495022"/>
    <w:rsid w:val="0049570B"/>
    <w:rsid w:val="004957CB"/>
    <w:rsid w:val="00495804"/>
    <w:rsid w:val="004958BD"/>
    <w:rsid w:val="00495AF9"/>
    <w:rsid w:val="00495B33"/>
    <w:rsid w:val="00495D6D"/>
    <w:rsid w:val="00495EA4"/>
    <w:rsid w:val="00495F78"/>
    <w:rsid w:val="004961A8"/>
    <w:rsid w:val="0049638D"/>
    <w:rsid w:val="004963E7"/>
    <w:rsid w:val="00496692"/>
    <w:rsid w:val="004967F2"/>
    <w:rsid w:val="004969F8"/>
    <w:rsid w:val="00496B77"/>
    <w:rsid w:val="00496D56"/>
    <w:rsid w:val="004970AE"/>
    <w:rsid w:val="004970E8"/>
    <w:rsid w:val="00497150"/>
    <w:rsid w:val="004972B8"/>
    <w:rsid w:val="00497AB8"/>
    <w:rsid w:val="00497BA7"/>
    <w:rsid w:val="00497E39"/>
    <w:rsid w:val="00497E4D"/>
    <w:rsid w:val="004A0803"/>
    <w:rsid w:val="004A0C08"/>
    <w:rsid w:val="004A0C8A"/>
    <w:rsid w:val="004A1021"/>
    <w:rsid w:val="004A1388"/>
    <w:rsid w:val="004A13FE"/>
    <w:rsid w:val="004A16E0"/>
    <w:rsid w:val="004A18FD"/>
    <w:rsid w:val="004A1921"/>
    <w:rsid w:val="004A1A4B"/>
    <w:rsid w:val="004A1A99"/>
    <w:rsid w:val="004A1C2A"/>
    <w:rsid w:val="004A1DF6"/>
    <w:rsid w:val="004A1E89"/>
    <w:rsid w:val="004A2217"/>
    <w:rsid w:val="004A248C"/>
    <w:rsid w:val="004A25AE"/>
    <w:rsid w:val="004A2634"/>
    <w:rsid w:val="004A287B"/>
    <w:rsid w:val="004A2901"/>
    <w:rsid w:val="004A292D"/>
    <w:rsid w:val="004A29C7"/>
    <w:rsid w:val="004A2A45"/>
    <w:rsid w:val="004A2A7C"/>
    <w:rsid w:val="004A2ACD"/>
    <w:rsid w:val="004A2CF8"/>
    <w:rsid w:val="004A3861"/>
    <w:rsid w:val="004A3AF0"/>
    <w:rsid w:val="004A3D46"/>
    <w:rsid w:val="004A3FB7"/>
    <w:rsid w:val="004A420F"/>
    <w:rsid w:val="004A42E7"/>
    <w:rsid w:val="004A4387"/>
    <w:rsid w:val="004A494A"/>
    <w:rsid w:val="004A4B26"/>
    <w:rsid w:val="004A4B9C"/>
    <w:rsid w:val="004A4C1C"/>
    <w:rsid w:val="004A4E0C"/>
    <w:rsid w:val="004A53FA"/>
    <w:rsid w:val="004A54F9"/>
    <w:rsid w:val="004A5619"/>
    <w:rsid w:val="004A568C"/>
    <w:rsid w:val="004A585E"/>
    <w:rsid w:val="004A5AA3"/>
    <w:rsid w:val="004A5C3C"/>
    <w:rsid w:val="004A5D42"/>
    <w:rsid w:val="004A5F52"/>
    <w:rsid w:val="004A6407"/>
    <w:rsid w:val="004A672A"/>
    <w:rsid w:val="004A69E2"/>
    <w:rsid w:val="004A69FD"/>
    <w:rsid w:val="004A6CC3"/>
    <w:rsid w:val="004A70C2"/>
    <w:rsid w:val="004A724D"/>
    <w:rsid w:val="004A753C"/>
    <w:rsid w:val="004A7925"/>
    <w:rsid w:val="004A79E9"/>
    <w:rsid w:val="004A7A88"/>
    <w:rsid w:val="004A7AD1"/>
    <w:rsid w:val="004A7C14"/>
    <w:rsid w:val="004B0014"/>
    <w:rsid w:val="004B00E3"/>
    <w:rsid w:val="004B0574"/>
    <w:rsid w:val="004B0A2F"/>
    <w:rsid w:val="004B0BBD"/>
    <w:rsid w:val="004B0BEC"/>
    <w:rsid w:val="004B0CDA"/>
    <w:rsid w:val="004B0E40"/>
    <w:rsid w:val="004B119D"/>
    <w:rsid w:val="004B13B9"/>
    <w:rsid w:val="004B1624"/>
    <w:rsid w:val="004B1839"/>
    <w:rsid w:val="004B18ED"/>
    <w:rsid w:val="004B1B4E"/>
    <w:rsid w:val="004B1DB8"/>
    <w:rsid w:val="004B2814"/>
    <w:rsid w:val="004B2960"/>
    <w:rsid w:val="004B2BF9"/>
    <w:rsid w:val="004B2F40"/>
    <w:rsid w:val="004B343F"/>
    <w:rsid w:val="004B37DA"/>
    <w:rsid w:val="004B3B5A"/>
    <w:rsid w:val="004B3C67"/>
    <w:rsid w:val="004B3F12"/>
    <w:rsid w:val="004B424C"/>
    <w:rsid w:val="004B4289"/>
    <w:rsid w:val="004B498E"/>
    <w:rsid w:val="004B4BB9"/>
    <w:rsid w:val="004B5397"/>
    <w:rsid w:val="004B54DA"/>
    <w:rsid w:val="004B5539"/>
    <w:rsid w:val="004B55CB"/>
    <w:rsid w:val="004B5937"/>
    <w:rsid w:val="004B5990"/>
    <w:rsid w:val="004B5BB0"/>
    <w:rsid w:val="004B5DA9"/>
    <w:rsid w:val="004B60C0"/>
    <w:rsid w:val="004B63E6"/>
    <w:rsid w:val="004B649C"/>
    <w:rsid w:val="004B6578"/>
    <w:rsid w:val="004B6772"/>
    <w:rsid w:val="004B6850"/>
    <w:rsid w:val="004B6971"/>
    <w:rsid w:val="004B6C21"/>
    <w:rsid w:val="004B6D7F"/>
    <w:rsid w:val="004B6E4A"/>
    <w:rsid w:val="004B6E93"/>
    <w:rsid w:val="004B6EE2"/>
    <w:rsid w:val="004B6F3C"/>
    <w:rsid w:val="004B6FCC"/>
    <w:rsid w:val="004B7146"/>
    <w:rsid w:val="004B730E"/>
    <w:rsid w:val="004B73D2"/>
    <w:rsid w:val="004B76AD"/>
    <w:rsid w:val="004B76EA"/>
    <w:rsid w:val="004B76F4"/>
    <w:rsid w:val="004B77A6"/>
    <w:rsid w:val="004B7AE5"/>
    <w:rsid w:val="004B7AFE"/>
    <w:rsid w:val="004B7BFC"/>
    <w:rsid w:val="004C003F"/>
    <w:rsid w:val="004C01AF"/>
    <w:rsid w:val="004C072A"/>
    <w:rsid w:val="004C0784"/>
    <w:rsid w:val="004C09A4"/>
    <w:rsid w:val="004C0A59"/>
    <w:rsid w:val="004C0ABC"/>
    <w:rsid w:val="004C0AFE"/>
    <w:rsid w:val="004C0CDC"/>
    <w:rsid w:val="004C0CE9"/>
    <w:rsid w:val="004C0CFF"/>
    <w:rsid w:val="004C0FF0"/>
    <w:rsid w:val="004C135F"/>
    <w:rsid w:val="004C1419"/>
    <w:rsid w:val="004C141D"/>
    <w:rsid w:val="004C143D"/>
    <w:rsid w:val="004C15FE"/>
    <w:rsid w:val="004C183B"/>
    <w:rsid w:val="004C1BE9"/>
    <w:rsid w:val="004C1CE8"/>
    <w:rsid w:val="004C1E50"/>
    <w:rsid w:val="004C2032"/>
    <w:rsid w:val="004C2220"/>
    <w:rsid w:val="004C2795"/>
    <w:rsid w:val="004C2BCA"/>
    <w:rsid w:val="004C2FC5"/>
    <w:rsid w:val="004C3004"/>
    <w:rsid w:val="004C3264"/>
    <w:rsid w:val="004C3318"/>
    <w:rsid w:val="004C33FE"/>
    <w:rsid w:val="004C3B11"/>
    <w:rsid w:val="004C3C7F"/>
    <w:rsid w:val="004C42AE"/>
    <w:rsid w:val="004C44C4"/>
    <w:rsid w:val="004C44E6"/>
    <w:rsid w:val="004C470C"/>
    <w:rsid w:val="004C475A"/>
    <w:rsid w:val="004C508D"/>
    <w:rsid w:val="004C522A"/>
    <w:rsid w:val="004C5245"/>
    <w:rsid w:val="004C55B9"/>
    <w:rsid w:val="004C59EF"/>
    <w:rsid w:val="004C5ADA"/>
    <w:rsid w:val="004C6078"/>
    <w:rsid w:val="004C6568"/>
    <w:rsid w:val="004C65FA"/>
    <w:rsid w:val="004C69EA"/>
    <w:rsid w:val="004C6BEC"/>
    <w:rsid w:val="004C6D6B"/>
    <w:rsid w:val="004C6FB0"/>
    <w:rsid w:val="004C730F"/>
    <w:rsid w:val="004C7371"/>
    <w:rsid w:val="004C73C9"/>
    <w:rsid w:val="004C744F"/>
    <w:rsid w:val="004C7A5D"/>
    <w:rsid w:val="004C7D2B"/>
    <w:rsid w:val="004C7E19"/>
    <w:rsid w:val="004D07B8"/>
    <w:rsid w:val="004D0AB7"/>
    <w:rsid w:val="004D0ACB"/>
    <w:rsid w:val="004D121D"/>
    <w:rsid w:val="004D1239"/>
    <w:rsid w:val="004D171F"/>
    <w:rsid w:val="004D17C3"/>
    <w:rsid w:val="004D1867"/>
    <w:rsid w:val="004D1A9A"/>
    <w:rsid w:val="004D1B41"/>
    <w:rsid w:val="004D2460"/>
    <w:rsid w:val="004D2700"/>
    <w:rsid w:val="004D2AC3"/>
    <w:rsid w:val="004D2D62"/>
    <w:rsid w:val="004D2D84"/>
    <w:rsid w:val="004D2EDC"/>
    <w:rsid w:val="004D3277"/>
    <w:rsid w:val="004D34A5"/>
    <w:rsid w:val="004D35F0"/>
    <w:rsid w:val="004D36F9"/>
    <w:rsid w:val="004D3957"/>
    <w:rsid w:val="004D3A3D"/>
    <w:rsid w:val="004D3BC0"/>
    <w:rsid w:val="004D3C91"/>
    <w:rsid w:val="004D3FA3"/>
    <w:rsid w:val="004D40E1"/>
    <w:rsid w:val="004D42C3"/>
    <w:rsid w:val="004D42E8"/>
    <w:rsid w:val="004D43F9"/>
    <w:rsid w:val="004D4422"/>
    <w:rsid w:val="004D4468"/>
    <w:rsid w:val="004D461F"/>
    <w:rsid w:val="004D4692"/>
    <w:rsid w:val="004D479C"/>
    <w:rsid w:val="004D48DE"/>
    <w:rsid w:val="004D4ACB"/>
    <w:rsid w:val="004D4BE0"/>
    <w:rsid w:val="004D4D7E"/>
    <w:rsid w:val="004D5511"/>
    <w:rsid w:val="004D56F6"/>
    <w:rsid w:val="004D639C"/>
    <w:rsid w:val="004D6694"/>
    <w:rsid w:val="004D68D0"/>
    <w:rsid w:val="004D6961"/>
    <w:rsid w:val="004D6BF7"/>
    <w:rsid w:val="004D6CAF"/>
    <w:rsid w:val="004D6F95"/>
    <w:rsid w:val="004D70EB"/>
    <w:rsid w:val="004D7478"/>
    <w:rsid w:val="004D75A9"/>
    <w:rsid w:val="004D770B"/>
    <w:rsid w:val="004D776E"/>
    <w:rsid w:val="004D77A8"/>
    <w:rsid w:val="004D78C1"/>
    <w:rsid w:val="004D7F22"/>
    <w:rsid w:val="004E0082"/>
    <w:rsid w:val="004E0977"/>
    <w:rsid w:val="004E09E8"/>
    <w:rsid w:val="004E0AAC"/>
    <w:rsid w:val="004E0ACE"/>
    <w:rsid w:val="004E0B29"/>
    <w:rsid w:val="004E0B39"/>
    <w:rsid w:val="004E0E83"/>
    <w:rsid w:val="004E1014"/>
    <w:rsid w:val="004E10D6"/>
    <w:rsid w:val="004E112C"/>
    <w:rsid w:val="004E134F"/>
    <w:rsid w:val="004E1881"/>
    <w:rsid w:val="004E1964"/>
    <w:rsid w:val="004E1A58"/>
    <w:rsid w:val="004E1C1D"/>
    <w:rsid w:val="004E1C4E"/>
    <w:rsid w:val="004E1D3D"/>
    <w:rsid w:val="004E1E59"/>
    <w:rsid w:val="004E1E8A"/>
    <w:rsid w:val="004E202B"/>
    <w:rsid w:val="004E2243"/>
    <w:rsid w:val="004E23E5"/>
    <w:rsid w:val="004E244F"/>
    <w:rsid w:val="004E28DE"/>
    <w:rsid w:val="004E2998"/>
    <w:rsid w:val="004E2C63"/>
    <w:rsid w:val="004E3108"/>
    <w:rsid w:val="004E315A"/>
    <w:rsid w:val="004E31D5"/>
    <w:rsid w:val="004E3561"/>
    <w:rsid w:val="004E3742"/>
    <w:rsid w:val="004E3A3E"/>
    <w:rsid w:val="004E40B0"/>
    <w:rsid w:val="004E4261"/>
    <w:rsid w:val="004E4318"/>
    <w:rsid w:val="004E43C6"/>
    <w:rsid w:val="004E4655"/>
    <w:rsid w:val="004E4872"/>
    <w:rsid w:val="004E4CB3"/>
    <w:rsid w:val="004E4CF9"/>
    <w:rsid w:val="004E4EC7"/>
    <w:rsid w:val="004E4F21"/>
    <w:rsid w:val="004E50D3"/>
    <w:rsid w:val="004E5531"/>
    <w:rsid w:val="004E5739"/>
    <w:rsid w:val="004E5D95"/>
    <w:rsid w:val="004E5DC7"/>
    <w:rsid w:val="004E5E53"/>
    <w:rsid w:val="004E6024"/>
    <w:rsid w:val="004E63E4"/>
    <w:rsid w:val="004E63E5"/>
    <w:rsid w:val="004E64EE"/>
    <w:rsid w:val="004E677A"/>
    <w:rsid w:val="004E6C89"/>
    <w:rsid w:val="004E6D8A"/>
    <w:rsid w:val="004E6FA4"/>
    <w:rsid w:val="004E70E0"/>
    <w:rsid w:val="004E7105"/>
    <w:rsid w:val="004E712C"/>
    <w:rsid w:val="004E7190"/>
    <w:rsid w:val="004E73A4"/>
    <w:rsid w:val="004E73D3"/>
    <w:rsid w:val="004E7574"/>
    <w:rsid w:val="004E7692"/>
    <w:rsid w:val="004E78B8"/>
    <w:rsid w:val="004E7909"/>
    <w:rsid w:val="004E7EDF"/>
    <w:rsid w:val="004F021E"/>
    <w:rsid w:val="004F0256"/>
    <w:rsid w:val="004F04D8"/>
    <w:rsid w:val="004F05A1"/>
    <w:rsid w:val="004F09B2"/>
    <w:rsid w:val="004F1499"/>
    <w:rsid w:val="004F1862"/>
    <w:rsid w:val="004F1952"/>
    <w:rsid w:val="004F1A3E"/>
    <w:rsid w:val="004F1DA5"/>
    <w:rsid w:val="004F1DAC"/>
    <w:rsid w:val="004F2041"/>
    <w:rsid w:val="004F21C5"/>
    <w:rsid w:val="004F227A"/>
    <w:rsid w:val="004F22AD"/>
    <w:rsid w:val="004F2309"/>
    <w:rsid w:val="004F2318"/>
    <w:rsid w:val="004F2334"/>
    <w:rsid w:val="004F2510"/>
    <w:rsid w:val="004F282A"/>
    <w:rsid w:val="004F28C9"/>
    <w:rsid w:val="004F2CAA"/>
    <w:rsid w:val="004F2F21"/>
    <w:rsid w:val="004F2F82"/>
    <w:rsid w:val="004F36A2"/>
    <w:rsid w:val="004F3885"/>
    <w:rsid w:val="004F38D1"/>
    <w:rsid w:val="004F3903"/>
    <w:rsid w:val="004F390E"/>
    <w:rsid w:val="004F3952"/>
    <w:rsid w:val="004F39B2"/>
    <w:rsid w:val="004F3CD4"/>
    <w:rsid w:val="004F3DFB"/>
    <w:rsid w:val="004F3E8F"/>
    <w:rsid w:val="004F4424"/>
    <w:rsid w:val="004F45F4"/>
    <w:rsid w:val="004F46FE"/>
    <w:rsid w:val="004F4921"/>
    <w:rsid w:val="004F497C"/>
    <w:rsid w:val="004F4ACA"/>
    <w:rsid w:val="004F4EF4"/>
    <w:rsid w:val="004F4F7E"/>
    <w:rsid w:val="004F536F"/>
    <w:rsid w:val="004F5383"/>
    <w:rsid w:val="004F546A"/>
    <w:rsid w:val="004F552D"/>
    <w:rsid w:val="004F6203"/>
    <w:rsid w:val="004F6229"/>
    <w:rsid w:val="004F68F2"/>
    <w:rsid w:val="004F6A08"/>
    <w:rsid w:val="004F6A45"/>
    <w:rsid w:val="004F6AA3"/>
    <w:rsid w:val="004F6B35"/>
    <w:rsid w:val="004F6D45"/>
    <w:rsid w:val="004F6F32"/>
    <w:rsid w:val="004F7277"/>
    <w:rsid w:val="004F72E7"/>
    <w:rsid w:val="004F77F6"/>
    <w:rsid w:val="004F79BD"/>
    <w:rsid w:val="004F7B80"/>
    <w:rsid w:val="004F7CEB"/>
    <w:rsid w:val="00500080"/>
    <w:rsid w:val="00500154"/>
    <w:rsid w:val="0050025E"/>
    <w:rsid w:val="005004B1"/>
    <w:rsid w:val="005007BD"/>
    <w:rsid w:val="005007E3"/>
    <w:rsid w:val="0050092E"/>
    <w:rsid w:val="00500A93"/>
    <w:rsid w:val="00500D39"/>
    <w:rsid w:val="00500FBE"/>
    <w:rsid w:val="005011DC"/>
    <w:rsid w:val="005013E8"/>
    <w:rsid w:val="00501415"/>
    <w:rsid w:val="005014E2"/>
    <w:rsid w:val="00501C3A"/>
    <w:rsid w:val="00501E07"/>
    <w:rsid w:val="00501E7E"/>
    <w:rsid w:val="00501F3B"/>
    <w:rsid w:val="00501FC0"/>
    <w:rsid w:val="005020B3"/>
    <w:rsid w:val="00502281"/>
    <w:rsid w:val="00502348"/>
    <w:rsid w:val="0050237E"/>
    <w:rsid w:val="005023F7"/>
    <w:rsid w:val="00502506"/>
    <w:rsid w:val="005025AF"/>
    <w:rsid w:val="0050261D"/>
    <w:rsid w:val="0050297F"/>
    <w:rsid w:val="00502C22"/>
    <w:rsid w:val="00502F72"/>
    <w:rsid w:val="00502F74"/>
    <w:rsid w:val="00503004"/>
    <w:rsid w:val="00503130"/>
    <w:rsid w:val="00503197"/>
    <w:rsid w:val="00503862"/>
    <w:rsid w:val="005039DB"/>
    <w:rsid w:val="00503A84"/>
    <w:rsid w:val="00503F8D"/>
    <w:rsid w:val="00503FF9"/>
    <w:rsid w:val="00504062"/>
    <w:rsid w:val="005041DA"/>
    <w:rsid w:val="00504680"/>
    <w:rsid w:val="005046ED"/>
    <w:rsid w:val="0050480C"/>
    <w:rsid w:val="00504E80"/>
    <w:rsid w:val="00504E93"/>
    <w:rsid w:val="00504EFD"/>
    <w:rsid w:val="00504F87"/>
    <w:rsid w:val="00505037"/>
    <w:rsid w:val="005051DD"/>
    <w:rsid w:val="00505233"/>
    <w:rsid w:val="00505347"/>
    <w:rsid w:val="0050541E"/>
    <w:rsid w:val="0050559D"/>
    <w:rsid w:val="005055CD"/>
    <w:rsid w:val="00505A2C"/>
    <w:rsid w:val="00505CD0"/>
    <w:rsid w:val="00505DE4"/>
    <w:rsid w:val="00505E78"/>
    <w:rsid w:val="005061CA"/>
    <w:rsid w:val="005062E4"/>
    <w:rsid w:val="0050630A"/>
    <w:rsid w:val="0050638B"/>
    <w:rsid w:val="005067E5"/>
    <w:rsid w:val="005069A0"/>
    <w:rsid w:val="00506B93"/>
    <w:rsid w:val="00506B98"/>
    <w:rsid w:val="00506BF5"/>
    <w:rsid w:val="00506E16"/>
    <w:rsid w:val="00506E6A"/>
    <w:rsid w:val="00506F0F"/>
    <w:rsid w:val="00506FC9"/>
    <w:rsid w:val="00507211"/>
    <w:rsid w:val="005072DD"/>
    <w:rsid w:val="0050732B"/>
    <w:rsid w:val="00507506"/>
    <w:rsid w:val="005076AD"/>
    <w:rsid w:val="005079CD"/>
    <w:rsid w:val="00507D41"/>
    <w:rsid w:val="00507F0B"/>
    <w:rsid w:val="00510090"/>
    <w:rsid w:val="005100FD"/>
    <w:rsid w:val="00510897"/>
    <w:rsid w:val="0051099D"/>
    <w:rsid w:val="00510A1F"/>
    <w:rsid w:val="00511044"/>
    <w:rsid w:val="0051127B"/>
    <w:rsid w:val="0051137F"/>
    <w:rsid w:val="005115AF"/>
    <w:rsid w:val="00511A72"/>
    <w:rsid w:val="00511BD9"/>
    <w:rsid w:val="00511C90"/>
    <w:rsid w:val="00512049"/>
    <w:rsid w:val="005124C3"/>
    <w:rsid w:val="005125B8"/>
    <w:rsid w:val="00512618"/>
    <w:rsid w:val="00512992"/>
    <w:rsid w:val="00512B49"/>
    <w:rsid w:val="00512C0E"/>
    <w:rsid w:val="0051308A"/>
    <w:rsid w:val="005135E7"/>
    <w:rsid w:val="005138FA"/>
    <w:rsid w:val="005139C9"/>
    <w:rsid w:val="00513BA4"/>
    <w:rsid w:val="005147F4"/>
    <w:rsid w:val="00514834"/>
    <w:rsid w:val="00514C9B"/>
    <w:rsid w:val="00514C9C"/>
    <w:rsid w:val="00514D0E"/>
    <w:rsid w:val="00514ECE"/>
    <w:rsid w:val="00515198"/>
    <w:rsid w:val="00515230"/>
    <w:rsid w:val="0051568C"/>
    <w:rsid w:val="0051571C"/>
    <w:rsid w:val="00515793"/>
    <w:rsid w:val="005159B9"/>
    <w:rsid w:val="00515F83"/>
    <w:rsid w:val="0051625E"/>
    <w:rsid w:val="005164C0"/>
    <w:rsid w:val="005167D5"/>
    <w:rsid w:val="00516998"/>
    <w:rsid w:val="00516C90"/>
    <w:rsid w:val="00516ED8"/>
    <w:rsid w:val="00517106"/>
    <w:rsid w:val="005172DA"/>
    <w:rsid w:val="005173A4"/>
    <w:rsid w:val="0051751A"/>
    <w:rsid w:val="00517606"/>
    <w:rsid w:val="005176AF"/>
    <w:rsid w:val="00517930"/>
    <w:rsid w:val="00517C7B"/>
    <w:rsid w:val="005203E5"/>
    <w:rsid w:val="00520512"/>
    <w:rsid w:val="00520557"/>
    <w:rsid w:val="00520731"/>
    <w:rsid w:val="00520991"/>
    <w:rsid w:val="00521723"/>
    <w:rsid w:val="005220C1"/>
    <w:rsid w:val="00522102"/>
    <w:rsid w:val="00522284"/>
    <w:rsid w:val="005222C6"/>
    <w:rsid w:val="00522B56"/>
    <w:rsid w:val="00522D9F"/>
    <w:rsid w:val="00522ED1"/>
    <w:rsid w:val="00522FBB"/>
    <w:rsid w:val="00522FDE"/>
    <w:rsid w:val="00523031"/>
    <w:rsid w:val="0052309C"/>
    <w:rsid w:val="0052309D"/>
    <w:rsid w:val="00523323"/>
    <w:rsid w:val="005238E2"/>
    <w:rsid w:val="00523A3D"/>
    <w:rsid w:val="00523B28"/>
    <w:rsid w:val="0052404D"/>
    <w:rsid w:val="005240F4"/>
    <w:rsid w:val="00524251"/>
    <w:rsid w:val="00524760"/>
    <w:rsid w:val="0052482B"/>
    <w:rsid w:val="00524BD5"/>
    <w:rsid w:val="00524DD9"/>
    <w:rsid w:val="0052514E"/>
    <w:rsid w:val="00525736"/>
    <w:rsid w:val="00525EF1"/>
    <w:rsid w:val="0052678E"/>
    <w:rsid w:val="00526BD1"/>
    <w:rsid w:val="00526C25"/>
    <w:rsid w:val="00526D6A"/>
    <w:rsid w:val="00526FA1"/>
    <w:rsid w:val="0052732B"/>
    <w:rsid w:val="0052773E"/>
    <w:rsid w:val="00527BC0"/>
    <w:rsid w:val="00527CCB"/>
    <w:rsid w:val="00527F5C"/>
    <w:rsid w:val="0053036C"/>
    <w:rsid w:val="00530729"/>
    <w:rsid w:val="00530B0D"/>
    <w:rsid w:val="00530B45"/>
    <w:rsid w:val="00530B92"/>
    <w:rsid w:val="00531145"/>
    <w:rsid w:val="005315AF"/>
    <w:rsid w:val="00531657"/>
    <w:rsid w:val="0053178E"/>
    <w:rsid w:val="0053185C"/>
    <w:rsid w:val="005318A4"/>
    <w:rsid w:val="0053193C"/>
    <w:rsid w:val="00531ACE"/>
    <w:rsid w:val="00531C3C"/>
    <w:rsid w:val="00531CD8"/>
    <w:rsid w:val="00531F0D"/>
    <w:rsid w:val="00532521"/>
    <w:rsid w:val="0053271A"/>
    <w:rsid w:val="0053288C"/>
    <w:rsid w:val="00532898"/>
    <w:rsid w:val="00532905"/>
    <w:rsid w:val="00532C42"/>
    <w:rsid w:val="00532CC1"/>
    <w:rsid w:val="00532E02"/>
    <w:rsid w:val="00532E07"/>
    <w:rsid w:val="005330FD"/>
    <w:rsid w:val="00533722"/>
    <w:rsid w:val="00533737"/>
    <w:rsid w:val="00533F1A"/>
    <w:rsid w:val="005347D8"/>
    <w:rsid w:val="005355BA"/>
    <w:rsid w:val="0053561C"/>
    <w:rsid w:val="00535786"/>
    <w:rsid w:val="005357ED"/>
    <w:rsid w:val="00535919"/>
    <w:rsid w:val="0053598A"/>
    <w:rsid w:val="00535A15"/>
    <w:rsid w:val="00535CD2"/>
    <w:rsid w:val="0053609C"/>
    <w:rsid w:val="0053622E"/>
    <w:rsid w:val="0053625C"/>
    <w:rsid w:val="00536499"/>
    <w:rsid w:val="0053652A"/>
    <w:rsid w:val="00536713"/>
    <w:rsid w:val="00537067"/>
    <w:rsid w:val="00537490"/>
    <w:rsid w:val="005376AE"/>
    <w:rsid w:val="00537749"/>
    <w:rsid w:val="00540079"/>
    <w:rsid w:val="00540154"/>
    <w:rsid w:val="0054020E"/>
    <w:rsid w:val="00540566"/>
    <w:rsid w:val="00540797"/>
    <w:rsid w:val="005408BF"/>
    <w:rsid w:val="00540910"/>
    <w:rsid w:val="00540936"/>
    <w:rsid w:val="00540C4F"/>
    <w:rsid w:val="00540D8F"/>
    <w:rsid w:val="00540E38"/>
    <w:rsid w:val="005410C3"/>
    <w:rsid w:val="00541233"/>
    <w:rsid w:val="00541438"/>
    <w:rsid w:val="0054153A"/>
    <w:rsid w:val="005417B3"/>
    <w:rsid w:val="0054192E"/>
    <w:rsid w:val="00541C4C"/>
    <w:rsid w:val="00541C52"/>
    <w:rsid w:val="00541CE8"/>
    <w:rsid w:val="00541CFC"/>
    <w:rsid w:val="00541F4E"/>
    <w:rsid w:val="005421C7"/>
    <w:rsid w:val="0054244E"/>
    <w:rsid w:val="005424D1"/>
    <w:rsid w:val="00542D08"/>
    <w:rsid w:val="005430D5"/>
    <w:rsid w:val="0054342B"/>
    <w:rsid w:val="0054353A"/>
    <w:rsid w:val="005436C8"/>
    <w:rsid w:val="0054377E"/>
    <w:rsid w:val="00543C73"/>
    <w:rsid w:val="00543D99"/>
    <w:rsid w:val="00543FF1"/>
    <w:rsid w:val="0054435C"/>
    <w:rsid w:val="00544414"/>
    <w:rsid w:val="00544490"/>
    <w:rsid w:val="005447FA"/>
    <w:rsid w:val="005448DB"/>
    <w:rsid w:val="00544976"/>
    <w:rsid w:val="00544C29"/>
    <w:rsid w:val="00544D39"/>
    <w:rsid w:val="00544FC8"/>
    <w:rsid w:val="0054515E"/>
    <w:rsid w:val="005453B8"/>
    <w:rsid w:val="00545546"/>
    <w:rsid w:val="0054555C"/>
    <w:rsid w:val="00545704"/>
    <w:rsid w:val="0054573A"/>
    <w:rsid w:val="00545AE6"/>
    <w:rsid w:val="00545C61"/>
    <w:rsid w:val="00545C65"/>
    <w:rsid w:val="00546026"/>
    <w:rsid w:val="00546028"/>
    <w:rsid w:val="005460E3"/>
    <w:rsid w:val="00546578"/>
    <w:rsid w:val="00547066"/>
    <w:rsid w:val="00547603"/>
    <w:rsid w:val="00547758"/>
    <w:rsid w:val="00547CE0"/>
    <w:rsid w:val="00550094"/>
    <w:rsid w:val="00550112"/>
    <w:rsid w:val="005501A5"/>
    <w:rsid w:val="005501F1"/>
    <w:rsid w:val="005502BB"/>
    <w:rsid w:val="005505B8"/>
    <w:rsid w:val="00550847"/>
    <w:rsid w:val="00550A57"/>
    <w:rsid w:val="00550BBD"/>
    <w:rsid w:val="00550BD5"/>
    <w:rsid w:val="00550CB1"/>
    <w:rsid w:val="00550DDB"/>
    <w:rsid w:val="00550EAB"/>
    <w:rsid w:val="00551003"/>
    <w:rsid w:val="00551172"/>
    <w:rsid w:val="005511A8"/>
    <w:rsid w:val="005516CE"/>
    <w:rsid w:val="00551786"/>
    <w:rsid w:val="00551A5E"/>
    <w:rsid w:val="00551A8C"/>
    <w:rsid w:val="0055204A"/>
    <w:rsid w:val="005520F1"/>
    <w:rsid w:val="00552385"/>
    <w:rsid w:val="005525D7"/>
    <w:rsid w:val="005526E6"/>
    <w:rsid w:val="00552771"/>
    <w:rsid w:val="0055299A"/>
    <w:rsid w:val="00552B09"/>
    <w:rsid w:val="00552E25"/>
    <w:rsid w:val="00552F28"/>
    <w:rsid w:val="005531C9"/>
    <w:rsid w:val="0055328C"/>
    <w:rsid w:val="0055348D"/>
    <w:rsid w:val="00553663"/>
    <w:rsid w:val="005536D0"/>
    <w:rsid w:val="005537C0"/>
    <w:rsid w:val="00553B01"/>
    <w:rsid w:val="00553C55"/>
    <w:rsid w:val="00554168"/>
    <w:rsid w:val="0055455F"/>
    <w:rsid w:val="00554783"/>
    <w:rsid w:val="00554B2C"/>
    <w:rsid w:val="00554EBB"/>
    <w:rsid w:val="005556E7"/>
    <w:rsid w:val="00555A0D"/>
    <w:rsid w:val="00555AAD"/>
    <w:rsid w:val="00555E4E"/>
    <w:rsid w:val="0055625B"/>
    <w:rsid w:val="005562E9"/>
    <w:rsid w:val="005562EE"/>
    <w:rsid w:val="0055646F"/>
    <w:rsid w:val="00556580"/>
    <w:rsid w:val="005565AD"/>
    <w:rsid w:val="00556828"/>
    <w:rsid w:val="00556899"/>
    <w:rsid w:val="00556DC6"/>
    <w:rsid w:val="00556EB8"/>
    <w:rsid w:val="00557268"/>
    <w:rsid w:val="00557401"/>
    <w:rsid w:val="005576AD"/>
    <w:rsid w:val="00557814"/>
    <w:rsid w:val="005579EC"/>
    <w:rsid w:val="00557E55"/>
    <w:rsid w:val="00557E58"/>
    <w:rsid w:val="00557F1A"/>
    <w:rsid w:val="00557F4E"/>
    <w:rsid w:val="0056030F"/>
    <w:rsid w:val="0056062E"/>
    <w:rsid w:val="00560752"/>
    <w:rsid w:val="005607E7"/>
    <w:rsid w:val="00560A96"/>
    <w:rsid w:val="00560AE8"/>
    <w:rsid w:val="00560B68"/>
    <w:rsid w:val="00560E38"/>
    <w:rsid w:val="00560E52"/>
    <w:rsid w:val="00560F75"/>
    <w:rsid w:val="00560F79"/>
    <w:rsid w:val="00561057"/>
    <w:rsid w:val="0056112F"/>
    <w:rsid w:val="005618F9"/>
    <w:rsid w:val="00561963"/>
    <w:rsid w:val="005619F1"/>
    <w:rsid w:val="00561BDD"/>
    <w:rsid w:val="00561D70"/>
    <w:rsid w:val="00561E50"/>
    <w:rsid w:val="005626AF"/>
    <w:rsid w:val="00562A64"/>
    <w:rsid w:val="00562B48"/>
    <w:rsid w:val="00562BD3"/>
    <w:rsid w:val="00562BE2"/>
    <w:rsid w:val="00562E38"/>
    <w:rsid w:val="005631BB"/>
    <w:rsid w:val="0056325E"/>
    <w:rsid w:val="00563335"/>
    <w:rsid w:val="0056385E"/>
    <w:rsid w:val="00563885"/>
    <w:rsid w:val="00563CAE"/>
    <w:rsid w:val="0056419E"/>
    <w:rsid w:val="005642E0"/>
    <w:rsid w:val="00564405"/>
    <w:rsid w:val="005644C2"/>
    <w:rsid w:val="00564A73"/>
    <w:rsid w:val="00564BA9"/>
    <w:rsid w:val="00564FB6"/>
    <w:rsid w:val="0056504A"/>
    <w:rsid w:val="00565258"/>
    <w:rsid w:val="005657AA"/>
    <w:rsid w:val="00565861"/>
    <w:rsid w:val="00565A8C"/>
    <w:rsid w:val="00565CC1"/>
    <w:rsid w:val="00565D12"/>
    <w:rsid w:val="00565E05"/>
    <w:rsid w:val="00565E2A"/>
    <w:rsid w:val="00565EB5"/>
    <w:rsid w:val="00565EBA"/>
    <w:rsid w:val="005660D4"/>
    <w:rsid w:val="005661E7"/>
    <w:rsid w:val="005663FD"/>
    <w:rsid w:val="00566AAA"/>
    <w:rsid w:val="00566CE4"/>
    <w:rsid w:val="0056727A"/>
    <w:rsid w:val="00567428"/>
    <w:rsid w:val="00567708"/>
    <w:rsid w:val="0056779B"/>
    <w:rsid w:val="005677C9"/>
    <w:rsid w:val="00567BB6"/>
    <w:rsid w:val="00567BFF"/>
    <w:rsid w:val="00567E1F"/>
    <w:rsid w:val="00567E8F"/>
    <w:rsid w:val="00567F31"/>
    <w:rsid w:val="00567F83"/>
    <w:rsid w:val="0057002C"/>
    <w:rsid w:val="005714C6"/>
    <w:rsid w:val="00571A43"/>
    <w:rsid w:val="00571B25"/>
    <w:rsid w:val="00571C04"/>
    <w:rsid w:val="00572479"/>
    <w:rsid w:val="005724F8"/>
    <w:rsid w:val="005726B6"/>
    <w:rsid w:val="005728D7"/>
    <w:rsid w:val="00572D7B"/>
    <w:rsid w:val="00572EA8"/>
    <w:rsid w:val="00572EFB"/>
    <w:rsid w:val="005730D0"/>
    <w:rsid w:val="00573555"/>
    <w:rsid w:val="00573B9F"/>
    <w:rsid w:val="00573C8A"/>
    <w:rsid w:val="00573C8C"/>
    <w:rsid w:val="00573E5C"/>
    <w:rsid w:val="00574127"/>
    <w:rsid w:val="005742D1"/>
    <w:rsid w:val="005742ED"/>
    <w:rsid w:val="00574663"/>
    <w:rsid w:val="005746DD"/>
    <w:rsid w:val="00574788"/>
    <w:rsid w:val="005748DC"/>
    <w:rsid w:val="00574E81"/>
    <w:rsid w:val="00574FF2"/>
    <w:rsid w:val="005752BC"/>
    <w:rsid w:val="0057562F"/>
    <w:rsid w:val="00575778"/>
    <w:rsid w:val="005758A0"/>
    <w:rsid w:val="00575A17"/>
    <w:rsid w:val="00575B76"/>
    <w:rsid w:val="00575C7D"/>
    <w:rsid w:val="00575CD8"/>
    <w:rsid w:val="00575D0B"/>
    <w:rsid w:val="00575D8E"/>
    <w:rsid w:val="00575DC1"/>
    <w:rsid w:val="00575E0D"/>
    <w:rsid w:val="00575F7C"/>
    <w:rsid w:val="00575FED"/>
    <w:rsid w:val="0057600B"/>
    <w:rsid w:val="0057617F"/>
    <w:rsid w:val="00576407"/>
    <w:rsid w:val="00576701"/>
    <w:rsid w:val="00576991"/>
    <w:rsid w:val="00576FE9"/>
    <w:rsid w:val="005771B1"/>
    <w:rsid w:val="005771D8"/>
    <w:rsid w:val="00577377"/>
    <w:rsid w:val="0057755B"/>
    <w:rsid w:val="00577B2F"/>
    <w:rsid w:val="00577EF8"/>
    <w:rsid w:val="00577F4C"/>
    <w:rsid w:val="005800AF"/>
    <w:rsid w:val="00580285"/>
    <w:rsid w:val="00580291"/>
    <w:rsid w:val="005805B7"/>
    <w:rsid w:val="00580694"/>
    <w:rsid w:val="00581318"/>
    <w:rsid w:val="0058135B"/>
    <w:rsid w:val="00581433"/>
    <w:rsid w:val="0058169B"/>
    <w:rsid w:val="00581C32"/>
    <w:rsid w:val="00581CA7"/>
    <w:rsid w:val="00581CA8"/>
    <w:rsid w:val="00582261"/>
    <w:rsid w:val="00582364"/>
    <w:rsid w:val="005825A2"/>
    <w:rsid w:val="00582A8E"/>
    <w:rsid w:val="00582FF9"/>
    <w:rsid w:val="00583110"/>
    <w:rsid w:val="005831C9"/>
    <w:rsid w:val="00583490"/>
    <w:rsid w:val="00583B69"/>
    <w:rsid w:val="00583C6C"/>
    <w:rsid w:val="00583EFA"/>
    <w:rsid w:val="00584188"/>
    <w:rsid w:val="005841D1"/>
    <w:rsid w:val="00584526"/>
    <w:rsid w:val="00584D45"/>
    <w:rsid w:val="00584DD6"/>
    <w:rsid w:val="00585655"/>
    <w:rsid w:val="005858F3"/>
    <w:rsid w:val="00585D5F"/>
    <w:rsid w:val="00585FDF"/>
    <w:rsid w:val="0058612C"/>
    <w:rsid w:val="0058659F"/>
    <w:rsid w:val="00586791"/>
    <w:rsid w:val="0058699A"/>
    <w:rsid w:val="0058699D"/>
    <w:rsid w:val="00586A8B"/>
    <w:rsid w:val="00586B2E"/>
    <w:rsid w:val="00586CBD"/>
    <w:rsid w:val="00586DB6"/>
    <w:rsid w:val="00586F32"/>
    <w:rsid w:val="00586FD2"/>
    <w:rsid w:val="005872BC"/>
    <w:rsid w:val="0058732A"/>
    <w:rsid w:val="005873C6"/>
    <w:rsid w:val="00587457"/>
    <w:rsid w:val="0058766E"/>
    <w:rsid w:val="00587A45"/>
    <w:rsid w:val="00587E31"/>
    <w:rsid w:val="00587F46"/>
    <w:rsid w:val="00590063"/>
    <w:rsid w:val="005901BC"/>
    <w:rsid w:val="00590259"/>
    <w:rsid w:val="0059038C"/>
    <w:rsid w:val="0059091B"/>
    <w:rsid w:val="00590A12"/>
    <w:rsid w:val="00590A51"/>
    <w:rsid w:val="00590C3E"/>
    <w:rsid w:val="00590CC2"/>
    <w:rsid w:val="00590CE2"/>
    <w:rsid w:val="00591024"/>
    <w:rsid w:val="005912F5"/>
    <w:rsid w:val="0059153E"/>
    <w:rsid w:val="00591604"/>
    <w:rsid w:val="00591C0B"/>
    <w:rsid w:val="00591E2B"/>
    <w:rsid w:val="00591F6B"/>
    <w:rsid w:val="00592359"/>
    <w:rsid w:val="0059237C"/>
    <w:rsid w:val="005929BC"/>
    <w:rsid w:val="00592C7F"/>
    <w:rsid w:val="00593095"/>
    <w:rsid w:val="00593436"/>
    <w:rsid w:val="00593581"/>
    <w:rsid w:val="005935DF"/>
    <w:rsid w:val="00593717"/>
    <w:rsid w:val="00593866"/>
    <w:rsid w:val="0059392B"/>
    <w:rsid w:val="00593963"/>
    <w:rsid w:val="00593A5B"/>
    <w:rsid w:val="00593BD5"/>
    <w:rsid w:val="00594482"/>
    <w:rsid w:val="0059488B"/>
    <w:rsid w:val="005949EC"/>
    <w:rsid w:val="00594DE1"/>
    <w:rsid w:val="005952E5"/>
    <w:rsid w:val="00595760"/>
    <w:rsid w:val="0059586A"/>
    <w:rsid w:val="00595984"/>
    <w:rsid w:val="005959B3"/>
    <w:rsid w:val="00595E3B"/>
    <w:rsid w:val="005961DE"/>
    <w:rsid w:val="0059650D"/>
    <w:rsid w:val="005965A7"/>
    <w:rsid w:val="005967EF"/>
    <w:rsid w:val="00596A97"/>
    <w:rsid w:val="00596BBC"/>
    <w:rsid w:val="005973E0"/>
    <w:rsid w:val="005975A2"/>
    <w:rsid w:val="00597853"/>
    <w:rsid w:val="00597B1A"/>
    <w:rsid w:val="00597C0D"/>
    <w:rsid w:val="00597C45"/>
    <w:rsid w:val="00597D04"/>
    <w:rsid w:val="005A0129"/>
    <w:rsid w:val="005A015A"/>
    <w:rsid w:val="005A01CC"/>
    <w:rsid w:val="005A0234"/>
    <w:rsid w:val="005A03C5"/>
    <w:rsid w:val="005A08BF"/>
    <w:rsid w:val="005A0B20"/>
    <w:rsid w:val="005A0DF6"/>
    <w:rsid w:val="005A0F02"/>
    <w:rsid w:val="005A0FBD"/>
    <w:rsid w:val="005A1236"/>
    <w:rsid w:val="005A144E"/>
    <w:rsid w:val="005A169C"/>
    <w:rsid w:val="005A1B72"/>
    <w:rsid w:val="005A1DCE"/>
    <w:rsid w:val="005A1F66"/>
    <w:rsid w:val="005A20A0"/>
    <w:rsid w:val="005A218B"/>
    <w:rsid w:val="005A223C"/>
    <w:rsid w:val="005A253F"/>
    <w:rsid w:val="005A27C4"/>
    <w:rsid w:val="005A28A7"/>
    <w:rsid w:val="005A292F"/>
    <w:rsid w:val="005A2954"/>
    <w:rsid w:val="005A2991"/>
    <w:rsid w:val="005A299B"/>
    <w:rsid w:val="005A2D11"/>
    <w:rsid w:val="005A3026"/>
    <w:rsid w:val="005A3085"/>
    <w:rsid w:val="005A34C8"/>
    <w:rsid w:val="005A36CE"/>
    <w:rsid w:val="005A41F4"/>
    <w:rsid w:val="005A42E9"/>
    <w:rsid w:val="005A4564"/>
    <w:rsid w:val="005A45DC"/>
    <w:rsid w:val="005A50E9"/>
    <w:rsid w:val="005A540E"/>
    <w:rsid w:val="005A5469"/>
    <w:rsid w:val="005A5556"/>
    <w:rsid w:val="005A564C"/>
    <w:rsid w:val="005A5712"/>
    <w:rsid w:val="005A580C"/>
    <w:rsid w:val="005A5919"/>
    <w:rsid w:val="005A5951"/>
    <w:rsid w:val="005A5DC2"/>
    <w:rsid w:val="005A6435"/>
    <w:rsid w:val="005A656C"/>
    <w:rsid w:val="005A6E51"/>
    <w:rsid w:val="005A6F82"/>
    <w:rsid w:val="005A70B4"/>
    <w:rsid w:val="005A7346"/>
    <w:rsid w:val="005A7438"/>
    <w:rsid w:val="005A7563"/>
    <w:rsid w:val="005A758C"/>
    <w:rsid w:val="005A7819"/>
    <w:rsid w:val="005A7AD7"/>
    <w:rsid w:val="005A7C6A"/>
    <w:rsid w:val="005A7D86"/>
    <w:rsid w:val="005A7E9A"/>
    <w:rsid w:val="005A7ECA"/>
    <w:rsid w:val="005A7F26"/>
    <w:rsid w:val="005B003F"/>
    <w:rsid w:val="005B0578"/>
    <w:rsid w:val="005B059F"/>
    <w:rsid w:val="005B09B7"/>
    <w:rsid w:val="005B0A17"/>
    <w:rsid w:val="005B0CD9"/>
    <w:rsid w:val="005B0D4F"/>
    <w:rsid w:val="005B0FCA"/>
    <w:rsid w:val="005B0FF6"/>
    <w:rsid w:val="005B1310"/>
    <w:rsid w:val="005B1358"/>
    <w:rsid w:val="005B1368"/>
    <w:rsid w:val="005B1540"/>
    <w:rsid w:val="005B1797"/>
    <w:rsid w:val="005B17F8"/>
    <w:rsid w:val="005B1B74"/>
    <w:rsid w:val="005B1C81"/>
    <w:rsid w:val="005B1D38"/>
    <w:rsid w:val="005B201D"/>
    <w:rsid w:val="005B2049"/>
    <w:rsid w:val="005B20AE"/>
    <w:rsid w:val="005B2217"/>
    <w:rsid w:val="005B22E3"/>
    <w:rsid w:val="005B2424"/>
    <w:rsid w:val="005B2491"/>
    <w:rsid w:val="005B25A9"/>
    <w:rsid w:val="005B296B"/>
    <w:rsid w:val="005B2B24"/>
    <w:rsid w:val="005B2CA2"/>
    <w:rsid w:val="005B2E4A"/>
    <w:rsid w:val="005B328E"/>
    <w:rsid w:val="005B3293"/>
    <w:rsid w:val="005B3730"/>
    <w:rsid w:val="005B3770"/>
    <w:rsid w:val="005B3BC5"/>
    <w:rsid w:val="005B4143"/>
    <w:rsid w:val="005B4169"/>
    <w:rsid w:val="005B42AD"/>
    <w:rsid w:val="005B439C"/>
    <w:rsid w:val="005B43FE"/>
    <w:rsid w:val="005B4553"/>
    <w:rsid w:val="005B4B27"/>
    <w:rsid w:val="005B507A"/>
    <w:rsid w:val="005B5385"/>
    <w:rsid w:val="005B5867"/>
    <w:rsid w:val="005B59E2"/>
    <w:rsid w:val="005B5BBF"/>
    <w:rsid w:val="005B5D63"/>
    <w:rsid w:val="005B5D76"/>
    <w:rsid w:val="005B60DE"/>
    <w:rsid w:val="005B6603"/>
    <w:rsid w:val="005B6A24"/>
    <w:rsid w:val="005B6A91"/>
    <w:rsid w:val="005B6F50"/>
    <w:rsid w:val="005B6FE4"/>
    <w:rsid w:val="005B709C"/>
    <w:rsid w:val="005B73E6"/>
    <w:rsid w:val="005B7816"/>
    <w:rsid w:val="005B7839"/>
    <w:rsid w:val="005B78E0"/>
    <w:rsid w:val="005B794C"/>
    <w:rsid w:val="005B79DD"/>
    <w:rsid w:val="005B79DE"/>
    <w:rsid w:val="005B7C1F"/>
    <w:rsid w:val="005B7F08"/>
    <w:rsid w:val="005C0051"/>
    <w:rsid w:val="005C0265"/>
    <w:rsid w:val="005C04E2"/>
    <w:rsid w:val="005C0620"/>
    <w:rsid w:val="005C06C5"/>
    <w:rsid w:val="005C0708"/>
    <w:rsid w:val="005C077E"/>
    <w:rsid w:val="005C09E9"/>
    <w:rsid w:val="005C0DAB"/>
    <w:rsid w:val="005C10C9"/>
    <w:rsid w:val="005C115E"/>
    <w:rsid w:val="005C1311"/>
    <w:rsid w:val="005C144E"/>
    <w:rsid w:val="005C14BA"/>
    <w:rsid w:val="005C1BC1"/>
    <w:rsid w:val="005C1BD2"/>
    <w:rsid w:val="005C1E39"/>
    <w:rsid w:val="005C2236"/>
    <w:rsid w:val="005C234E"/>
    <w:rsid w:val="005C2752"/>
    <w:rsid w:val="005C2AC1"/>
    <w:rsid w:val="005C2AEA"/>
    <w:rsid w:val="005C2ECB"/>
    <w:rsid w:val="005C34A1"/>
    <w:rsid w:val="005C35A0"/>
    <w:rsid w:val="005C3C06"/>
    <w:rsid w:val="005C3E10"/>
    <w:rsid w:val="005C4202"/>
    <w:rsid w:val="005C4C8C"/>
    <w:rsid w:val="005C4CAC"/>
    <w:rsid w:val="005C4D2E"/>
    <w:rsid w:val="005C4D8E"/>
    <w:rsid w:val="005C521D"/>
    <w:rsid w:val="005C5426"/>
    <w:rsid w:val="005C55B2"/>
    <w:rsid w:val="005C5720"/>
    <w:rsid w:val="005C5B1B"/>
    <w:rsid w:val="005C5CB3"/>
    <w:rsid w:val="005C6445"/>
    <w:rsid w:val="005C6EB4"/>
    <w:rsid w:val="005C70F7"/>
    <w:rsid w:val="005C76E8"/>
    <w:rsid w:val="005C7A6C"/>
    <w:rsid w:val="005C7B69"/>
    <w:rsid w:val="005C7B89"/>
    <w:rsid w:val="005C7E3C"/>
    <w:rsid w:val="005C7F44"/>
    <w:rsid w:val="005D0167"/>
    <w:rsid w:val="005D05E4"/>
    <w:rsid w:val="005D08BC"/>
    <w:rsid w:val="005D0A1B"/>
    <w:rsid w:val="005D0EBF"/>
    <w:rsid w:val="005D0F8C"/>
    <w:rsid w:val="005D120B"/>
    <w:rsid w:val="005D1634"/>
    <w:rsid w:val="005D1904"/>
    <w:rsid w:val="005D1972"/>
    <w:rsid w:val="005D1A19"/>
    <w:rsid w:val="005D1BB7"/>
    <w:rsid w:val="005D1F1C"/>
    <w:rsid w:val="005D2019"/>
    <w:rsid w:val="005D21EB"/>
    <w:rsid w:val="005D24B9"/>
    <w:rsid w:val="005D2610"/>
    <w:rsid w:val="005D2680"/>
    <w:rsid w:val="005D277F"/>
    <w:rsid w:val="005D2819"/>
    <w:rsid w:val="005D3217"/>
    <w:rsid w:val="005D326F"/>
    <w:rsid w:val="005D3271"/>
    <w:rsid w:val="005D3320"/>
    <w:rsid w:val="005D3514"/>
    <w:rsid w:val="005D3C6C"/>
    <w:rsid w:val="005D3DC8"/>
    <w:rsid w:val="005D3E03"/>
    <w:rsid w:val="005D416C"/>
    <w:rsid w:val="005D425E"/>
    <w:rsid w:val="005D4647"/>
    <w:rsid w:val="005D49AE"/>
    <w:rsid w:val="005D4A57"/>
    <w:rsid w:val="005D4A9B"/>
    <w:rsid w:val="005D4B92"/>
    <w:rsid w:val="005D4C03"/>
    <w:rsid w:val="005D4CED"/>
    <w:rsid w:val="005D4D3C"/>
    <w:rsid w:val="005D4DE5"/>
    <w:rsid w:val="005D4E11"/>
    <w:rsid w:val="005D4F39"/>
    <w:rsid w:val="005D50E3"/>
    <w:rsid w:val="005D5266"/>
    <w:rsid w:val="005D55D0"/>
    <w:rsid w:val="005D55DD"/>
    <w:rsid w:val="005D59C1"/>
    <w:rsid w:val="005D5A4F"/>
    <w:rsid w:val="005D5B52"/>
    <w:rsid w:val="005D5B77"/>
    <w:rsid w:val="005D5B7F"/>
    <w:rsid w:val="005D5C78"/>
    <w:rsid w:val="005D5D48"/>
    <w:rsid w:val="005D5DC6"/>
    <w:rsid w:val="005D5E36"/>
    <w:rsid w:val="005D5E62"/>
    <w:rsid w:val="005D6094"/>
    <w:rsid w:val="005D60CF"/>
    <w:rsid w:val="005D636A"/>
    <w:rsid w:val="005D6555"/>
    <w:rsid w:val="005D65A4"/>
    <w:rsid w:val="005D662A"/>
    <w:rsid w:val="005D69C4"/>
    <w:rsid w:val="005D69CE"/>
    <w:rsid w:val="005D6A3B"/>
    <w:rsid w:val="005D6C07"/>
    <w:rsid w:val="005D6F2E"/>
    <w:rsid w:val="005D6FBC"/>
    <w:rsid w:val="005D71F4"/>
    <w:rsid w:val="005D734E"/>
    <w:rsid w:val="005D7357"/>
    <w:rsid w:val="005D749B"/>
    <w:rsid w:val="005E0294"/>
    <w:rsid w:val="005E0AA6"/>
    <w:rsid w:val="005E0FB8"/>
    <w:rsid w:val="005E0FEA"/>
    <w:rsid w:val="005E1033"/>
    <w:rsid w:val="005E11E1"/>
    <w:rsid w:val="005E153A"/>
    <w:rsid w:val="005E15B8"/>
    <w:rsid w:val="005E162B"/>
    <w:rsid w:val="005E1B24"/>
    <w:rsid w:val="005E1DBD"/>
    <w:rsid w:val="005E2024"/>
    <w:rsid w:val="005E2697"/>
    <w:rsid w:val="005E2879"/>
    <w:rsid w:val="005E29D9"/>
    <w:rsid w:val="005E2B01"/>
    <w:rsid w:val="005E2C72"/>
    <w:rsid w:val="005E2C89"/>
    <w:rsid w:val="005E2DED"/>
    <w:rsid w:val="005E2EAA"/>
    <w:rsid w:val="005E327A"/>
    <w:rsid w:val="005E3309"/>
    <w:rsid w:val="005E3597"/>
    <w:rsid w:val="005E36DD"/>
    <w:rsid w:val="005E3A19"/>
    <w:rsid w:val="005E3B81"/>
    <w:rsid w:val="005E3D13"/>
    <w:rsid w:val="005E3D47"/>
    <w:rsid w:val="005E4069"/>
    <w:rsid w:val="005E493D"/>
    <w:rsid w:val="005E4AF2"/>
    <w:rsid w:val="005E4B1F"/>
    <w:rsid w:val="005E5099"/>
    <w:rsid w:val="005E5565"/>
    <w:rsid w:val="005E5945"/>
    <w:rsid w:val="005E5BB6"/>
    <w:rsid w:val="005E62BA"/>
    <w:rsid w:val="005E633B"/>
    <w:rsid w:val="005E6573"/>
    <w:rsid w:val="005E663A"/>
    <w:rsid w:val="005E6650"/>
    <w:rsid w:val="005E68AF"/>
    <w:rsid w:val="005E6B00"/>
    <w:rsid w:val="005E6B2C"/>
    <w:rsid w:val="005E6CF6"/>
    <w:rsid w:val="005E6EBF"/>
    <w:rsid w:val="005E6EF1"/>
    <w:rsid w:val="005E6F51"/>
    <w:rsid w:val="005E7776"/>
    <w:rsid w:val="005E7C4F"/>
    <w:rsid w:val="005E7CB4"/>
    <w:rsid w:val="005E7F8A"/>
    <w:rsid w:val="005F04A9"/>
    <w:rsid w:val="005F04F8"/>
    <w:rsid w:val="005F0589"/>
    <w:rsid w:val="005F06DE"/>
    <w:rsid w:val="005F07B6"/>
    <w:rsid w:val="005F0DA7"/>
    <w:rsid w:val="005F0E05"/>
    <w:rsid w:val="005F0EEF"/>
    <w:rsid w:val="005F0F37"/>
    <w:rsid w:val="005F0FAF"/>
    <w:rsid w:val="005F0FD6"/>
    <w:rsid w:val="005F11B1"/>
    <w:rsid w:val="005F13E6"/>
    <w:rsid w:val="005F1514"/>
    <w:rsid w:val="005F1552"/>
    <w:rsid w:val="005F1A6F"/>
    <w:rsid w:val="005F1B63"/>
    <w:rsid w:val="005F1E2A"/>
    <w:rsid w:val="005F1F2E"/>
    <w:rsid w:val="005F23CA"/>
    <w:rsid w:val="005F26E6"/>
    <w:rsid w:val="005F27E8"/>
    <w:rsid w:val="005F2847"/>
    <w:rsid w:val="005F28C3"/>
    <w:rsid w:val="005F2C00"/>
    <w:rsid w:val="005F3222"/>
    <w:rsid w:val="005F32DF"/>
    <w:rsid w:val="005F3581"/>
    <w:rsid w:val="005F3AB9"/>
    <w:rsid w:val="005F5170"/>
    <w:rsid w:val="005F53A2"/>
    <w:rsid w:val="005F5471"/>
    <w:rsid w:val="005F5919"/>
    <w:rsid w:val="005F5C41"/>
    <w:rsid w:val="005F5C4E"/>
    <w:rsid w:val="005F627F"/>
    <w:rsid w:val="005F6419"/>
    <w:rsid w:val="005F6919"/>
    <w:rsid w:val="005F6ABC"/>
    <w:rsid w:val="005F6AF4"/>
    <w:rsid w:val="005F7385"/>
    <w:rsid w:val="005F743E"/>
    <w:rsid w:val="005F74C5"/>
    <w:rsid w:val="005F7AC1"/>
    <w:rsid w:val="005F7AEE"/>
    <w:rsid w:val="005F7CE5"/>
    <w:rsid w:val="006000A0"/>
    <w:rsid w:val="006000E2"/>
    <w:rsid w:val="00600247"/>
    <w:rsid w:val="006002A1"/>
    <w:rsid w:val="006006E1"/>
    <w:rsid w:val="0060087A"/>
    <w:rsid w:val="0060097A"/>
    <w:rsid w:val="00600BDD"/>
    <w:rsid w:val="00600C17"/>
    <w:rsid w:val="00600CF8"/>
    <w:rsid w:val="00600CFE"/>
    <w:rsid w:val="006017C0"/>
    <w:rsid w:val="0060186E"/>
    <w:rsid w:val="00601D51"/>
    <w:rsid w:val="0060201F"/>
    <w:rsid w:val="0060233C"/>
    <w:rsid w:val="00602A31"/>
    <w:rsid w:val="00602AD3"/>
    <w:rsid w:val="00602B9D"/>
    <w:rsid w:val="00602CDF"/>
    <w:rsid w:val="00602D85"/>
    <w:rsid w:val="00602F05"/>
    <w:rsid w:val="006031B8"/>
    <w:rsid w:val="00603409"/>
    <w:rsid w:val="006037BB"/>
    <w:rsid w:val="00603B00"/>
    <w:rsid w:val="00603D0D"/>
    <w:rsid w:val="00603E15"/>
    <w:rsid w:val="006049A6"/>
    <w:rsid w:val="00604E44"/>
    <w:rsid w:val="00604E81"/>
    <w:rsid w:val="006050BA"/>
    <w:rsid w:val="00605744"/>
    <w:rsid w:val="0060677E"/>
    <w:rsid w:val="00606B88"/>
    <w:rsid w:val="00606C1C"/>
    <w:rsid w:val="00606E4F"/>
    <w:rsid w:val="006072DC"/>
    <w:rsid w:val="006075D4"/>
    <w:rsid w:val="0060786A"/>
    <w:rsid w:val="00607929"/>
    <w:rsid w:val="00607A52"/>
    <w:rsid w:val="00607AD9"/>
    <w:rsid w:val="00607AFD"/>
    <w:rsid w:val="00607C76"/>
    <w:rsid w:val="00607E39"/>
    <w:rsid w:val="00607EE9"/>
    <w:rsid w:val="0061083B"/>
    <w:rsid w:val="00610EA5"/>
    <w:rsid w:val="00611135"/>
    <w:rsid w:val="0061175C"/>
    <w:rsid w:val="00611787"/>
    <w:rsid w:val="00611EDB"/>
    <w:rsid w:val="00612651"/>
    <w:rsid w:val="00612B53"/>
    <w:rsid w:val="00612BAC"/>
    <w:rsid w:val="00612E3F"/>
    <w:rsid w:val="0061300A"/>
    <w:rsid w:val="00613129"/>
    <w:rsid w:val="0061314A"/>
    <w:rsid w:val="006132D6"/>
    <w:rsid w:val="00613375"/>
    <w:rsid w:val="006134B7"/>
    <w:rsid w:val="00613655"/>
    <w:rsid w:val="0061366C"/>
    <w:rsid w:val="006139A5"/>
    <w:rsid w:val="00613B6C"/>
    <w:rsid w:val="00613BCF"/>
    <w:rsid w:val="00613F03"/>
    <w:rsid w:val="006141C1"/>
    <w:rsid w:val="00614570"/>
    <w:rsid w:val="0061460A"/>
    <w:rsid w:val="00614771"/>
    <w:rsid w:val="0061488D"/>
    <w:rsid w:val="00614A9A"/>
    <w:rsid w:val="00614BD0"/>
    <w:rsid w:val="00614D6A"/>
    <w:rsid w:val="00614F28"/>
    <w:rsid w:val="0061509B"/>
    <w:rsid w:val="006151B7"/>
    <w:rsid w:val="0061570A"/>
    <w:rsid w:val="00615AE2"/>
    <w:rsid w:val="00615C33"/>
    <w:rsid w:val="00615CDF"/>
    <w:rsid w:val="00615DAD"/>
    <w:rsid w:val="00615E04"/>
    <w:rsid w:val="006162C5"/>
    <w:rsid w:val="0061633A"/>
    <w:rsid w:val="0061656F"/>
    <w:rsid w:val="0061675D"/>
    <w:rsid w:val="00616A04"/>
    <w:rsid w:val="00616DC3"/>
    <w:rsid w:val="00616E2B"/>
    <w:rsid w:val="006171CF"/>
    <w:rsid w:val="006179F2"/>
    <w:rsid w:val="0062031B"/>
    <w:rsid w:val="006208E4"/>
    <w:rsid w:val="00620DFD"/>
    <w:rsid w:val="0062106C"/>
    <w:rsid w:val="00621268"/>
    <w:rsid w:val="006212AF"/>
    <w:rsid w:val="0062181D"/>
    <w:rsid w:val="006219CF"/>
    <w:rsid w:val="00621EF3"/>
    <w:rsid w:val="00622150"/>
    <w:rsid w:val="0062223A"/>
    <w:rsid w:val="00622352"/>
    <w:rsid w:val="006225C7"/>
    <w:rsid w:val="0062271D"/>
    <w:rsid w:val="00622B42"/>
    <w:rsid w:val="006230E2"/>
    <w:rsid w:val="00623391"/>
    <w:rsid w:val="00623457"/>
    <w:rsid w:val="0062365A"/>
    <w:rsid w:val="006237ED"/>
    <w:rsid w:val="0062386C"/>
    <w:rsid w:val="0062388C"/>
    <w:rsid w:val="006239FE"/>
    <w:rsid w:val="00623AC3"/>
    <w:rsid w:val="00623C21"/>
    <w:rsid w:val="00623C30"/>
    <w:rsid w:val="00623D56"/>
    <w:rsid w:val="006241DD"/>
    <w:rsid w:val="00624240"/>
    <w:rsid w:val="0062426D"/>
    <w:rsid w:val="00624507"/>
    <w:rsid w:val="006245A1"/>
    <w:rsid w:val="00624784"/>
    <w:rsid w:val="006248FE"/>
    <w:rsid w:val="006249E0"/>
    <w:rsid w:val="00624A21"/>
    <w:rsid w:val="00624DCE"/>
    <w:rsid w:val="00624EDA"/>
    <w:rsid w:val="00624FE4"/>
    <w:rsid w:val="006250C3"/>
    <w:rsid w:val="006253C1"/>
    <w:rsid w:val="0062560E"/>
    <w:rsid w:val="00625948"/>
    <w:rsid w:val="00625A11"/>
    <w:rsid w:val="00625B11"/>
    <w:rsid w:val="00625CA3"/>
    <w:rsid w:val="006263ED"/>
    <w:rsid w:val="00626444"/>
    <w:rsid w:val="006270FD"/>
    <w:rsid w:val="00627345"/>
    <w:rsid w:val="006276CA"/>
    <w:rsid w:val="00627D7A"/>
    <w:rsid w:val="00627DDC"/>
    <w:rsid w:val="00627ED7"/>
    <w:rsid w:val="00627FB4"/>
    <w:rsid w:val="006304E9"/>
    <w:rsid w:val="006308FB"/>
    <w:rsid w:val="00630EE0"/>
    <w:rsid w:val="006312B8"/>
    <w:rsid w:val="00631305"/>
    <w:rsid w:val="0063140A"/>
    <w:rsid w:val="00631521"/>
    <w:rsid w:val="00631797"/>
    <w:rsid w:val="006317B6"/>
    <w:rsid w:val="00632110"/>
    <w:rsid w:val="00632168"/>
    <w:rsid w:val="006321C0"/>
    <w:rsid w:val="006325C1"/>
    <w:rsid w:val="00632642"/>
    <w:rsid w:val="006326BE"/>
    <w:rsid w:val="00632C89"/>
    <w:rsid w:val="00632CD9"/>
    <w:rsid w:val="00632F00"/>
    <w:rsid w:val="00633321"/>
    <w:rsid w:val="0063346E"/>
    <w:rsid w:val="0063368A"/>
    <w:rsid w:val="006336D3"/>
    <w:rsid w:val="006336EB"/>
    <w:rsid w:val="00633CF4"/>
    <w:rsid w:val="00633E30"/>
    <w:rsid w:val="00634086"/>
    <w:rsid w:val="0063414B"/>
    <w:rsid w:val="00634166"/>
    <w:rsid w:val="00634536"/>
    <w:rsid w:val="00634A74"/>
    <w:rsid w:val="00634DD7"/>
    <w:rsid w:val="00634F4E"/>
    <w:rsid w:val="006350F6"/>
    <w:rsid w:val="006351EA"/>
    <w:rsid w:val="0063523B"/>
    <w:rsid w:val="006352A4"/>
    <w:rsid w:val="006354B1"/>
    <w:rsid w:val="0063560A"/>
    <w:rsid w:val="006357A4"/>
    <w:rsid w:val="006357B5"/>
    <w:rsid w:val="00635AA7"/>
    <w:rsid w:val="00635BAF"/>
    <w:rsid w:val="00635EE3"/>
    <w:rsid w:val="00636415"/>
    <w:rsid w:val="00636604"/>
    <w:rsid w:val="006367A6"/>
    <w:rsid w:val="0063695B"/>
    <w:rsid w:val="00636CF1"/>
    <w:rsid w:val="00636DB9"/>
    <w:rsid w:val="00636F95"/>
    <w:rsid w:val="00637008"/>
    <w:rsid w:val="006372C3"/>
    <w:rsid w:val="00637359"/>
    <w:rsid w:val="00637680"/>
    <w:rsid w:val="006376F3"/>
    <w:rsid w:val="006377A7"/>
    <w:rsid w:val="00637BD3"/>
    <w:rsid w:val="00637CEC"/>
    <w:rsid w:val="00637EA5"/>
    <w:rsid w:val="00637FD3"/>
    <w:rsid w:val="006400C8"/>
    <w:rsid w:val="00640464"/>
    <w:rsid w:val="0064053F"/>
    <w:rsid w:val="0064082D"/>
    <w:rsid w:val="006409D9"/>
    <w:rsid w:val="006411B4"/>
    <w:rsid w:val="00641557"/>
    <w:rsid w:val="00641B98"/>
    <w:rsid w:val="00641BE6"/>
    <w:rsid w:val="00641BF8"/>
    <w:rsid w:val="00641C2D"/>
    <w:rsid w:val="00641F70"/>
    <w:rsid w:val="006420DD"/>
    <w:rsid w:val="00642350"/>
    <w:rsid w:val="006424DA"/>
    <w:rsid w:val="006427AF"/>
    <w:rsid w:val="00642819"/>
    <w:rsid w:val="0064296B"/>
    <w:rsid w:val="006429A6"/>
    <w:rsid w:val="006429D0"/>
    <w:rsid w:val="00642B22"/>
    <w:rsid w:val="00642C78"/>
    <w:rsid w:val="00642DEE"/>
    <w:rsid w:val="00642EAD"/>
    <w:rsid w:val="00643113"/>
    <w:rsid w:val="0064314B"/>
    <w:rsid w:val="00643198"/>
    <w:rsid w:val="00643659"/>
    <w:rsid w:val="006436E1"/>
    <w:rsid w:val="00643C06"/>
    <w:rsid w:val="00643ED7"/>
    <w:rsid w:val="0064408F"/>
    <w:rsid w:val="00644530"/>
    <w:rsid w:val="00644D98"/>
    <w:rsid w:val="00645093"/>
    <w:rsid w:val="00645294"/>
    <w:rsid w:val="006454AD"/>
    <w:rsid w:val="00645605"/>
    <w:rsid w:val="006457AE"/>
    <w:rsid w:val="00645B6D"/>
    <w:rsid w:val="00645C1C"/>
    <w:rsid w:val="00645DA0"/>
    <w:rsid w:val="00645EB7"/>
    <w:rsid w:val="00646085"/>
    <w:rsid w:val="00646142"/>
    <w:rsid w:val="006462BE"/>
    <w:rsid w:val="00646413"/>
    <w:rsid w:val="0064662F"/>
    <w:rsid w:val="00646667"/>
    <w:rsid w:val="00646B2D"/>
    <w:rsid w:val="00646BA2"/>
    <w:rsid w:val="0064712C"/>
    <w:rsid w:val="0064738B"/>
    <w:rsid w:val="00647764"/>
    <w:rsid w:val="00647832"/>
    <w:rsid w:val="00650019"/>
    <w:rsid w:val="0065001B"/>
    <w:rsid w:val="0065032C"/>
    <w:rsid w:val="006503AA"/>
    <w:rsid w:val="0065052E"/>
    <w:rsid w:val="006507F0"/>
    <w:rsid w:val="0065087A"/>
    <w:rsid w:val="0065091B"/>
    <w:rsid w:val="006509C1"/>
    <w:rsid w:val="00650CE4"/>
    <w:rsid w:val="00650FD7"/>
    <w:rsid w:val="00651503"/>
    <w:rsid w:val="00651983"/>
    <w:rsid w:val="006519FD"/>
    <w:rsid w:val="00651A78"/>
    <w:rsid w:val="00651A7F"/>
    <w:rsid w:val="00651B02"/>
    <w:rsid w:val="00651BA4"/>
    <w:rsid w:val="00651DF9"/>
    <w:rsid w:val="00651E4A"/>
    <w:rsid w:val="00651F43"/>
    <w:rsid w:val="00651F4F"/>
    <w:rsid w:val="00651FC9"/>
    <w:rsid w:val="006528BE"/>
    <w:rsid w:val="00652E07"/>
    <w:rsid w:val="0065306A"/>
    <w:rsid w:val="00653141"/>
    <w:rsid w:val="00653158"/>
    <w:rsid w:val="0065324B"/>
    <w:rsid w:val="00653483"/>
    <w:rsid w:val="0065359A"/>
    <w:rsid w:val="006538AF"/>
    <w:rsid w:val="00653A16"/>
    <w:rsid w:val="00653B96"/>
    <w:rsid w:val="00653C76"/>
    <w:rsid w:val="00654010"/>
    <w:rsid w:val="00654073"/>
    <w:rsid w:val="006540CB"/>
    <w:rsid w:val="00654113"/>
    <w:rsid w:val="0065438D"/>
    <w:rsid w:val="0065454F"/>
    <w:rsid w:val="0065490C"/>
    <w:rsid w:val="00654A8D"/>
    <w:rsid w:val="00654A9F"/>
    <w:rsid w:val="00654EC5"/>
    <w:rsid w:val="00655102"/>
    <w:rsid w:val="00655194"/>
    <w:rsid w:val="00655472"/>
    <w:rsid w:val="00655852"/>
    <w:rsid w:val="00655A21"/>
    <w:rsid w:val="00655BA8"/>
    <w:rsid w:val="00655CA1"/>
    <w:rsid w:val="00655F3C"/>
    <w:rsid w:val="00656038"/>
    <w:rsid w:val="00656174"/>
    <w:rsid w:val="0065629B"/>
    <w:rsid w:val="006562EB"/>
    <w:rsid w:val="0065645B"/>
    <w:rsid w:val="006568AA"/>
    <w:rsid w:val="00656939"/>
    <w:rsid w:val="00656AB8"/>
    <w:rsid w:val="00656B94"/>
    <w:rsid w:val="00656C91"/>
    <w:rsid w:val="00657172"/>
    <w:rsid w:val="006572D6"/>
    <w:rsid w:val="0065756F"/>
    <w:rsid w:val="00657853"/>
    <w:rsid w:val="00657992"/>
    <w:rsid w:val="00657E9B"/>
    <w:rsid w:val="00657F0D"/>
    <w:rsid w:val="00660349"/>
    <w:rsid w:val="006606D2"/>
    <w:rsid w:val="0066093F"/>
    <w:rsid w:val="00660987"/>
    <w:rsid w:val="00660996"/>
    <w:rsid w:val="00660A11"/>
    <w:rsid w:val="00660C30"/>
    <w:rsid w:val="00660D87"/>
    <w:rsid w:val="0066126E"/>
    <w:rsid w:val="006612CB"/>
    <w:rsid w:val="0066133A"/>
    <w:rsid w:val="0066162E"/>
    <w:rsid w:val="00661AC1"/>
    <w:rsid w:val="00661CF6"/>
    <w:rsid w:val="00661D14"/>
    <w:rsid w:val="00661F6B"/>
    <w:rsid w:val="00661FA8"/>
    <w:rsid w:val="0066217A"/>
    <w:rsid w:val="00662ADA"/>
    <w:rsid w:val="00662DEC"/>
    <w:rsid w:val="00663203"/>
    <w:rsid w:val="00663402"/>
    <w:rsid w:val="00663549"/>
    <w:rsid w:val="006636CB"/>
    <w:rsid w:val="006636FA"/>
    <w:rsid w:val="00663ADB"/>
    <w:rsid w:val="00663B71"/>
    <w:rsid w:val="00663C95"/>
    <w:rsid w:val="00663E7B"/>
    <w:rsid w:val="00663EE1"/>
    <w:rsid w:val="006640AE"/>
    <w:rsid w:val="00664172"/>
    <w:rsid w:val="006641A0"/>
    <w:rsid w:val="00664633"/>
    <w:rsid w:val="0066479C"/>
    <w:rsid w:val="00664867"/>
    <w:rsid w:val="0066494A"/>
    <w:rsid w:val="00664B60"/>
    <w:rsid w:val="00664C79"/>
    <w:rsid w:val="00664CE4"/>
    <w:rsid w:val="00664F50"/>
    <w:rsid w:val="00665044"/>
    <w:rsid w:val="0066530C"/>
    <w:rsid w:val="0066543A"/>
    <w:rsid w:val="006654D1"/>
    <w:rsid w:val="006659C7"/>
    <w:rsid w:val="00665A2C"/>
    <w:rsid w:val="00665C5C"/>
    <w:rsid w:val="00665E85"/>
    <w:rsid w:val="00665EEA"/>
    <w:rsid w:val="0066625C"/>
    <w:rsid w:val="00666513"/>
    <w:rsid w:val="006665D1"/>
    <w:rsid w:val="00666CAC"/>
    <w:rsid w:val="00666CE2"/>
    <w:rsid w:val="006675AF"/>
    <w:rsid w:val="00667734"/>
    <w:rsid w:val="00667956"/>
    <w:rsid w:val="00667C5E"/>
    <w:rsid w:val="00670143"/>
    <w:rsid w:val="00670551"/>
    <w:rsid w:val="00670606"/>
    <w:rsid w:val="006707CB"/>
    <w:rsid w:val="006709FD"/>
    <w:rsid w:val="00670A6A"/>
    <w:rsid w:val="00670B07"/>
    <w:rsid w:val="00670B32"/>
    <w:rsid w:val="00670C1F"/>
    <w:rsid w:val="00670D28"/>
    <w:rsid w:val="00670E6F"/>
    <w:rsid w:val="00671039"/>
    <w:rsid w:val="00671056"/>
    <w:rsid w:val="006714BD"/>
    <w:rsid w:val="006716C5"/>
    <w:rsid w:val="006716E3"/>
    <w:rsid w:val="00671A56"/>
    <w:rsid w:val="00671B31"/>
    <w:rsid w:val="00671E67"/>
    <w:rsid w:val="00672077"/>
    <w:rsid w:val="006720CE"/>
    <w:rsid w:val="006721E6"/>
    <w:rsid w:val="0067252D"/>
    <w:rsid w:val="006725CB"/>
    <w:rsid w:val="0067295F"/>
    <w:rsid w:val="00672A70"/>
    <w:rsid w:val="00672AF7"/>
    <w:rsid w:val="00672C3A"/>
    <w:rsid w:val="00672C3E"/>
    <w:rsid w:val="00672DD1"/>
    <w:rsid w:val="00672DD4"/>
    <w:rsid w:val="00672ED7"/>
    <w:rsid w:val="00672F39"/>
    <w:rsid w:val="006730E1"/>
    <w:rsid w:val="006731A4"/>
    <w:rsid w:val="0067354F"/>
    <w:rsid w:val="00673A3C"/>
    <w:rsid w:val="00673B50"/>
    <w:rsid w:val="00673BE9"/>
    <w:rsid w:val="00674672"/>
    <w:rsid w:val="00674685"/>
    <w:rsid w:val="00674B08"/>
    <w:rsid w:val="006751D9"/>
    <w:rsid w:val="00675543"/>
    <w:rsid w:val="006755AD"/>
    <w:rsid w:val="00675734"/>
    <w:rsid w:val="00675893"/>
    <w:rsid w:val="00675915"/>
    <w:rsid w:val="00675B87"/>
    <w:rsid w:val="00675C16"/>
    <w:rsid w:val="00675E5B"/>
    <w:rsid w:val="00675FA3"/>
    <w:rsid w:val="006760A8"/>
    <w:rsid w:val="006763CF"/>
    <w:rsid w:val="00676425"/>
    <w:rsid w:val="006765B5"/>
    <w:rsid w:val="006766B5"/>
    <w:rsid w:val="00676759"/>
    <w:rsid w:val="006767DA"/>
    <w:rsid w:val="00676ADC"/>
    <w:rsid w:val="00676D2E"/>
    <w:rsid w:val="00676E24"/>
    <w:rsid w:val="00676EDF"/>
    <w:rsid w:val="00676F27"/>
    <w:rsid w:val="006770D3"/>
    <w:rsid w:val="0067727C"/>
    <w:rsid w:val="006774DD"/>
    <w:rsid w:val="006778AC"/>
    <w:rsid w:val="00677BF6"/>
    <w:rsid w:val="00677C68"/>
    <w:rsid w:val="00677E53"/>
    <w:rsid w:val="00680303"/>
    <w:rsid w:val="00680599"/>
    <w:rsid w:val="006807F0"/>
    <w:rsid w:val="00680A0B"/>
    <w:rsid w:val="00680B10"/>
    <w:rsid w:val="00680B9F"/>
    <w:rsid w:val="00680CF6"/>
    <w:rsid w:val="00680D95"/>
    <w:rsid w:val="00680E79"/>
    <w:rsid w:val="00681103"/>
    <w:rsid w:val="006811F8"/>
    <w:rsid w:val="0068145A"/>
    <w:rsid w:val="0068163D"/>
    <w:rsid w:val="00681652"/>
    <w:rsid w:val="00681951"/>
    <w:rsid w:val="00681A3D"/>
    <w:rsid w:val="00681D29"/>
    <w:rsid w:val="00681EE6"/>
    <w:rsid w:val="00682576"/>
    <w:rsid w:val="00682ACA"/>
    <w:rsid w:val="00682BC5"/>
    <w:rsid w:val="00682C46"/>
    <w:rsid w:val="00682E93"/>
    <w:rsid w:val="006830E2"/>
    <w:rsid w:val="00683713"/>
    <w:rsid w:val="00683731"/>
    <w:rsid w:val="006837B3"/>
    <w:rsid w:val="006838D3"/>
    <w:rsid w:val="00683B71"/>
    <w:rsid w:val="00683BCC"/>
    <w:rsid w:val="00683D73"/>
    <w:rsid w:val="00683FA6"/>
    <w:rsid w:val="00684076"/>
    <w:rsid w:val="0068489F"/>
    <w:rsid w:val="00685109"/>
    <w:rsid w:val="0068523C"/>
    <w:rsid w:val="0068526A"/>
    <w:rsid w:val="006852E0"/>
    <w:rsid w:val="0068563F"/>
    <w:rsid w:val="00685830"/>
    <w:rsid w:val="00685945"/>
    <w:rsid w:val="00685C5C"/>
    <w:rsid w:val="00685DDE"/>
    <w:rsid w:val="006863A8"/>
    <w:rsid w:val="0068652C"/>
    <w:rsid w:val="006869CE"/>
    <w:rsid w:val="00686F77"/>
    <w:rsid w:val="006875D6"/>
    <w:rsid w:val="00687628"/>
    <w:rsid w:val="00687A4D"/>
    <w:rsid w:val="00687B81"/>
    <w:rsid w:val="00687CA7"/>
    <w:rsid w:val="00687D70"/>
    <w:rsid w:val="00687EA4"/>
    <w:rsid w:val="00687EBE"/>
    <w:rsid w:val="006900AB"/>
    <w:rsid w:val="006901AE"/>
    <w:rsid w:val="006901C8"/>
    <w:rsid w:val="0069079D"/>
    <w:rsid w:val="006907A5"/>
    <w:rsid w:val="00690A19"/>
    <w:rsid w:val="00690CE3"/>
    <w:rsid w:val="00690E6C"/>
    <w:rsid w:val="0069104C"/>
    <w:rsid w:val="00691059"/>
    <w:rsid w:val="006910CE"/>
    <w:rsid w:val="00691146"/>
    <w:rsid w:val="0069129E"/>
    <w:rsid w:val="0069144D"/>
    <w:rsid w:val="0069145E"/>
    <w:rsid w:val="00691551"/>
    <w:rsid w:val="006917A7"/>
    <w:rsid w:val="00691846"/>
    <w:rsid w:val="00691CF8"/>
    <w:rsid w:val="00691D3A"/>
    <w:rsid w:val="00691DC5"/>
    <w:rsid w:val="006921A2"/>
    <w:rsid w:val="006921FF"/>
    <w:rsid w:val="0069221D"/>
    <w:rsid w:val="0069231D"/>
    <w:rsid w:val="0069234C"/>
    <w:rsid w:val="0069241A"/>
    <w:rsid w:val="00692583"/>
    <w:rsid w:val="006925E9"/>
    <w:rsid w:val="0069299A"/>
    <w:rsid w:val="00692A32"/>
    <w:rsid w:val="00692C54"/>
    <w:rsid w:val="00693124"/>
    <w:rsid w:val="006931F3"/>
    <w:rsid w:val="0069326D"/>
    <w:rsid w:val="00693456"/>
    <w:rsid w:val="00693A21"/>
    <w:rsid w:val="00693ACD"/>
    <w:rsid w:val="00693C9D"/>
    <w:rsid w:val="00693D08"/>
    <w:rsid w:val="00693DE6"/>
    <w:rsid w:val="00694454"/>
    <w:rsid w:val="006946E2"/>
    <w:rsid w:val="006947C8"/>
    <w:rsid w:val="00694D6F"/>
    <w:rsid w:val="00694E11"/>
    <w:rsid w:val="006950D2"/>
    <w:rsid w:val="006952E4"/>
    <w:rsid w:val="00695529"/>
    <w:rsid w:val="00695558"/>
    <w:rsid w:val="006959B6"/>
    <w:rsid w:val="00695FB7"/>
    <w:rsid w:val="00696036"/>
    <w:rsid w:val="00696114"/>
    <w:rsid w:val="006966B1"/>
    <w:rsid w:val="00696969"/>
    <w:rsid w:val="00696AF1"/>
    <w:rsid w:val="006970CC"/>
    <w:rsid w:val="00697751"/>
    <w:rsid w:val="00697C1A"/>
    <w:rsid w:val="00697CD5"/>
    <w:rsid w:val="00697D68"/>
    <w:rsid w:val="00697EF5"/>
    <w:rsid w:val="006A0017"/>
    <w:rsid w:val="006A04BE"/>
    <w:rsid w:val="006A073C"/>
    <w:rsid w:val="006A079D"/>
    <w:rsid w:val="006A07C6"/>
    <w:rsid w:val="006A0A18"/>
    <w:rsid w:val="006A0AE7"/>
    <w:rsid w:val="006A0FB0"/>
    <w:rsid w:val="006A1057"/>
    <w:rsid w:val="006A1073"/>
    <w:rsid w:val="006A122C"/>
    <w:rsid w:val="006A144F"/>
    <w:rsid w:val="006A157D"/>
    <w:rsid w:val="006A1BE4"/>
    <w:rsid w:val="006A1C1D"/>
    <w:rsid w:val="006A1FFF"/>
    <w:rsid w:val="006A2117"/>
    <w:rsid w:val="006A2159"/>
    <w:rsid w:val="006A22C2"/>
    <w:rsid w:val="006A2437"/>
    <w:rsid w:val="006A249D"/>
    <w:rsid w:val="006A254C"/>
    <w:rsid w:val="006A2721"/>
    <w:rsid w:val="006A281D"/>
    <w:rsid w:val="006A285B"/>
    <w:rsid w:val="006A31DB"/>
    <w:rsid w:val="006A3AB0"/>
    <w:rsid w:val="006A3C8F"/>
    <w:rsid w:val="006A3E0F"/>
    <w:rsid w:val="006A3F45"/>
    <w:rsid w:val="006A3F7D"/>
    <w:rsid w:val="006A40C3"/>
    <w:rsid w:val="006A4294"/>
    <w:rsid w:val="006A4443"/>
    <w:rsid w:val="006A454F"/>
    <w:rsid w:val="006A45F2"/>
    <w:rsid w:val="006A4943"/>
    <w:rsid w:val="006A4BBD"/>
    <w:rsid w:val="006A4F38"/>
    <w:rsid w:val="006A521A"/>
    <w:rsid w:val="006A52CB"/>
    <w:rsid w:val="006A5341"/>
    <w:rsid w:val="006A5646"/>
    <w:rsid w:val="006A5734"/>
    <w:rsid w:val="006A57A9"/>
    <w:rsid w:val="006A6388"/>
    <w:rsid w:val="006A6E8F"/>
    <w:rsid w:val="006A707F"/>
    <w:rsid w:val="006A70EA"/>
    <w:rsid w:val="006A737C"/>
    <w:rsid w:val="006A7462"/>
    <w:rsid w:val="006A753B"/>
    <w:rsid w:val="006A7598"/>
    <w:rsid w:val="006A7648"/>
    <w:rsid w:val="006A7A25"/>
    <w:rsid w:val="006A7C86"/>
    <w:rsid w:val="006A7D5E"/>
    <w:rsid w:val="006B036B"/>
    <w:rsid w:val="006B0708"/>
    <w:rsid w:val="006B09DC"/>
    <w:rsid w:val="006B0AED"/>
    <w:rsid w:val="006B0C46"/>
    <w:rsid w:val="006B12D1"/>
    <w:rsid w:val="006B1479"/>
    <w:rsid w:val="006B1584"/>
    <w:rsid w:val="006B1591"/>
    <w:rsid w:val="006B16EA"/>
    <w:rsid w:val="006B1755"/>
    <w:rsid w:val="006B186A"/>
    <w:rsid w:val="006B18BC"/>
    <w:rsid w:val="006B1935"/>
    <w:rsid w:val="006B1A7E"/>
    <w:rsid w:val="006B1DAC"/>
    <w:rsid w:val="006B2049"/>
    <w:rsid w:val="006B2209"/>
    <w:rsid w:val="006B2766"/>
    <w:rsid w:val="006B27C3"/>
    <w:rsid w:val="006B292B"/>
    <w:rsid w:val="006B29D6"/>
    <w:rsid w:val="006B3091"/>
    <w:rsid w:val="006B3226"/>
    <w:rsid w:val="006B3590"/>
    <w:rsid w:val="006B379C"/>
    <w:rsid w:val="006B3847"/>
    <w:rsid w:val="006B38D4"/>
    <w:rsid w:val="006B395C"/>
    <w:rsid w:val="006B3A5C"/>
    <w:rsid w:val="006B3BEB"/>
    <w:rsid w:val="006B3D35"/>
    <w:rsid w:val="006B3E91"/>
    <w:rsid w:val="006B41E4"/>
    <w:rsid w:val="006B4308"/>
    <w:rsid w:val="006B4AB6"/>
    <w:rsid w:val="006B4CA5"/>
    <w:rsid w:val="006B4EC6"/>
    <w:rsid w:val="006B4FCA"/>
    <w:rsid w:val="006B50A6"/>
    <w:rsid w:val="006B52A3"/>
    <w:rsid w:val="006B52C3"/>
    <w:rsid w:val="006B5667"/>
    <w:rsid w:val="006B566C"/>
    <w:rsid w:val="006B56DB"/>
    <w:rsid w:val="006B5D84"/>
    <w:rsid w:val="006B6115"/>
    <w:rsid w:val="006B62EC"/>
    <w:rsid w:val="006B63E9"/>
    <w:rsid w:val="006B644E"/>
    <w:rsid w:val="006B66B1"/>
    <w:rsid w:val="006B66FE"/>
    <w:rsid w:val="006B69A3"/>
    <w:rsid w:val="006B69FA"/>
    <w:rsid w:val="006B70DA"/>
    <w:rsid w:val="006B710A"/>
    <w:rsid w:val="006B74FF"/>
    <w:rsid w:val="006B754E"/>
    <w:rsid w:val="006B772D"/>
    <w:rsid w:val="006B77C9"/>
    <w:rsid w:val="006B7995"/>
    <w:rsid w:val="006B7D5D"/>
    <w:rsid w:val="006B7E6B"/>
    <w:rsid w:val="006B7F21"/>
    <w:rsid w:val="006C00C0"/>
    <w:rsid w:val="006C05EF"/>
    <w:rsid w:val="006C0784"/>
    <w:rsid w:val="006C0A9F"/>
    <w:rsid w:val="006C0CC6"/>
    <w:rsid w:val="006C0DE0"/>
    <w:rsid w:val="006C0E80"/>
    <w:rsid w:val="006C0EBB"/>
    <w:rsid w:val="006C0FE6"/>
    <w:rsid w:val="006C1058"/>
    <w:rsid w:val="006C1620"/>
    <w:rsid w:val="006C16D6"/>
    <w:rsid w:val="006C18AE"/>
    <w:rsid w:val="006C1C03"/>
    <w:rsid w:val="006C1F03"/>
    <w:rsid w:val="006C2022"/>
    <w:rsid w:val="006C2300"/>
    <w:rsid w:val="006C231F"/>
    <w:rsid w:val="006C266B"/>
    <w:rsid w:val="006C26EC"/>
    <w:rsid w:val="006C2AFE"/>
    <w:rsid w:val="006C334E"/>
    <w:rsid w:val="006C34FD"/>
    <w:rsid w:val="006C35DC"/>
    <w:rsid w:val="006C3798"/>
    <w:rsid w:val="006C3937"/>
    <w:rsid w:val="006C3ACC"/>
    <w:rsid w:val="006C3F2D"/>
    <w:rsid w:val="006C40CF"/>
    <w:rsid w:val="006C4272"/>
    <w:rsid w:val="006C44A9"/>
    <w:rsid w:val="006C44FF"/>
    <w:rsid w:val="006C4633"/>
    <w:rsid w:val="006C47E3"/>
    <w:rsid w:val="006C4D8F"/>
    <w:rsid w:val="006C5016"/>
    <w:rsid w:val="006C5274"/>
    <w:rsid w:val="006C54B4"/>
    <w:rsid w:val="006C570A"/>
    <w:rsid w:val="006C5A26"/>
    <w:rsid w:val="006C5FBB"/>
    <w:rsid w:val="006C61FD"/>
    <w:rsid w:val="006C646C"/>
    <w:rsid w:val="006C6563"/>
    <w:rsid w:val="006C6571"/>
    <w:rsid w:val="006C681C"/>
    <w:rsid w:val="006C682D"/>
    <w:rsid w:val="006C6D6D"/>
    <w:rsid w:val="006C7015"/>
    <w:rsid w:val="006C7086"/>
    <w:rsid w:val="006C7176"/>
    <w:rsid w:val="006C7450"/>
    <w:rsid w:val="006C7455"/>
    <w:rsid w:val="006C746C"/>
    <w:rsid w:val="006C79BA"/>
    <w:rsid w:val="006C7AC9"/>
    <w:rsid w:val="006C7B42"/>
    <w:rsid w:val="006C7B8A"/>
    <w:rsid w:val="006C7C27"/>
    <w:rsid w:val="006C7C54"/>
    <w:rsid w:val="006C7F0B"/>
    <w:rsid w:val="006D007E"/>
    <w:rsid w:val="006D0186"/>
    <w:rsid w:val="006D03C5"/>
    <w:rsid w:val="006D048A"/>
    <w:rsid w:val="006D0912"/>
    <w:rsid w:val="006D0A36"/>
    <w:rsid w:val="006D0A45"/>
    <w:rsid w:val="006D0AD2"/>
    <w:rsid w:val="006D0BBD"/>
    <w:rsid w:val="006D0C5C"/>
    <w:rsid w:val="006D0C80"/>
    <w:rsid w:val="006D1289"/>
    <w:rsid w:val="006D14FC"/>
    <w:rsid w:val="006D18A5"/>
    <w:rsid w:val="006D1CF1"/>
    <w:rsid w:val="006D220E"/>
    <w:rsid w:val="006D2221"/>
    <w:rsid w:val="006D22BD"/>
    <w:rsid w:val="006D242F"/>
    <w:rsid w:val="006D2636"/>
    <w:rsid w:val="006D277C"/>
    <w:rsid w:val="006D2847"/>
    <w:rsid w:val="006D292F"/>
    <w:rsid w:val="006D2939"/>
    <w:rsid w:val="006D2A99"/>
    <w:rsid w:val="006D2BB3"/>
    <w:rsid w:val="006D2D8C"/>
    <w:rsid w:val="006D31C8"/>
    <w:rsid w:val="006D33FE"/>
    <w:rsid w:val="006D340D"/>
    <w:rsid w:val="006D3453"/>
    <w:rsid w:val="006D3871"/>
    <w:rsid w:val="006D39C6"/>
    <w:rsid w:val="006D3A76"/>
    <w:rsid w:val="006D3AB4"/>
    <w:rsid w:val="006D3ACA"/>
    <w:rsid w:val="006D3B55"/>
    <w:rsid w:val="006D3B97"/>
    <w:rsid w:val="006D3E28"/>
    <w:rsid w:val="006D3EA3"/>
    <w:rsid w:val="006D4125"/>
    <w:rsid w:val="006D4401"/>
    <w:rsid w:val="006D451C"/>
    <w:rsid w:val="006D4A36"/>
    <w:rsid w:val="006D4B9C"/>
    <w:rsid w:val="006D5104"/>
    <w:rsid w:val="006D5430"/>
    <w:rsid w:val="006D55F5"/>
    <w:rsid w:val="006D59D7"/>
    <w:rsid w:val="006D5A6C"/>
    <w:rsid w:val="006D6AFB"/>
    <w:rsid w:val="006D6CDE"/>
    <w:rsid w:val="006D6D04"/>
    <w:rsid w:val="006D6F45"/>
    <w:rsid w:val="006D7663"/>
    <w:rsid w:val="006D7B21"/>
    <w:rsid w:val="006D7C6F"/>
    <w:rsid w:val="006D7E3B"/>
    <w:rsid w:val="006E02D1"/>
    <w:rsid w:val="006E0323"/>
    <w:rsid w:val="006E0384"/>
    <w:rsid w:val="006E03A0"/>
    <w:rsid w:val="006E043E"/>
    <w:rsid w:val="006E0785"/>
    <w:rsid w:val="006E0B7C"/>
    <w:rsid w:val="006E0BF3"/>
    <w:rsid w:val="006E0F9E"/>
    <w:rsid w:val="006E107A"/>
    <w:rsid w:val="006E114F"/>
    <w:rsid w:val="006E123A"/>
    <w:rsid w:val="006E12A5"/>
    <w:rsid w:val="006E15C3"/>
    <w:rsid w:val="006E1938"/>
    <w:rsid w:val="006E1BCF"/>
    <w:rsid w:val="006E1C0F"/>
    <w:rsid w:val="006E1F8C"/>
    <w:rsid w:val="006E2075"/>
    <w:rsid w:val="006E216C"/>
    <w:rsid w:val="006E22D0"/>
    <w:rsid w:val="006E24B2"/>
    <w:rsid w:val="006E26C2"/>
    <w:rsid w:val="006E29E8"/>
    <w:rsid w:val="006E2F33"/>
    <w:rsid w:val="006E2FF0"/>
    <w:rsid w:val="006E3122"/>
    <w:rsid w:val="006E3549"/>
    <w:rsid w:val="006E35FD"/>
    <w:rsid w:val="006E3661"/>
    <w:rsid w:val="006E387B"/>
    <w:rsid w:val="006E3980"/>
    <w:rsid w:val="006E3BCE"/>
    <w:rsid w:val="006E3CFF"/>
    <w:rsid w:val="006E3DF5"/>
    <w:rsid w:val="006E3F15"/>
    <w:rsid w:val="006E453A"/>
    <w:rsid w:val="006E48AB"/>
    <w:rsid w:val="006E49C8"/>
    <w:rsid w:val="006E49FD"/>
    <w:rsid w:val="006E4B61"/>
    <w:rsid w:val="006E4CC9"/>
    <w:rsid w:val="006E4D0E"/>
    <w:rsid w:val="006E4D2A"/>
    <w:rsid w:val="006E53E9"/>
    <w:rsid w:val="006E5982"/>
    <w:rsid w:val="006E5BF0"/>
    <w:rsid w:val="006E5F00"/>
    <w:rsid w:val="006E653E"/>
    <w:rsid w:val="006E6B04"/>
    <w:rsid w:val="006E6BC6"/>
    <w:rsid w:val="006E716C"/>
    <w:rsid w:val="006E7449"/>
    <w:rsid w:val="006E75C7"/>
    <w:rsid w:val="006E767A"/>
    <w:rsid w:val="006E78DC"/>
    <w:rsid w:val="006E794A"/>
    <w:rsid w:val="006E7ACB"/>
    <w:rsid w:val="006E7C91"/>
    <w:rsid w:val="006F00DE"/>
    <w:rsid w:val="006F03AB"/>
    <w:rsid w:val="006F055B"/>
    <w:rsid w:val="006F0653"/>
    <w:rsid w:val="006F0713"/>
    <w:rsid w:val="006F0821"/>
    <w:rsid w:val="006F0BFD"/>
    <w:rsid w:val="006F0C18"/>
    <w:rsid w:val="006F0D1B"/>
    <w:rsid w:val="006F0E78"/>
    <w:rsid w:val="006F0FA3"/>
    <w:rsid w:val="006F1277"/>
    <w:rsid w:val="006F1965"/>
    <w:rsid w:val="006F1E5E"/>
    <w:rsid w:val="006F208C"/>
    <w:rsid w:val="006F25A7"/>
    <w:rsid w:val="006F2928"/>
    <w:rsid w:val="006F2AB0"/>
    <w:rsid w:val="006F2BC0"/>
    <w:rsid w:val="006F2C15"/>
    <w:rsid w:val="006F2F7C"/>
    <w:rsid w:val="006F2FB4"/>
    <w:rsid w:val="006F3373"/>
    <w:rsid w:val="006F3704"/>
    <w:rsid w:val="006F38A6"/>
    <w:rsid w:val="006F3F39"/>
    <w:rsid w:val="006F40C1"/>
    <w:rsid w:val="006F41AF"/>
    <w:rsid w:val="006F4451"/>
    <w:rsid w:val="006F4605"/>
    <w:rsid w:val="006F4610"/>
    <w:rsid w:val="006F47F3"/>
    <w:rsid w:val="006F490B"/>
    <w:rsid w:val="006F4B57"/>
    <w:rsid w:val="006F4C6C"/>
    <w:rsid w:val="006F4D27"/>
    <w:rsid w:val="006F5065"/>
    <w:rsid w:val="006F51F7"/>
    <w:rsid w:val="006F5448"/>
    <w:rsid w:val="006F5494"/>
    <w:rsid w:val="006F54B9"/>
    <w:rsid w:val="006F54BB"/>
    <w:rsid w:val="006F54F4"/>
    <w:rsid w:val="006F55AB"/>
    <w:rsid w:val="006F58C1"/>
    <w:rsid w:val="006F5A24"/>
    <w:rsid w:val="006F5ACD"/>
    <w:rsid w:val="006F5CBA"/>
    <w:rsid w:val="006F6074"/>
    <w:rsid w:val="006F614B"/>
    <w:rsid w:val="006F6322"/>
    <w:rsid w:val="006F6629"/>
    <w:rsid w:val="006F67F8"/>
    <w:rsid w:val="006F6910"/>
    <w:rsid w:val="006F6B01"/>
    <w:rsid w:val="006F6B52"/>
    <w:rsid w:val="006F6F22"/>
    <w:rsid w:val="006F6FDC"/>
    <w:rsid w:val="006F70EA"/>
    <w:rsid w:val="006F7384"/>
    <w:rsid w:val="006F7991"/>
    <w:rsid w:val="006F7B3B"/>
    <w:rsid w:val="006F7B5C"/>
    <w:rsid w:val="006F7D7F"/>
    <w:rsid w:val="006F7D92"/>
    <w:rsid w:val="006F7F2A"/>
    <w:rsid w:val="007000E0"/>
    <w:rsid w:val="00700C35"/>
    <w:rsid w:val="00700D55"/>
    <w:rsid w:val="00700DE9"/>
    <w:rsid w:val="0070107E"/>
    <w:rsid w:val="00701186"/>
    <w:rsid w:val="007011D4"/>
    <w:rsid w:val="00701352"/>
    <w:rsid w:val="007013F1"/>
    <w:rsid w:val="007017DF"/>
    <w:rsid w:val="0070194F"/>
    <w:rsid w:val="007019A3"/>
    <w:rsid w:val="00701C53"/>
    <w:rsid w:val="00701DA7"/>
    <w:rsid w:val="00701DB0"/>
    <w:rsid w:val="00701E25"/>
    <w:rsid w:val="00702030"/>
    <w:rsid w:val="00702236"/>
    <w:rsid w:val="0070270A"/>
    <w:rsid w:val="00702B0C"/>
    <w:rsid w:val="00702CC3"/>
    <w:rsid w:val="00702D01"/>
    <w:rsid w:val="00702D8D"/>
    <w:rsid w:val="00702DC3"/>
    <w:rsid w:val="00702FC4"/>
    <w:rsid w:val="00703262"/>
    <w:rsid w:val="007033FD"/>
    <w:rsid w:val="007037A6"/>
    <w:rsid w:val="00703877"/>
    <w:rsid w:val="00703967"/>
    <w:rsid w:val="00703A58"/>
    <w:rsid w:val="0070417F"/>
    <w:rsid w:val="0070427E"/>
    <w:rsid w:val="0070474D"/>
    <w:rsid w:val="00704840"/>
    <w:rsid w:val="0070485D"/>
    <w:rsid w:val="00704BEB"/>
    <w:rsid w:val="00704BEF"/>
    <w:rsid w:val="00704D80"/>
    <w:rsid w:val="00704E97"/>
    <w:rsid w:val="00705260"/>
    <w:rsid w:val="007053EB"/>
    <w:rsid w:val="0070547E"/>
    <w:rsid w:val="00705785"/>
    <w:rsid w:val="00705968"/>
    <w:rsid w:val="0070598B"/>
    <w:rsid w:val="00705A6D"/>
    <w:rsid w:val="00705E6B"/>
    <w:rsid w:val="00706136"/>
    <w:rsid w:val="0070646E"/>
    <w:rsid w:val="0070669C"/>
    <w:rsid w:val="0070686A"/>
    <w:rsid w:val="007068E0"/>
    <w:rsid w:val="00706A7D"/>
    <w:rsid w:val="00706C26"/>
    <w:rsid w:val="00706DAE"/>
    <w:rsid w:val="00706FF0"/>
    <w:rsid w:val="007070EF"/>
    <w:rsid w:val="00707276"/>
    <w:rsid w:val="007074F7"/>
    <w:rsid w:val="00707895"/>
    <w:rsid w:val="00707999"/>
    <w:rsid w:val="00707D69"/>
    <w:rsid w:val="00707F70"/>
    <w:rsid w:val="007100E1"/>
    <w:rsid w:val="00710151"/>
    <w:rsid w:val="007103DF"/>
    <w:rsid w:val="007109A6"/>
    <w:rsid w:val="00710A04"/>
    <w:rsid w:val="00710A9D"/>
    <w:rsid w:val="00710B05"/>
    <w:rsid w:val="00710BE6"/>
    <w:rsid w:val="00710E2A"/>
    <w:rsid w:val="00710EC1"/>
    <w:rsid w:val="00710F09"/>
    <w:rsid w:val="007110DA"/>
    <w:rsid w:val="00711576"/>
    <w:rsid w:val="00711FE9"/>
    <w:rsid w:val="0071229D"/>
    <w:rsid w:val="0071258C"/>
    <w:rsid w:val="00712807"/>
    <w:rsid w:val="00712828"/>
    <w:rsid w:val="007128F3"/>
    <w:rsid w:val="00712908"/>
    <w:rsid w:val="00712A25"/>
    <w:rsid w:val="00712BB0"/>
    <w:rsid w:val="00712F49"/>
    <w:rsid w:val="00712F54"/>
    <w:rsid w:val="007131ED"/>
    <w:rsid w:val="00713311"/>
    <w:rsid w:val="007134D2"/>
    <w:rsid w:val="00713593"/>
    <w:rsid w:val="007136E2"/>
    <w:rsid w:val="00713797"/>
    <w:rsid w:val="00713E00"/>
    <w:rsid w:val="00713E6D"/>
    <w:rsid w:val="00714087"/>
    <w:rsid w:val="00714223"/>
    <w:rsid w:val="00714999"/>
    <w:rsid w:val="00714FB4"/>
    <w:rsid w:val="00715054"/>
    <w:rsid w:val="00715194"/>
    <w:rsid w:val="00715256"/>
    <w:rsid w:val="007153D0"/>
    <w:rsid w:val="00715785"/>
    <w:rsid w:val="00715928"/>
    <w:rsid w:val="00715CF0"/>
    <w:rsid w:val="00715E5C"/>
    <w:rsid w:val="00716246"/>
    <w:rsid w:val="007162D2"/>
    <w:rsid w:val="007162E2"/>
    <w:rsid w:val="0071662C"/>
    <w:rsid w:val="007166C3"/>
    <w:rsid w:val="00716C90"/>
    <w:rsid w:val="00716F56"/>
    <w:rsid w:val="00716F9D"/>
    <w:rsid w:val="0071707E"/>
    <w:rsid w:val="00717686"/>
    <w:rsid w:val="0071793F"/>
    <w:rsid w:val="00717A82"/>
    <w:rsid w:val="00717BAE"/>
    <w:rsid w:val="00717D2B"/>
    <w:rsid w:val="00717D83"/>
    <w:rsid w:val="00717F78"/>
    <w:rsid w:val="0072014B"/>
    <w:rsid w:val="00720495"/>
    <w:rsid w:val="007204DA"/>
    <w:rsid w:val="00720626"/>
    <w:rsid w:val="0072065D"/>
    <w:rsid w:val="0072089B"/>
    <w:rsid w:val="0072095C"/>
    <w:rsid w:val="00720BC3"/>
    <w:rsid w:val="00720C71"/>
    <w:rsid w:val="00720CFD"/>
    <w:rsid w:val="00720DE1"/>
    <w:rsid w:val="00720E35"/>
    <w:rsid w:val="00720F2C"/>
    <w:rsid w:val="00721005"/>
    <w:rsid w:val="00721391"/>
    <w:rsid w:val="00721583"/>
    <w:rsid w:val="00721590"/>
    <w:rsid w:val="00721938"/>
    <w:rsid w:val="0072195B"/>
    <w:rsid w:val="00721A3B"/>
    <w:rsid w:val="00721B11"/>
    <w:rsid w:val="00721C7E"/>
    <w:rsid w:val="00721D36"/>
    <w:rsid w:val="00721E10"/>
    <w:rsid w:val="00721E6E"/>
    <w:rsid w:val="00721E6F"/>
    <w:rsid w:val="00721F05"/>
    <w:rsid w:val="00722056"/>
    <w:rsid w:val="007222A9"/>
    <w:rsid w:val="00722911"/>
    <w:rsid w:val="007229F1"/>
    <w:rsid w:val="00722C2F"/>
    <w:rsid w:val="00722E17"/>
    <w:rsid w:val="00722E4E"/>
    <w:rsid w:val="0072311F"/>
    <w:rsid w:val="0072318E"/>
    <w:rsid w:val="00723199"/>
    <w:rsid w:val="00723356"/>
    <w:rsid w:val="00723590"/>
    <w:rsid w:val="0072374D"/>
    <w:rsid w:val="00723974"/>
    <w:rsid w:val="007239CF"/>
    <w:rsid w:val="00723AD6"/>
    <w:rsid w:val="00723CC4"/>
    <w:rsid w:val="00723CE5"/>
    <w:rsid w:val="00723DF6"/>
    <w:rsid w:val="00723ED6"/>
    <w:rsid w:val="00723EE6"/>
    <w:rsid w:val="0072413D"/>
    <w:rsid w:val="00724232"/>
    <w:rsid w:val="00724275"/>
    <w:rsid w:val="007245E0"/>
    <w:rsid w:val="00724997"/>
    <w:rsid w:val="00724B49"/>
    <w:rsid w:val="00724E4D"/>
    <w:rsid w:val="0072526E"/>
    <w:rsid w:val="007252C8"/>
    <w:rsid w:val="0072591F"/>
    <w:rsid w:val="007260E5"/>
    <w:rsid w:val="007262CC"/>
    <w:rsid w:val="007263EE"/>
    <w:rsid w:val="007265AE"/>
    <w:rsid w:val="00726752"/>
    <w:rsid w:val="00726871"/>
    <w:rsid w:val="00726AB4"/>
    <w:rsid w:val="00726F67"/>
    <w:rsid w:val="007272A4"/>
    <w:rsid w:val="007275EC"/>
    <w:rsid w:val="007277F3"/>
    <w:rsid w:val="007278CA"/>
    <w:rsid w:val="007279A0"/>
    <w:rsid w:val="00727C5F"/>
    <w:rsid w:val="00727CE9"/>
    <w:rsid w:val="00727CF2"/>
    <w:rsid w:val="0073008B"/>
    <w:rsid w:val="007303B6"/>
    <w:rsid w:val="007303FF"/>
    <w:rsid w:val="00730576"/>
    <w:rsid w:val="007306FD"/>
    <w:rsid w:val="007307D3"/>
    <w:rsid w:val="00730D49"/>
    <w:rsid w:val="00730D8A"/>
    <w:rsid w:val="00730F05"/>
    <w:rsid w:val="00731040"/>
    <w:rsid w:val="00731066"/>
    <w:rsid w:val="00731B4F"/>
    <w:rsid w:val="00731DAC"/>
    <w:rsid w:val="007321CA"/>
    <w:rsid w:val="00732322"/>
    <w:rsid w:val="007324DC"/>
    <w:rsid w:val="00732618"/>
    <w:rsid w:val="00732834"/>
    <w:rsid w:val="00732944"/>
    <w:rsid w:val="00732D10"/>
    <w:rsid w:val="00732DF9"/>
    <w:rsid w:val="00732F28"/>
    <w:rsid w:val="00732FF1"/>
    <w:rsid w:val="00733012"/>
    <w:rsid w:val="007331D3"/>
    <w:rsid w:val="007331EB"/>
    <w:rsid w:val="00733399"/>
    <w:rsid w:val="007336C1"/>
    <w:rsid w:val="007336F9"/>
    <w:rsid w:val="00733A58"/>
    <w:rsid w:val="00733D87"/>
    <w:rsid w:val="007340F3"/>
    <w:rsid w:val="00734102"/>
    <w:rsid w:val="00734C1B"/>
    <w:rsid w:val="00735105"/>
    <w:rsid w:val="00735237"/>
    <w:rsid w:val="007352D7"/>
    <w:rsid w:val="00735400"/>
    <w:rsid w:val="0073555C"/>
    <w:rsid w:val="007355D9"/>
    <w:rsid w:val="007358A3"/>
    <w:rsid w:val="00735D68"/>
    <w:rsid w:val="00735D92"/>
    <w:rsid w:val="00735FCE"/>
    <w:rsid w:val="0073608D"/>
    <w:rsid w:val="00736300"/>
    <w:rsid w:val="00736379"/>
    <w:rsid w:val="0073639B"/>
    <w:rsid w:val="00736508"/>
    <w:rsid w:val="0073655A"/>
    <w:rsid w:val="007369A6"/>
    <w:rsid w:val="00736A11"/>
    <w:rsid w:val="00736CD3"/>
    <w:rsid w:val="00736E75"/>
    <w:rsid w:val="00736E80"/>
    <w:rsid w:val="00736FB6"/>
    <w:rsid w:val="00737581"/>
    <w:rsid w:val="00737D9E"/>
    <w:rsid w:val="00737F30"/>
    <w:rsid w:val="00740169"/>
    <w:rsid w:val="0074046F"/>
    <w:rsid w:val="00740645"/>
    <w:rsid w:val="007406FD"/>
    <w:rsid w:val="007408D5"/>
    <w:rsid w:val="00740939"/>
    <w:rsid w:val="007409B8"/>
    <w:rsid w:val="00740B2B"/>
    <w:rsid w:val="00740D2F"/>
    <w:rsid w:val="00741544"/>
    <w:rsid w:val="00741870"/>
    <w:rsid w:val="00741A4F"/>
    <w:rsid w:val="00741F5D"/>
    <w:rsid w:val="00741FFB"/>
    <w:rsid w:val="0074246F"/>
    <w:rsid w:val="0074252C"/>
    <w:rsid w:val="007425F0"/>
    <w:rsid w:val="00742A1C"/>
    <w:rsid w:val="00742A2C"/>
    <w:rsid w:val="00742E7D"/>
    <w:rsid w:val="00742F64"/>
    <w:rsid w:val="00743016"/>
    <w:rsid w:val="007430A8"/>
    <w:rsid w:val="00743271"/>
    <w:rsid w:val="00743279"/>
    <w:rsid w:val="00743388"/>
    <w:rsid w:val="007433CE"/>
    <w:rsid w:val="0074347C"/>
    <w:rsid w:val="00743994"/>
    <w:rsid w:val="007439ED"/>
    <w:rsid w:val="00743A4B"/>
    <w:rsid w:val="00743FA0"/>
    <w:rsid w:val="0074425F"/>
    <w:rsid w:val="00744486"/>
    <w:rsid w:val="00744632"/>
    <w:rsid w:val="0074464B"/>
    <w:rsid w:val="00744C92"/>
    <w:rsid w:val="007452BB"/>
    <w:rsid w:val="0074560F"/>
    <w:rsid w:val="007456C7"/>
    <w:rsid w:val="007457C1"/>
    <w:rsid w:val="00745928"/>
    <w:rsid w:val="007459B4"/>
    <w:rsid w:val="00745B7C"/>
    <w:rsid w:val="00745C2D"/>
    <w:rsid w:val="00745C92"/>
    <w:rsid w:val="00745F5A"/>
    <w:rsid w:val="00745F70"/>
    <w:rsid w:val="007463A6"/>
    <w:rsid w:val="0074672E"/>
    <w:rsid w:val="00746ADF"/>
    <w:rsid w:val="00746F0B"/>
    <w:rsid w:val="00746F32"/>
    <w:rsid w:val="00746FB2"/>
    <w:rsid w:val="00747286"/>
    <w:rsid w:val="00747684"/>
    <w:rsid w:val="00747757"/>
    <w:rsid w:val="00747858"/>
    <w:rsid w:val="00747AF3"/>
    <w:rsid w:val="00747AF6"/>
    <w:rsid w:val="00747BC7"/>
    <w:rsid w:val="00747D52"/>
    <w:rsid w:val="00750599"/>
    <w:rsid w:val="00750689"/>
    <w:rsid w:val="007506E4"/>
    <w:rsid w:val="0075089E"/>
    <w:rsid w:val="0075097E"/>
    <w:rsid w:val="00750EA4"/>
    <w:rsid w:val="00751109"/>
    <w:rsid w:val="00751270"/>
    <w:rsid w:val="007516C2"/>
    <w:rsid w:val="007516E6"/>
    <w:rsid w:val="00751B6B"/>
    <w:rsid w:val="00751B81"/>
    <w:rsid w:val="00751BD9"/>
    <w:rsid w:val="00751FA0"/>
    <w:rsid w:val="00752258"/>
    <w:rsid w:val="007524A8"/>
    <w:rsid w:val="007525E3"/>
    <w:rsid w:val="0075296B"/>
    <w:rsid w:val="00752C21"/>
    <w:rsid w:val="007530D0"/>
    <w:rsid w:val="007533DD"/>
    <w:rsid w:val="007534F0"/>
    <w:rsid w:val="00753A1F"/>
    <w:rsid w:val="00753E29"/>
    <w:rsid w:val="00753E30"/>
    <w:rsid w:val="00753F26"/>
    <w:rsid w:val="00753FA2"/>
    <w:rsid w:val="00754384"/>
    <w:rsid w:val="0075451F"/>
    <w:rsid w:val="007545AE"/>
    <w:rsid w:val="0075471E"/>
    <w:rsid w:val="007549D3"/>
    <w:rsid w:val="00754C3B"/>
    <w:rsid w:val="00754DA1"/>
    <w:rsid w:val="007550EC"/>
    <w:rsid w:val="007554D4"/>
    <w:rsid w:val="00755649"/>
    <w:rsid w:val="00755817"/>
    <w:rsid w:val="00755874"/>
    <w:rsid w:val="00755B92"/>
    <w:rsid w:val="00755F31"/>
    <w:rsid w:val="00755FE1"/>
    <w:rsid w:val="007561EB"/>
    <w:rsid w:val="00756308"/>
    <w:rsid w:val="0075652F"/>
    <w:rsid w:val="00756622"/>
    <w:rsid w:val="0075670B"/>
    <w:rsid w:val="00756725"/>
    <w:rsid w:val="00756814"/>
    <w:rsid w:val="0075687E"/>
    <w:rsid w:val="0075700C"/>
    <w:rsid w:val="007572F6"/>
    <w:rsid w:val="0075737B"/>
    <w:rsid w:val="00757593"/>
    <w:rsid w:val="00757692"/>
    <w:rsid w:val="007577C2"/>
    <w:rsid w:val="00757D4A"/>
    <w:rsid w:val="00757DA7"/>
    <w:rsid w:val="00757F6B"/>
    <w:rsid w:val="00760186"/>
    <w:rsid w:val="00760258"/>
    <w:rsid w:val="00760287"/>
    <w:rsid w:val="007605D7"/>
    <w:rsid w:val="00760659"/>
    <w:rsid w:val="007606A4"/>
    <w:rsid w:val="007606BB"/>
    <w:rsid w:val="00760762"/>
    <w:rsid w:val="00760990"/>
    <w:rsid w:val="007609ED"/>
    <w:rsid w:val="00760B5E"/>
    <w:rsid w:val="0076140E"/>
    <w:rsid w:val="00761764"/>
    <w:rsid w:val="007618A2"/>
    <w:rsid w:val="00761909"/>
    <w:rsid w:val="00762376"/>
    <w:rsid w:val="007623DD"/>
    <w:rsid w:val="0076248F"/>
    <w:rsid w:val="007626E5"/>
    <w:rsid w:val="00762F82"/>
    <w:rsid w:val="007633DE"/>
    <w:rsid w:val="00763B39"/>
    <w:rsid w:val="00763B60"/>
    <w:rsid w:val="00763BCA"/>
    <w:rsid w:val="00763F49"/>
    <w:rsid w:val="00763F65"/>
    <w:rsid w:val="00764093"/>
    <w:rsid w:val="007640E2"/>
    <w:rsid w:val="00764526"/>
    <w:rsid w:val="0076453A"/>
    <w:rsid w:val="007646A2"/>
    <w:rsid w:val="00764830"/>
    <w:rsid w:val="0076491E"/>
    <w:rsid w:val="0076536D"/>
    <w:rsid w:val="0076539B"/>
    <w:rsid w:val="007653D9"/>
    <w:rsid w:val="00765549"/>
    <w:rsid w:val="00765578"/>
    <w:rsid w:val="00765718"/>
    <w:rsid w:val="00765C0F"/>
    <w:rsid w:val="00765CEA"/>
    <w:rsid w:val="00765E05"/>
    <w:rsid w:val="00765E51"/>
    <w:rsid w:val="00765EFD"/>
    <w:rsid w:val="00765F34"/>
    <w:rsid w:val="00766095"/>
    <w:rsid w:val="007663E9"/>
    <w:rsid w:val="0076661E"/>
    <w:rsid w:val="0076685F"/>
    <w:rsid w:val="00766D85"/>
    <w:rsid w:val="00766D87"/>
    <w:rsid w:val="00766FDB"/>
    <w:rsid w:val="007671B0"/>
    <w:rsid w:val="00767548"/>
    <w:rsid w:val="0076783C"/>
    <w:rsid w:val="00767C91"/>
    <w:rsid w:val="00770244"/>
    <w:rsid w:val="00770656"/>
    <w:rsid w:val="0077067D"/>
    <w:rsid w:val="007708D4"/>
    <w:rsid w:val="007709CC"/>
    <w:rsid w:val="00770AEB"/>
    <w:rsid w:val="00770B30"/>
    <w:rsid w:val="00770BB1"/>
    <w:rsid w:val="00770BC0"/>
    <w:rsid w:val="00770F7A"/>
    <w:rsid w:val="007712C1"/>
    <w:rsid w:val="007713CF"/>
    <w:rsid w:val="0077142A"/>
    <w:rsid w:val="007715A0"/>
    <w:rsid w:val="007715D7"/>
    <w:rsid w:val="0077178F"/>
    <w:rsid w:val="00771F02"/>
    <w:rsid w:val="00772064"/>
    <w:rsid w:val="00772092"/>
    <w:rsid w:val="00772210"/>
    <w:rsid w:val="0077225D"/>
    <w:rsid w:val="007722CD"/>
    <w:rsid w:val="00772305"/>
    <w:rsid w:val="007727D6"/>
    <w:rsid w:val="007729E2"/>
    <w:rsid w:val="00772C55"/>
    <w:rsid w:val="00772FA1"/>
    <w:rsid w:val="007730D0"/>
    <w:rsid w:val="0077319B"/>
    <w:rsid w:val="0077375E"/>
    <w:rsid w:val="0077378E"/>
    <w:rsid w:val="00773F6F"/>
    <w:rsid w:val="00774020"/>
    <w:rsid w:val="007742F3"/>
    <w:rsid w:val="00774349"/>
    <w:rsid w:val="007753A3"/>
    <w:rsid w:val="007754DC"/>
    <w:rsid w:val="007756FD"/>
    <w:rsid w:val="00775929"/>
    <w:rsid w:val="00775A47"/>
    <w:rsid w:val="00775EA4"/>
    <w:rsid w:val="00775FBB"/>
    <w:rsid w:val="00776047"/>
    <w:rsid w:val="007761C9"/>
    <w:rsid w:val="0077638A"/>
    <w:rsid w:val="00776529"/>
    <w:rsid w:val="00776C4B"/>
    <w:rsid w:val="00777270"/>
    <w:rsid w:val="0077748C"/>
    <w:rsid w:val="007775A9"/>
    <w:rsid w:val="007778A1"/>
    <w:rsid w:val="00777AC7"/>
    <w:rsid w:val="00777E98"/>
    <w:rsid w:val="0078031C"/>
    <w:rsid w:val="007803A2"/>
    <w:rsid w:val="0078088B"/>
    <w:rsid w:val="00780A6D"/>
    <w:rsid w:val="00780B53"/>
    <w:rsid w:val="00780B88"/>
    <w:rsid w:val="00780FEB"/>
    <w:rsid w:val="007813C7"/>
    <w:rsid w:val="00781AEE"/>
    <w:rsid w:val="00781CB6"/>
    <w:rsid w:val="00781CD9"/>
    <w:rsid w:val="00781E9D"/>
    <w:rsid w:val="00781F01"/>
    <w:rsid w:val="00782003"/>
    <w:rsid w:val="007822C4"/>
    <w:rsid w:val="00782639"/>
    <w:rsid w:val="007826E9"/>
    <w:rsid w:val="00782B72"/>
    <w:rsid w:val="007831F8"/>
    <w:rsid w:val="00783BDF"/>
    <w:rsid w:val="00783C5B"/>
    <w:rsid w:val="0078434D"/>
    <w:rsid w:val="00784452"/>
    <w:rsid w:val="00784776"/>
    <w:rsid w:val="007848E8"/>
    <w:rsid w:val="00784965"/>
    <w:rsid w:val="007852E4"/>
    <w:rsid w:val="007853AF"/>
    <w:rsid w:val="007854DA"/>
    <w:rsid w:val="007857C5"/>
    <w:rsid w:val="00785985"/>
    <w:rsid w:val="00785B75"/>
    <w:rsid w:val="00785C3F"/>
    <w:rsid w:val="00785D16"/>
    <w:rsid w:val="00785FD9"/>
    <w:rsid w:val="00786A77"/>
    <w:rsid w:val="00786A8A"/>
    <w:rsid w:val="00786D8B"/>
    <w:rsid w:val="00786E55"/>
    <w:rsid w:val="007871A5"/>
    <w:rsid w:val="00787483"/>
    <w:rsid w:val="0078771F"/>
    <w:rsid w:val="007878CE"/>
    <w:rsid w:val="007901C5"/>
    <w:rsid w:val="0079073F"/>
    <w:rsid w:val="007909A4"/>
    <w:rsid w:val="00790D12"/>
    <w:rsid w:val="00790E05"/>
    <w:rsid w:val="00791216"/>
    <w:rsid w:val="0079138B"/>
    <w:rsid w:val="007913D4"/>
    <w:rsid w:val="0079152A"/>
    <w:rsid w:val="00791937"/>
    <w:rsid w:val="00791AC5"/>
    <w:rsid w:val="00791C45"/>
    <w:rsid w:val="00791CD1"/>
    <w:rsid w:val="00791EBF"/>
    <w:rsid w:val="00792009"/>
    <w:rsid w:val="007922D0"/>
    <w:rsid w:val="007923B3"/>
    <w:rsid w:val="007923DB"/>
    <w:rsid w:val="0079255A"/>
    <w:rsid w:val="00792567"/>
    <w:rsid w:val="00792855"/>
    <w:rsid w:val="00792902"/>
    <w:rsid w:val="00792ACD"/>
    <w:rsid w:val="00792B58"/>
    <w:rsid w:val="00792C08"/>
    <w:rsid w:val="00792C1F"/>
    <w:rsid w:val="00792DB8"/>
    <w:rsid w:val="007931D7"/>
    <w:rsid w:val="0079343B"/>
    <w:rsid w:val="007934C3"/>
    <w:rsid w:val="00793532"/>
    <w:rsid w:val="007938FC"/>
    <w:rsid w:val="00793FC7"/>
    <w:rsid w:val="0079444D"/>
    <w:rsid w:val="007946D6"/>
    <w:rsid w:val="00794700"/>
    <w:rsid w:val="00794810"/>
    <w:rsid w:val="00794B90"/>
    <w:rsid w:val="00794B9D"/>
    <w:rsid w:val="00794BC8"/>
    <w:rsid w:val="00794C73"/>
    <w:rsid w:val="00795431"/>
    <w:rsid w:val="0079543D"/>
    <w:rsid w:val="00795801"/>
    <w:rsid w:val="00795BD1"/>
    <w:rsid w:val="00795C31"/>
    <w:rsid w:val="00795FC8"/>
    <w:rsid w:val="007963CA"/>
    <w:rsid w:val="007965EC"/>
    <w:rsid w:val="00796982"/>
    <w:rsid w:val="00796B02"/>
    <w:rsid w:val="00796CDB"/>
    <w:rsid w:val="00796E6D"/>
    <w:rsid w:val="00796FEC"/>
    <w:rsid w:val="007974AF"/>
    <w:rsid w:val="0079761A"/>
    <w:rsid w:val="00797915"/>
    <w:rsid w:val="0079792B"/>
    <w:rsid w:val="00797F9B"/>
    <w:rsid w:val="007A0005"/>
    <w:rsid w:val="007A0051"/>
    <w:rsid w:val="007A016C"/>
    <w:rsid w:val="007A058E"/>
    <w:rsid w:val="007A061A"/>
    <w:rsid w:val="007A06B6"/>
    <w:rsid w:val="007A070C"/>
    <w:rsid w:val="007A0725"/>
    <w:rsid w:val="007A0925"/>
    <w:rsid w:val="007A0A4D"/>
    <w:rsid w:val="007A0B5B"/>
    <w:rsid w:val="007A0B86"/>
    <w:rsid w:val="007A0C82"/>
    <w:rsid w:val="007A0DB3"/>
    <w:rsid w:val="007A1133"/>
    <w:rsid w:val="007A1152"/>
    <w:rsid w:val="007A1554"/>
    <w:rsid w:val="007A1A46"/>
    <w:rsid w:val="007A1CCB"/>
    <w:rsid w:val="007A1D21"/>
    <w:rsid w:val="007A1FA0"/>
    <w:rsid w:val="007A21BE"/>
    <w:rsid w:val="007A250A"/>
    <w:rsid w:val="007A2512"/>
    <w:rsid w:val="007A2715"/>
    <w:rsid w:val="007A2D27"/>
    <w:rsid w:val="007A2FB3"/>
    <w:rsid w:val="007A30C0"/>
    <w:rsid w:val="007A32F5"/>
    <w:rsid w:val="007A3428"/>
    <w:rsid w:val="007A347E"/>
    <w:rsid w:val="007A34B5"/>
    <w:rsid w:val="007A35E3"/>
    <w:rsid w:val="007A3667"/>
    <w:rsid w:val="007A36EE"/>
    <w:rsid w:val="007A3AAC"/>
    <w:rsid w:val="007A3BBE"/>
    <w:rsid w:val="007A3C1D"/>
    <w:rsid w:val="007A4108"/>
    <w:rsid w:val="007A430C"/>
    <w:rsid w:val="007A43E5"/>
    <w:rsid w:val="007A460E"/>
    <w:rsid w:val="007A4920"/>
    <w:rsid w:val="007A4CB9"/>
    <w:rsid w:val="007A4DF3"/>
    <w:rsid w:val="007A4EF4"/>
    <w:rsid w:val="007A5023"/>
    <w:rsid w:val="007A502C"/>
    <w:rsid w:val="007A509E"/>
    <w:rsid w:val="007A511E"/>
    <w:rsid w:val="007A51B9"/>
    <w:rsid w:val="007A521B"/>
    <w:rsid w:val="007A59AA"/>
    <w:rsid w:val="007A5B3E"/>
    <w:rsid w:val="007A618B"/>
    <w:rsid w:val="007A6263"/>
    <w:rsid w:val="007A6917"/>
    <w:rsid w:val="007A6BEB"/>
    <w:rsid w:val="007A6C0B"/>
    <w:rsid w:val="007A6D37"/>
    <w:rsid w:val="007A6EB8"/>
    <w:rsid w:val="007A7122"/>
    <w:rsid w:val="007A74D1"/>
    <w:rsid w:val="007A74D9"/>
    <w:rsid w:val="007A7604"/>
    <w:rsid w:val="007A7646"/>
    <w:rsid w:val="007A7AFB"/>
    <w:rsid w:val="007A7B19"/>
    <w:rsid w:val="007A7B2F"/>
    <w:rsid w:val="007A7DD4"/>
    <w:rsid w:val="007B00D3"/>
    <w:rsid w:val="007B0199"/>
    <w:rsid w:val="007B0628"/>
    <w:rsid w:val="007B07F0"/>
    <w:rsid w:val="007B0B31"/>
    <w:rsid w:val="007B0B86"/>
    <w:rsid w:val="007B0BD7"/>
    <w:rsid w:val="007B1017"/>
    <w:rsid w:val="007B12A9"/>
    <w:rsid w:val="007B19F2"/>
    <w:rsid w:val="007B1A53"/>
    <w:rsid w:val="007B1AA1"/>
    <w:rsid w:val="007B1AC6"/>
    <w:rsid w:val="007B1C9B"/>
    <w:rsid w:val="007B1D5D"/>
    <w:rsid w:val="007B1F8F"/>
    <w:rsid w:val="007B212A"/>
    <w:rsid w:val="007B24A3"/>
    <w:rsid w:val="007B2B5B"/>
    <w:rsid w:val="007B2B8D"/>
    <w:rsid w:val="007B3579"/>
    <w:rsid w:val="007B3849"/>
    <w:rsid w:val="007B386D"/>
    <w:rsid w:val="007B3D79"/>
    <w:rsid w:val="007B3DD6"/>
    <w:rsid w:val="007B4135"/>
    <w:rsid w:val="007B4189"/>
    <w:rsid w:val="007B4319"/>
    <w:rsid w:val="007B46A5"/>
    <w:rsid w:val="007B4983"/>
    <w:rsid w:val="007B4AB8"/>
    <w:rsid w:val="007B4E1F"/>
    <w:rsid w:val="007B4EF8"/>
    <w:rsid w:val="007B5A8C"/>
    <w:rsid w:val="007B5AE7"/>
    <w:rsid w:val="007B5B59"/>
    <w:rsid w:val="007B5BDF"/>
    <w:rsid w:val="007B5C04"/>
    <w:rsid w:val="007B5CD2"/>
    <w:rsid w:val="007B5CF0"/>
    <w:rsid w:val="007B5E21"/>
    <w:rsid w:val="007B6055"/>
    <w:rsid w:val="007B63D4"/>
    <w:rsid w:val="007B67A8"/>
    <w:rsid w:val="007B69B9"/>
    <w:rsid w:val="007B6A65"/>
    <w:rsid w:val="007B6DA0"/>
    <w:rsid w:val="007B6ECD"/>
    <w:rsid w:val="007B70AA"/>
    <w:rsid w:val="007B71E3"/>
    <w:rsid w:val="007B791C"/>
    <w:rsid w:val="007B79C7"/>
    <w:rsid w:val="007B7ADD"/>
    <w:rsid w:val="007B7C08"/>
    <w:rsid w:val="007B7E88"/>
    <w:rsid w:val="007B7E9D"/>
    <w:rsid w:val="007B7FB3"/>
    <w:rsid w:val="007B7FFA"/>
    <w:rsid w:val="007C00F7"/>
    <w:rsid w:val="007C01BD"/>
    <w:rsid w:val="007C0674"/>
    <w:rsid w:val="007C06B5"/>
    <w:rsid w:val="007C082D"/>
    <w:rsid w:val="007C0ACC"/>
    <w:rsid w:val="007C0DBD"/>
    <w:rsid w:val="007C0FEF"/>
    <w:rsid w:val="007C1023"/>
    <w:rsid w:val="007C129F"/>
    <w:rsid w:val="007C13E3"/>
    <w:rsid w:val="007C149F"/>
    <w:rsid w:val="007C14D7"/>
    <w:rsid w:val="007C1711"/>
    <w:rsid w:val="007C1884"/>
    <w:rsid w:val="007C1AFD"/>
    <w:rsid w:val="007C1BA6"/>
    <w:rsid w:val="007C1E44"/>
    <w:rsid w:val="007C1F57"/>
    <w:rsid w:val="007C1FFF"/>
    <w:rsid w:val="007C213A"/>
    <w:rsid w:val="007C2221"/>
    <w:rsid w:val="007C258E"/>
    <w:rsid w:val="007C260A"/>
    <w:rsid w:val="007C261E"/>
    <w:rsid w:val="007C275A"/>
    <w:rsid w:val="007C2941"/>
    <w:rsid w:val="007C2A0A"/>
    <w:rsid w:val="007C2B8D"/>
    <w:rsid w:val="007C2DC1"/>
    <w:rsid w:val="007C2FF6"/>
    <w:rsid w:val="007C3223"/>
    <w:rsid w:val="007C34C6"/>
    <w:rsid w:val="007C364E"/>
    <w:rsid w:val="007C368C"/>
    <w:rsid w:val="007C3D52"/>
    <w:rsid w:val="007C3E9F"/>
    <w:rsid w:val="007C4165"/>
    <w:rsid w:val="007C41EC"/>
    <w:rsid w:val="007C4362"/>
    <w:rsid w:val="007C439E"/>
    <w:rsid w:val="007C4618"/>
    <w:rsid w:val="007C472E"/>
    <w:rsid w:val="007C47A5"/>
    <w:rsid w:val="007C4BA3"/>
    <w:rsid w:val="007C4E08"/>
    <w:rsid w:val="007C5111"/>
    <w:rsid w:val="007C53CC"/>
    <w:rsid w:val="007C53EE"/>
    <w:rsid w:val="007C54FF"/>
    <w:rsid w:val="007C5692"/>
    <w:rsid w:val="007C56C8"/>
    <w:rsid w:val="007C571C"/>
    <w:rsid w:val="007C5E92"/>
    <w:rsid w:val="007C612B"/>
    <w:rsid w:val="007C6164"/>
    <w:rsid w:val="007C66FA"/>
    <w:rsid w:val="007C6A56"/>
    <w:rsid w:val="007C724F"/>
    <w:rsid w:val="007C7358"/>
    <w:rsid w:val="007C763C"/>
    <w:rsid w:val="007C768E"/>
    <w:rsid w:val="007C7787"/>
    <w:rsid w:val="007C7838"/>
    <w:rsid w:val="007C7CED"/>
    <w:rsid w:val="007C7D4D"/>
    <w:rsid w:val="007C7E93"/>
    <w:rsid w:val="007C7E99"/>
    <w:rsid w:val="007D0069"/>
    <w:rsid w:val="007D02D7"/>
    <w:rsid w:val="007D0463"/>
    <w:rsid w:val="007D04E3"/>
    <w:rsid w:val="007D06D4"/>
    <w:rsid w:val="007D0922"/>
    <w:rsid w:val="007D0D2A"/>
    <w:rsid w:val="007D1727"/>
    <w:rsid w:val="007D19AB"/>
    <w:rsid w:val="007D1A6B"/>
    <w:rsid w:val="007D2095"/>
    <w:rsid w:val="007D2219"/>
    <w:rsid w:val="007D2223"/>
    <w:rsid w:val="007D2246"/>
    <w:rsid w:val="007D2315"/>
    <w:rsid w:val="007D2524"/>
    <w:rsid w:val="007D2887"/>
    <w:rsid w:val="007D28CD"/>
    <w:rsid w:val="007D2D4C"/>
    <w:rsid w:val="007D3012"/>
    <w:rsid w:val="007D3282"/>
    <w:rsid w:val="007D3291"/>
    <w:rsid w:val="007D342A"/>
    <w:rsid w:val="007D34E7"/>
    <w:rsid w:val="007D356F"/>
    <w:rsid w:val="007D38AE"/>
    <w:rsid w:val="007D38BA"/>
    <w:rsid w:val="007D3924"/>
    <w:rsid w:val="007D3A29"/>
    <w:rsid w:val="007D3AD4"/>
    <w:rsid w:val="007D3CF9"/>
    <w:rsid w:val="007D4237"/>
    <w:rsid w:val="007D435D"/>
    <w:rsid w:val="007D43B8"/>
    <w:rsid w:val="007D4439"/>
    <w:rsid w:val="007D45CA"/>
    <w:rsid w:val="007D4922"/>
    <w:rsid w:val="007D4A34"/>
    <w:rsid w:val="007D4E31"/>
    <w:rsid w:val="007D54CA"/>
    <w:rsid w:val="007D55F2"/>
    <w:rsid w:val="007D56EB"/>
    <w:rsid w:val="007D56F9"/>
    <w:rsid w:val="007D57F1"/>
    <w:rsid w:val="007D58AD"/>
    <w:rsid w:val="007D5A42"/>
    <w:rsid w:val="007D5CF1"/>
    <w:rsid w:val="007D5EC1"/>
    <w:rsid w:val="007D606A"/>
    <w:rsid w:val="007D63CD"/>
    <w:rsid w:val="007D6624"/>
    <w:rsid w:val="007D6942"/>
    <w:rsid w:val="007D69DC"/>
    <w:rsid w:val="007D69E6"/>
    <w:rsid w:val="007D6DED"/>
    <w:rsid w:val="007D6E11"/>
    <w:rsid w:val="007D6F56"/>
    <w:rsid w:val="007D761F"/>
    <w:rsid w:val="007D79D1"/>
    <w:rsid w:val="007D7C5E"/>
    <w:rsid w:val="007D7E38"/>
    <w:rsid w:val="007D7FD7"/>
    <w:rsid w:val="007E002B"/>
    <w:rsid w:val="007E013D"/>
    <w:rsid w:val="007E085F"/>
    <w:rsid w:val="007E0874"/>
    <w:rsid w:val="007E0B66"/>
    <w:rsid w:val="007E0BF8"/>
    <w:rsid w:val="007E0C76"/>
    <w:rsid w:val="007E0E13"/>
    <w:rsid w:val="007E0E31"/>
    <w:rsid w:val="007E0F34"/>
    <w:rsid w:val="007E1048"/>
    <w:rsid w:val="007E14C2"/>
    <w:rsid w:val="007E174A"/>
    <w:rsid w:val="007E1956"/>
    <w:rsid w:val="007E19F0"/>
    <w:rsid w:val="007E1B9F"/>
    <w:rsid w:val="007E1C56"/>
    <w:rsid w:val="007E1E57"/>
    <w:rsid w:val="007E258B"/>
    <w:rsid w:val="007E2694"/>
    <w:rsid w:val="007E26C6"/>
    <w:rsid w:val="007E29FD"/>
    <w:rsid w:val="007E2BE8"/>
    <w:rsid w:val="007E3030"/>
    <w:rsid w:val="007E327E"/>
    <w:rsid w:val="007E3589"/>
    <w:rsid w:val="007E391A"/>
    <w:rsid w:val="007E3948"/>
    <w:rsid w:val="007E3AD1"/>
    <w:rsid w:val="007E3D3A"/>
    <w:rsid w:val="007E3E20"/>
    <w:rsid w:val="007E43F2"/>
    <w:rsid w:val="007E4A8D"/>
    <w:rsid w:val="007E4F75"/>
    <w:rsid w:val="007E516A"/>
    <w:rsid w:val="007E52CF"/>
    <w:rsid w:val="007E539C"/>
    <w:rsid w:val="007E53C6"/>
    <w:rsid w:val="007E54AC"/>
    <w:rsid w:val="007E5D21"/>
    <w:rsid w:val="007E5DCB"/>
    <w:rsid w:val="007E5F05"/>
    <w:rsid w:val="007E5F12"/>
    <w:rsid w:val="007E5FC2"/>
    <w:rsid w:val="007E6324"/>
    <w:rsid w:val="007E64F7"/>
    <w:rsid w:val="007E6AF1"/>
    <w:rsid w:val="007E6D7D"/>
    <w:rsid w:val="007E6EFC"/>
    <w:rsid w:val="007E6F33"/>
    <w:rsid w:val="007E7480"/>
    <w:rsid w:val="007E771E"/>
    <w:rsid w:val="007E7C5F"/>
    <w:rsid w:val="007F01B9"/>
    <w:rsid w:val="007F0224"/>
    <w:rsid w:val="007F0284"/>
    <w:rsid w:val="007F0299"/>
    <w:rsid w:val="007F0368"/>
    <w:rsid w:val="007F04C0"/>
    <w:rsid w:val="007F064B"/>
    <w:rsid w:val="007F08BF"/>
    <w:rsid w:val="007F09C3"/>
    <w:rsid w:val="007F1113"/>
    <w:rsid w:val="007F1756"/>
    <w:rsid w:val="007F1C27"/>
    <w:rsid w:val="007F213A"/>
    <w:rsid w:val="007F2246"/>
    <w:rsid w:val="007F2346"/>
    <w:rsid w:val="007F3958"/>
    <w:rsid w:val="007F4015"/>
    <w:rsid w:val="007F411C"/>
    <w:rsid w:val="007F41C4"/>
    <w:rsid w:val="007F4508"/>
    <w:rsid w:val="007F45D2"/>
    <w:rsid w:val="007F468D"/>
    <w:rsid w:val="007F46AA"/>
    <w:rsid w:val="007F47C9"/>
    <w:rsid w:val="007F48FF"/>
    <w:rsid w:val="007F4A78"/>
    <w:rsid w:val="007F4BD8"/>
    <w:rsid w:val="007F4C35"/>
    <w:rsid w:val="007F4E2A"/>
    <w:rsid w:val="007F4E35"/>
    <w:rsid w:val="007F500F"/>
    <w:rsid w:val="007F53DF"/>
    <w:rsid w:val="007F55D5"/>
    <w:rsid w:val="007F5728"/>
    <w:rsid w:val="007F5A6F"/>
    <w:rsid w:val="007F5D7A"/>
    <w:rsid w:val="007F64FA"/>
    <w:rsid w:val="007F67A4"/>
    <w:rsid w:val="007F68E2"/>
    <w:rsid w:val="007F6DD7"/>
    <w:rsid w:val="007F719F"/>
    <w:rsid w:val="007F7697"/>
    <w:rsid w:val="007F7998"/>
    <w:rsid w:val="007F7B02"/>
    <w:rsid w:val="007F7B33"/>
    <w:rsid w:val="007F7EFA"/>
    <w:rsid w:val="00800052"/>
    <w:rsid w:val="008000A1"/>
    <w:rsid w:val="00800558"/>
    <w:rsid w:val="00800574"/>
    <w:rsid w:val="00800901"/>
    <w:rsid w:val="00800B12"/>
    <w:rsid w:val="00800BCD"/>
    <w:rsid w:val="00800C59"/>
    <w:rsid w:val="00800EF7"/>
    <w:rsid w:val="00801162"/>
    <w:rsid w:val="008011A4"/>
    <w:rsid w:val="00801540"/>
    <w:rsid w:val="00801619"/>
    <w:rsid w:val="00801658"/>
    <w:rsid w:val="00801725"/>
    <w:rsid w:val="008019FB"/>
    <w:rsid w:val="00801AF6"/>
    <w:rsid w:val="00801EC7"/>
    <w:rsid w:val="008021B8"/>
    <w:rsid w:val="0080258B"/>
    <w:rsid w:val="00802997"/>
    <w:rsid w:val="00802B17"/>
    <w:rsid w:val="00803289"/>
    <w:rsid w:val="0080342D"/>
    <w:rsid w:val="00803512"/>
    <w:rsid w:val="00803568"/>
    <w:rsid w:val="00803781"/>
    <w:rsid w:val="00803A94"/>
    <w:rsid w:val="00803AB9"/>
    <w:rsid w:val="00803B97"/>
    <w:rsid w:val="0080456A"/>
    <w:rsid w:val="0080457C"/>
    <w:rsid w:val="0080459E"/>
    <w:rsid w:val="00804883"/>
    <w:rsid w:val="00804C0D"/>
    <w:rsid w:val="00804F09"/>
    <w:rsid w:val="0080551C"/>
    <w:rsid w:val="0080569A"/>
    <w:rsid w:val="00805B72"/>
    <w:rsid w:val="00805FFC"/>
    <w:rsid w:val="0080601B"/>
    <w:rsid w:val="0080602C"/>
    <w:rsid w:val="00806104"/>
    <w:rsid w:val="008061AF"/>
    <w:rsid w:val="00806213"/>
    <w:rsid w:val="00806241"/>
    <w:rsid w:val="008062CB"/>
    <w:rsid w:val="008066EC"/>
    <w:rsid w:val="00806C38"/>
    <w:rsid w:val="00806C39"/>
    <w:rsid w:val="00806CB0"/>
    <w:rsid w:val="00806E3F"/>
    <w:rsid w:val="00806F15"/>
    <w:rsid w:val="00807185"/>
    <w:rsid w:val="0080719C"/>
    <w:rsid w:val="0080721D"/>
    <w:rsid w:val="008074FB"/>
    <w:rsid w:val="0080750B"/>
    <w:rsid w:val="00807729"/>
    <w:rsid w:val="00807871"/>
    <w:rsid w:val="0080791A"/>
    <w:rsid w:val="008079C6"/>
    <w:rsid w:val="008100CB"/>
    <w:rsid w:val="008102D1"/>
    <w:rsid w:val="008103DE"/>
    <w:rsid w:val="008107C0"/>
    <w:rsid w:val="008108F1"/>
    <w:rsid w:val="00810AB5"/>
    <w:rsid w:val="00810B97"/>
    <w:rsid w:val="00810BD6"/>
    <w:rsid w:val="008112F8"/>
    <w:rsid w:val="008119DF"/>
    <w:rsid w:val="00811AD4"/>
    <w:rsid w:val="00811D70"/>
    <w:rsid w:val="00811D9B"/>
    <w:rsid w:val="008121A0"/>
    <w:rsid w:val="0081221A"/>
    <w:rsid w:val="00812690"/>
    <w:rsid w:val="008126DB"/>
    <w:rsid w:val="00812874"/>
    <w:rsid w:val="00812A55"/>
    <w:rsid w:val="00812ADB"/>
    <w:rsid w:val="008130C7"/>
    <w:rsid w:val="008132B2"/>
    <w:rsid w:val="0081344F"/>
    <w:rsid w:val="00813647"/>
    <w:rsid w:val="008136A6"/>
    <w:rsid w:val="008137C2"/>
    <w:rsid w:val="0081383F"/>
    <w:rsid w:val="008139D3"/>
    <w:rsid w:val="00813C07"/>
    <w:rsid w:val="00813DBC"/>
    <w:rsid w:val="008140C1"/>
    <w:rsid w:val="008144FA"/>
    <w:rsid w:val="00814853"/>
    <w:rsid w:val="00814C69"/>
    <w:rsid w:val="00814FE9"/>
    <w:rsid w:val="00815A65"/>
    <w:rsid w:val="00815B38"/>
    <w:rsid w:val="00815C3D"/>
    <w:rsid w:val="00815C40"/>
    <w:rsid w:val="00815D5A"/>
    <w:rsid w:val="00815DCF"/>
    <w:rsid w:val="00815E47"/>
    <w:rsid w:val="0081610A"/>
    <w:rsid w:val="0081631B"/>
    <w:rsid w:val="008163A8"/>
    <w:rsid w:val="00816994"/>
    <w:rsid w:val="00816DC4"/>
    <w:rsid w:val="00816F7F"/>
    <w:rsid w:val="00817100"/>
    <w:rsid w:val="00817344"/>
    <w:rsid w:val="00817374"/>
    <w:rsid w:val="00817439"/>
    <w:rsid w:val="00817901"/>
    <w:rsid w:val="00817E21"/>
    <w:rsid w:val="0082008D"/>
    <w:rsid w:val="00820D47"/>
    <w:rsid w:val="00820D4D"/>
    <w:rsid w:val="00821488"/>
    <w:rsid w:val="0082148A"/>
    <w:rsid w:val="0082151D"/>
    <w:rsid w:val="0082164C"/>
    <w:rsid w:val="008216A0"/>
    <w:rsid w:val="00821BEF"/>
    <w:rsid w:val="00821EB5"/>
    <w:rsid w:val="00821F4F"/>
    <w:rsid w:val="00821FD2"/>
    <w:rsid w:val="008220A5"/>
    <w:rsid w:val="008221EA"/>
    <w:rsid w:val="00822378"/>
    <w:rsid w:val="008223FF"/>
    <w:rsid w:val="0082286D"/>
    <w:rsid w:val="00822A5F"/>
    <w:rsid w:val="00822C53"/>
    <w:rsid w:val="008231C5"/>
    <w:rsid w:val="0082351F"/>
    <w:rsid w:val="008235E5"/>
    <w:rsid w:val="00823889"/>
    <w:rsid w:val="0082392B"/>
    <w:rsid w:val="00823A64"/>
    <w:rsid w:val="00823BB6"/>
    <w:rsid w:val="00824056"/>
    <w:rsid w:val="0082422A"/>
    <w:rsid w:val="00824386"/>
    <w:rsid w:val="0082465A"/>
    <w:rsid w:val="008246E0"/>
    <w:rsid w:val="00824743"/>
    <w:rsid w:val="00824A67"/>
    <w:rsid w:val="00824F90"/>
    <w:rsid w:val="00825132"/>
    <w:rsid w:val="008253D0"/>
    <w:rsid w:val="008254CC"/>
    <w:rsid w:val="008254F4"/>
    <w:rsid w:val="00825559"/>
    <w:rsid w:val="00825F15"/>
    <w:rsid w:val="008261FB"/>
    <w:rsid w:val="008263C2"/>
    <w:rsid w:val="008263D6"/>
    <w:rsid w:val="00826487"/>
    <w:rsid w:val="008265F1"/>
    <w:rsid w:val="00826A88"/>
    <w:rsid w:val="00826C7A"/>
    <w:rsid w:val="00826F68"/>
    <w:rsid w:val="00826F7B"/>
    <w:rsid w:val="008272C7"/>
    <w:rsid w:val="00827703"/>
    <w:rsid w:val="00827936"/>
    <w:rsid w:val="00827BE2"/>
    <w:rsid w:val="00830012"/>
    <w:rsid w:val="00830114"/>
    <w:rsid w:val="00830497"/>
    <w:rsid w:val="0083081C"/>
    <w:rsid w:val="00830926"/>
    <w:rsid w:val="00830D5C"/>
    <w:rsid w:val="0083107C"/>
    <w:rsid w:val="0083148D"/>
    <w:rsid w:val="008317E4"/>
    <w:rsid w:val="00831944"/>
    <w:rsid w:val="00831A51"/>
    <w:rsid w:val="00831F14"/>
    <w:rsid w:val="00831FB5"/>
    <w:rsid w:val="00831FDA"/>
    <w:rsid w:val="00832023"/>
    <w:rsid w:val="00832047"/>
    <w:rsid w:val="00832468"/>
    <w:rsid w:val="0083268F"/>
    <w:rsid w:val="00832BA0"/>
    <w:rsid w:val="00832EF1"/>
    <w:rsid w:val="008331A0"/>
    <w:rsid w:val="00833304"/>
    <w:rsid w:val="008333B9"/>
    <w:rsid w:val="008333E8"/>
    <w:rsid w:val="008333F8"/>
    <w:rsid w:val="0083348F"/>
    <w:rsid w:val="008336E5"/>
    <w:rsid w:val="008336F5"/>
    <w:rsid w:val="00833888"/>
    <w:rsid w:val="008338BE"/>
    <w:rsid w:val="00833B4D"/>
    <w:rsid w:val="008342E0"/>
    <w:rsid w:val="00834400"/>
    <w:rsid w:val="00834418"/>
    <w:rsid w:val="008344E3"/>
    <w:rsid w:val="00834997"/>
    <w:rsid w:val="00834CB6"/>
    <w:rsid w:val="00834EFF"/>
    <w:rsid w:val="0083519F"/>
    <w:rsid w:val="00835257"/>
    <w:rsid w:val="008353DA"/>
    <w:rsid w:val="0083541E"/>
    <w:rsid w:val="00835713"/>
    <w:rsid w:val="0083577E"/>
    <w:rsid w:val="00835867"/>
    <w:rsid w:val="00835C82"/>
    <w:rsid w:val="008363BC"/>
    <w:rsid w:val="00836450"/>
    <w:rsid w:val="008364AB"/>
    <w:rsid w:val="00836527"/>
    <w:rsid w:val="00836D52"/>
    <w:rsid w:val="00836D99"/>
    <w:rsid w:val="00836FAB"/>
    <w:rsid w:val="00837492"/>
    <w:rsid w:val="008374B0"/>
    <w:rsid w:val="008375AB"/>
    <w:rsid w:val="00837679"/>
    <w:rsid w:val="008378DE"/>
    <w:rsid w:val="00837B77"/>
    <w:rsid w:val="00837E4C"/>
    <w:rsid w:val="00837E89"/>
    <w:rsid w:val="00837EDF"/>
    <w:rsid w:val="00840069"/>
    <w:rsid w:val="00840214"/>
    <w:rsid w:val="00840443"/>
    <w:rsid w:val="0084057C"/>
    <w:rsid w:val="008407D1"/>
    <w:rsid w:val="0084094A"/>
    <w:rsid w:val="00840AA1"/>
    <w:rsid w:val="00840ABB"/>
    <w:rsid w:val="00840B0A"/>
    <w:rsid w:val="00840B2D"/>
    <w:rsid w:val="00840CAF"/>
    <w:rsid w:val="00840D04"/>
    <w:rsid w:val="00840DFA"/>
    <w:rsid w:val="00840F89"/>
    <w:rsid w:val="00841027"/>
    <w:rsid w:val="0084115C"/>
    <w:rsid w:val="008412A6"/>
    <w:rsid w:val="00841580"/>
    <w:rsid w:val="0084196B"/>
    <w:rsid w:val="00841A04"/>
    <w:rsid w:val="00841C83"/>
    <w:rsid w:val="0084207B"/>
    <w:rsid w:val="008421F0"/>
    <w:rsid w:val="00842624"/>
    <w:rsid w:val="008426C0"/>
    <w:rsid w:val="0084283D"/>
    <w:rsid w:val="00842863"/>
    <w:rsid w:val="00842C01"/>
    <w:rsid w:val="00842CE6"/>
    <w:rsid w:val="00842ECA"/>
    <w:rsid w:val="00842ECC"/>
    <w:rsid w:val="008430C5"/>
    <w:rsid w:val="00843337"/>
    <w:rsid w:val="00843659"/>
    <w:rsid w:val="008438D5"/>
    <w:rsid w:val="00843915"/>
    <w:rsid w:val="00843C02"/>
    <w:rsid w:val="00843C37"/>
    <w:rsid w:val="00843C3C"/>
    <w:rsid w:val="00843C45"/>
    <w:rsid w:val="00843FA3"/>
    <w:rsid w:val="00844150"/>
    <w:rsid w:val="008445C1"/>
    <w:rsid w:val="008445FE"/>
    <w:rsid w:val="0084464C"/>
    <w:rsid w:val="00844706"/>
    <w:rsid w:val="00844836"/>
    <w:rsid w:val="00844A0F"/>
    <w:rsid w:val="00844A33"/>
    <w:rsid w:val="00844AD4"/>
    <w:rsid w:val="00844B85"/>
    <w:rsid w:val="00844C1A"/>
    <w:rsid w:val="00844E8F"/>
    <w:rsid w:val="00845905"/>
    <w:rsid w:val="00845962"/>
    <w:rsid w:val="008459A8"/>
    <w:rsid w:val="00845A1B"/>
    <w:rsid w:val="00845AA0"/>
    <w:rsid w:val="00845B53"/>
    <w:rsid w:val="00845BCA"/>
    <w:rsid w:val="00845D60"/>
    <w:rsid w:val="008461E3"/>
    <w:rsid w:val="00846865"/>
    <w:rsid w:val="008468F6"/>
    <w:rsid w:val="00846AA5"/>
    <w:rsid w:val="00846C9C"/>
    <w:rsid w:val="00846D6B"/>
    <w:rsid w:val="008473D4"/>
    <w:rsid w:val="0084743E"/>
    <w:rsid w:val="008475F7"/>
    <w:rsid w:val="00847827"/>
    <w:rsid w:val="00847833"/>
    <w:rsid w:val="0084787F"/>
    <w:rsid w:val="008479E7"/>
    <w:rsid w:val="00847C1A"/>
    <w:rsid w:val="00847D18"/>
    <w:rsid w:val="00847FF6"/>
    <w:rsid w:val="00850321"/>
    <w:rsid w:val="0085037A"/>
    <w:rsid w:val="00850C8D"/>
    <w:rsid w:val="00850E58"/>
    <w:rsid w:val="00851841"/>
    <w:rsid w:val="00851967"/>
    <w:rsid w:val="00852632"/>
    <w:rsid w:val="00852648"/>
    <w:rsid w:val="008527E1"/>
    <w:rsid w:val="0085289F"/>
    <w:rsid w:val="00852B06"/>
    <w:rsid w:val="00852D33"/>
    <w:rsid w:val="008532B6"/>
    <w:rsid w:val="00853419"/>
    <w:rsid w:val="008534AD"/>
    <w:rsid w:val="00853A2C"/>
    <w:rsid w:val="00853EF4"/>
    <w:rsid w:val="008540F4"/>
    <w:rsid w:val="00854330"/>
    <w:rsid w:val="0085445E"/>
    <w:rsid w:val="00854846"/>
    <w:rsid w:val="00854907"/>
    <w:rsid w:val="008552DD"/>
    <w:rsid w:val="00855497"/>
    <w:rsid w:val="00855598"/>
    <w:rsid w:val="00855699"/>
    <w:rsid w:val="00855B9B"/>
    <w:rsid w:val="0085618B"/>
    <w:rsid w:val="00856359"/>
    <w:rsid w:val="00856360"/>
    <w:rsid w:val="008565B6"/>
    <w:rsid w:val="00856956"/>
    <w:rsid w:val="008569F7"/>
    <w:rsid w:val="00856C0F"/>
    <w:rsid w:val="00856C64"/>
    <w:rsid w:val="00856D02"/>
    <w:rsid w:val="00856FA3"/>
    <w:rsid w:val="008570F2"/>
    <w:rsid w:val="008575BB"/>
    <w:rsid w:val="008575F9"/>
    <w:rsid w:val="008577F7"/>
    <w:rsid w:val="00857AA8"/>
    <w:rsid w:val="00860170"/>
    <w:rsid w:val="0086040B"/>
    <w:rsid w:val="008604E0"/>
    <w:rsid w:val="0086075E"/>
    <w:rsid w:val="008607E2"/>
    <w:rsid w:val="00860821"/>
    <w:rsid w:val="0086082F"/>
    <w:rsid w:val="0086086B"/>
    <w:rsid w:val="008609CA"/>
    <w:rsid w:val="00861330"/>
    <w:rsid w:val="008615CC"/>
    <w:rsid w:val="0086186A"/>
    <w:rsid w:val="00861AAE"/>
    <w:rsid w:val="00861CDC"/>
    <w:rsid w:val="00862362"/>
    <w:rsid w:val="00862491"/>
    <w:rsid w:val="00862525"/>
    <w:rsid w:val="0086272D"/>
    <w:rsid w:val="00862860"/>
    <w:rsid w:val="008629FC"/>
    <w:rsid w:val="00862BD0"/>
    <w:rsid w:val="00862F5B"/>
    <w:rsid w:val="008631F8"/>
    <w:rsid w:val="008633CC"/>
    <w:rsid w:val="008637C6"/>
    <w:rsid w:val="00863855"/>
    <w:rsid w:val="008639C3"/>
    <w:rsid w:val="0086425C"/>
    <w:rsid w:val="008644BE"/>
    <w:rsid w:val="008648DD"/>
    <w:rsid w:val="00864BD3"/>
    <w:rsid w:val="00865053"/>
    <w:rsid w:val="00865126"/>
    <w:rsid w:val="008651E9"/>
    <w:rsid w:val="008656F8"/>
    <w:rsid w:val="008659B7"/>
    <w:rsid w:val="00865A2E"/>
    <w:rsid w:val="00865CD3"/>
    <w:rsid w:val="00865E13"/>
    <w:rsid w:val="00865E6E"/>
    <w:rsid w:val="00865EDA"/>
    <w:rsid w:val="00866158"/>
    <w:rsid w:val="0086618F"/>
    <w:rsid w:val="008664E2"/>
    <w:rsid w:val="00866740"/>
    <w:rsid w:val="00866805"/>
    <w:rsid w:val="008669A6"/>
    <w:rsid w:val="00866C02"/>
    <w:rsid w:val="00866C3E"/>
    <w:rsid w:val="00866F1D"/>
    <w:rsid w:val="008672AD"/>
    <w:rsid w:val="00867403"/>
    <w:rsid w:val="00867541"/>
    <w:rsid w:val="00867977"/>
    <w:rsid w:val="00867F84"/>
    <w:rsid w:val="00867F99"/>
    <w:rsid w:val="008700FE"/>
    <w:rsid w:val="008702C7"/>
    <w:rsid w:val="008704C6"/>
    <w:rsid w:val="008704DD"/>
    <w:rsid w:val="008709D5"/>
    <w:rsid w:val="00870A82"/>
    <w:rsid w:val="00870C35"/>
    <w:rsid w:val="00870E0A"/>
    <w:rsid w:val="00870E7F"/>
    <w:rsid w:val="008710FE"/>
    <w:rsid w:val="0087114B"/>
    <w:rsid w:val="0087132E"/>
    <w:rsid w:val="008718E3"/>
    <w:rsid w:val="00871AB2"/>
    <w:rsid w:val="00871AEE"/>
    <w:rsid w:val="00871F67"/>
    <w:rsid w:val="008722B7"/>
    <w:rsid w:val="008724B9"/>
    <w:rsid w:val="0087258B"/>
    <w:rsid w:val="00872923"/>
    <w:rsid w:val="00872A37"/>
    <w:rsid w:val="00873155"/>
    <w:rsid w:val="008731AC"/>
    <w:rsid w:val="008731C6"/>
    <w:rsid w:val="00873220"/>
    <w:rsid w:val="00873245"/>
    <w:rsid w:val="0087330F"/>
    <w:rsid w:val="008733BE"/>
    <w:rsid w:val="008734E7"/>
    <w:rsid w:val="008737D1"/>
    <w:rsid w:val="008737E6"/>
    <w:rsid w:val="00873A88"/>
    <w:rsid w:val="00873B0A"/>
    <w:rsid w:val="00873C05"/>
    <w:rsid w:val="00873DC5"/>
    <w:rsid w:val="00873E8A"/>
    <w:rsid w:val="00873F42"/>
    <w:rsid w:val="00874025"/>
    <w:rsid w:val="008743A9"/>
    <w:rsid w:val="00874442"/>
    <w:rsid w:val="0087488F"/>
    <w:rsid w:val="00874E3C"/>
    <w:rsid w:val="00874F52"/>
    <w:rsid w:val="0087523F"/>
    <w:rsid w:val="00875380"/>
    <w:rsid w:val="008753F4"/>
    <w:rsid w:val="00875423"/>
    <w:rsid w:val="0087557C"/>
    <w:rsid w:val="00875997"/>
    <w:rsid w:val="00875A12"/>
    <w:rsid w:val="00875A4C"/>
    <w:rsid w:val="00875A8C"/>
    <w:rsid w:val="00875BA2"/>
    <w:rsid w:val="00875C12"/>
    <w:rsid w:val="00875DB2"/>
    <w:rsid w:val="0087613F"/>
    <w:rsid w:val="0087629B"/>
    <w:rsid w:val="008767F4"/>
    <w:rsid w:val="00876889"/>
    <w:rsid w:val="00876958"/>
    <w:rsid w:val="00876E79"/>
    <w:rsid w:val="00876F82"/>
    <w:rsid w:val="0087701A"/>
    <w:rsid w:val="00877038"/>
    <w:rsid w:val="00877042"/>
    <w:rsid w:val="00877298"/>
    <w:rsid w:val="00877557"/>
    <w:rsid w:val="008777A5"/>
    <w:rsid w:val="00877931"/>
    <w:rsid w:val="00877A3D"/>
    <w:rsid w:val="00877AF3"/>
    <w:rsid w:val="00877B94"/>
    <w:rsid w:val="00877E95"/>
    <w:rsid w:val="00877F99"/>
    <w:rsid w:val="008800D4"/>
    <w:rsid w:val="008803AC"/>
    <w:rsid w:val="008803BA"/>
    <w:rsid w:val="008805C1"/>
    <w:rsid w:val="0088082B"/>
    <w:rsid w:val="00880B6B"/>
    <w:rsid w:val="00880E53"/>
    <w:rsid w:val="00880E80"/>
    <w:rsid w:val="0088158B"/>
    <w:rsid w:val="008815A2"/>
    <w:rsid w:val="008815F4"/>
    <w:rsid w:val="008819F0"/>
    <w:rsid w:val="00881A5E"/>
    <w:rsid w:val="008821EE"/>
    <w:rsid w:val="00882344"/>
    <w:rsid w:val="00882503"/>
    <w:rsid w:val="00882DC8"/>
    <w:rsid w:val="0088312C"/>
    <w:rsid w:val="008831A4"/>
    <w:rsid w:val="00883202"/>
    <w:rsid w:val="00883529"/>
    <w:rsid w:val="0088396F"/>
    <w:rsid w:val="00883C94"/>
    <w:rsid w:val="00883C96"/>
    <w:rsid w:val="00883CAE"/>
    <w:rsid w:val="00883D9B"/>
    <w:rsid w:val="00884064"/>
    <w:rsid w:val="00884188"/>
    <w:rsid w:val="00884202"/>
    <w:rsid w:val="00884341"/>
    <w:rsid w:val="008844FC"/>
    <w:rsid w:val="00884905"/>
    <w:rsid w:val="0088499F"/>
    <w:rsid w:val="00884AAD"/>
    <w:rsid w:val="00884B9D"/>
    <w:rsid w:val="00884CF9"/>
    <w:rsid w:val="00884F7B"/>
    <w:rsid w:val="00885207"/>
    <w:rsid w:val="008853CA"/>
    <w:rsid w:val="00885554"/>
    <w:rsid w:val="0088567B"/>
    <w:rsid w:val="008858E0"/>
    <w:rsid w:val="00885C65"/>
    <w:rsid w:val="00885CD6"/>
    <w:rsid w:val="00885E3A"/>
    <w:rsid w:val="00886156"/>
    <w:rsid w:val="008864AB"/>
    <w:rsid w:val="00886577"/>
    <w:rsid w:val="00886759"/>
    <w:rsid w:val="00886778"/>
    <w:rsid w:val="00886B44"/>
    <w:rsid w:val="00886C5F"/>
    <w:rsid w:val="00886F94"/>
    <w:rsid w:val="0088705F"/>
    <w:rsid w:val="00887298"/>
    <w:rsid w:val="008873C8"/>
    <w:rsid w:val="008878B6"/>
    <w:rsid w:val="00887932"/>
    <w:rsid w:val="00887A97"/>
    <w:rsid w:val="00887D41"/>
    <w:rsid w:val="00887DC2"/>
    <w:rsid w:val="00887F7E"/>
    <w:rsid w:val="00890613"/>
    <w:rsid w:val="00890623"/>
    <w:rsid w:val="008909D0"/>
    <w:rsid w:val="00890A92"/>
    <w:rsid w:val="00890B40"/>
    <w:rsid w:val="00890D34"/>
    <w:rsid w:val="00890D99"/>
    <w:rsid w:val="00890F68"/>
    <w:rsid w:val="0089148F"/>
    <w:rsid w:val="00891502"/>
    <w:rsid w:val="008916FC"/>
    <w:rsid w:val="0089171B"/>
    <w:rsid w:val="00891A14"/>
    <w:rsid w:val="00891C77"/>
    <w:rsid w:val="00891D98"/>
    <w:rsid w:val="00891EDF"/>
    <w:rsid w:val="00891EFF"/>
    <w:rsid w:val="00891F10"/>
    <w:rsid w:val="00892D0A"/>
    <w:rsid w:val="00892E6C"/>
    <w:rsid w:val="00892EF3"/>
    <w:rsid w:val="00892FB0"/>
    <w:rsid w:val="0089344B"/>
    <w:rsid w:val="0089375C"/>
    <w:rsid w:val="008939BD"/>
    <w:rsid w:val="008939CA"/>
    <w:rsid w:val="00893A9B"/>
    <w:rsid w:val="00893BF4"/>
    <w:rsid w:val="00893CBA"/>
    <w:rsid w:val="00893E00"/>
    <w:rsid w:val="00894028"/>
    <w:rsid w:val="008946A0"/>
    <w:rsid w:val="00894728"/>
    <w:rsid w:val="00894A79"/>
    <w:rsid w:val="00894B1C"/>
    <w:rsid w:val="00894E6C"/>
    <w:rsid w:val="00895561"/>
    <w:rsid w:val="0089559F"/>
    <w:rsid w:val="008956B5"/>
    <w:rsid w:val="008956CC"/>
    <w:rsid w:val="00895813"/>
    <w:rsid w:val="00895A77"/>
    <w:rsid w:val="00895BB3"/>
    <w:rsid w:val="00895BFF"/>
    <w:rsid w:val="00895F15"/>
    <w:rsid w:val="008961BA"/>
    <w:rsid w:val="008963C0"/>
    <w:rsid w:val="0089645A"/>
    <w:rsid w:val="0089655C"/>
    <w:rsid w:val="008968B4"/>
    <w:rsid w:val="00896B9B"/>
    <w:rsid w:val="00896EAA"/>
    <w:rsid w:val="00897296"/>
    <w:rsid w:val="008972B1"/>
    <w:rsid w:val="0089741A"/>
    <w:rsid w:val="008A0140"/>
    <w:rsid w:val="008A040F"/>
    <w:rsid w:val="008A0547"/>
    <w:rsid w:val="008A05A7"/>
    <w:rsid w:val="008A08BF"/>
    <w:rsid w:val="008A09CD"/>
    <w:rsid w:val="008A0B48"/>
    <w:rsid w:val="008A123C"/>
    <w:rsid w:val="008A1771"/>
    <w:rsid w:val="008A1796"/>
    <w:rsid w:val="008A1A3D"/>
    <w:rsid w:val="008A1FA0"/>
    <w:rsid w:val="008A2001"/>
    <w:rsid w:val="008A2089"/>
    <w:rsid w:val="008A2143"/>
    <w:rsid w:val="008A23A9"/>
    <w:rsid w:val="008A25C7"/>
    <w:rsid w:val="008A25CF"/>
    <w:rsid w:val="008A261A"/>
    <w:rsid w:val="008A26C8"/>
    <w:rsid w:val="008A272C"/>
    <w:rsid w:val="008A2A4B"/>
    <w:rsid w:val="008A2D80"/>
    <w:rsid w:val="008A307D"/>
    <w:rsid w:val="008A31BF"/>
    <w:rsid w:val="008A3292"/>
    <w:rsid w:val="008A3401"/>
    <w:rsid w:val="008A3A4D"/>
    <w:rsid w:val="008A3A83"/>
    <w:rsid w:val="008A3B83"/>
    <w:rsid w:val="008A3C1E"/>
    <w:rsid w:val="008A4287"/>
    <w:rsid w:val="008A4290"/>
    <w:rsid w:val="008A44D7"/>
    <w:rsid w:val="008A470F"/>
    <w:rsid w:val="008A4A20"/>
    <w:rsid w:val="008A4A96"/>
    <w:rsid w:val="008A4AB3"/>
    <w:rsid w:val="008A4B12"/>
    <w:rsid w:val="008A4FB9"/>
    <w:rsid w:val="008A4FCA"/>
    <w:rsid w:val="008A522A"/>
    <w:rsid w:val="008A529E"/>
    <w:rsid w:val="008A5391"/>
    <w:rsid w:val="008A55BD"/>
    <w:rsid w:val="008A5D1F"/>
    <w:rsid w:val="008A6605"/>
    <w:rsid w:val="008A6A18"/>
    <w:rsid w:val="008A6A2F"/>
    <w:rsid w:val="008A6B2C"/>
    <w:rsid w:val="008A6E89"/>
    <w:rsid w:val="008A73CE"/>
    <w:rsid w:val="008A7733"/>
    <w:rsid w:val="008A783D"/>
    <w:rsid w:val="008A7C9F"/>
    <w:rsid w:val="008A7D36"/>
    <w:rsid w:val="008A7E29"/>
    <w:rsid w:val="008B03BE"/>
    <w:rsid w:val="008B042D"/>
    <w:rsid w:val="008B0570"/>
    <w:rsid w:val="008B083D"/>
    <w:rsid w:val="008B0A3B"/>
    <w:rsid w:val="008B0A8C"/>
    <w:rsid w:val="008B0CEB"/>
    <w:rsid w:val="008B0D76"/>
    <w:rsid w:val="008B0F9F"/>
    <w:rsid w:val="008B10F7"/>
    <w:rsid w:val="008B1348"/>
    <w:rsid w:val="008B1465"/>
    <w:rsid w:val="008B1892"/>
    <w:rsid w:val="008B1C81"/>
    <w:rsid w:val="008B1DFC"/>
    <w:rsid w:val="008B1EB6"/>
    <w:rsid w:val="008B2095"/>
    <w:rsid w:val="008B233E"/>
    <w:rsid w:val="008B2462"/>
    <w:rsid w:val="008B261A"/>
    <w:rsid w:val="008B2A76"/>
    <w:rsid w:val="008B2D21"/>
    <w:rsid w:val="008B2FA9"/>
    <w:rsid w:val="008B31D6"/>
    <w:rsid w:val="008B32D8"/>
    <w:rsid w:val="008B3546"/>
    <w:rsid w:val="008B3920"/>
    <w:rsid w:val="008B3C07"/>
    <w:rsid w:val="008B3EA2"/>
    <w:rsid w:val="008B3EC3"/>
    <w:rsid w:val="008B3EFB"/>
    <w:rsid w:val="008B3F81"/>
    <w:rsid w:val="008B4268"/>
    <w:rsid w:val="008B4712"/>
    <w:rsid w:val="008B4863"/>
    <w:rsid w:val="008B49A4"/>
    <w:rsid w:val="008B4C83"/>
    <w:rsid w:val="008B4D84"/>
    <w:rsid w:val="008B4F73"/>
    <w:rsid w:val="008B4FAB"/>
    <w:rsid w:val="008B4FDC"/>
    <w:rsid w:val="008B54E8"/>
    <w:rsid w:val="008B570A"/>
    <w:rsid w:val="008B572B"/>
    <w:rsid w:val="008B57D5"/>
    <w:rsid w:val="008B58B0"/>
    <w:rsid w:val="008B5B4C"/>
    <w:rsid w:val="008B5D49"/>
    <w:rsid w:val="008B5DD5"/>
    <w:rsid w:val="008B5EF2"/>
    <w:rsid w:val="008B6000"/>
    <w:rsid w:val="008B621C"/>
    <w:rsid w:val="008B64A3"/>
    <w:rsid w:val="008B6CEF"/>
    <w:rsid w:val="008B6ECB"/>
    <w:rsid w:val="008B70ED"/>
    <w:rsid w:val="008B71CB"/>
    <w:rsid w:val="008B72CA"/>
    <w:rsid w:val="008B74E0"/>
    <w:rsid w:val="008B796F"/>
    <w:rsid w:val="008B7A9A"/>
    <w:rsid w:val="008B7B13"/>
    <w:rsid w:val="008B7BA8"/>
    <w:rsid w:val="008B7C01"/>
    <w:rsid w:val="008B7C9A"/>
    <w:rsid w:val="008C0156"/>
    <w:rsid w:val="008C0361"/>
    <w:rsid w:val="008C03C9"/>
    <w:rsid w:val="008C0459"/>
    <w:rsid w:val="008C054F"/>
    <w:rsid w:val="008C079F"/>
    <w:rsid w:val="008C1194"/>
    <w:rsid w:val="008C1341"/>
    <w:rsid w:val="008C13FB"/>
    <w:rsid w:val="008C1548"/>
    <w:rsid w:val="008C16C5"/>
    <w:rsid w:val="008C185E"/>
    <w:rsid w:val="008C1963"/>
    <w:rsid w:val="008C1997"/>
    <w:rsid w:val="008C1A8C"/>
    <w:rsid w:val="008C1C26"/>
    <w:rsid w:val="008C2735"/>
    <w:rsid w:val="008C2BCA"/>
    <w:rsid w:val="008C2C62"/>
    <w:rsid w:val="008C2FAB"/>
    <w:rsid w:val="008C30A0"/>
    <w:rsid w:val="008C30D3"/>
    <w:rsid w:val="008C310A"/>
    <w:rsid w:val="008C31F0"/>
    <w:rsid w:val="008C3265"/>
    <w:rsid w:val="008C34A1"/>
    <w:rsid w:val="008C35B6"/>
    <w:rsid w:val="008C3929"/>
    <w:rsid w:val="008C3A96"/>
    <w:rsid w:val="008C3BD6"/>
    <w:rsid w:val="008C3DFB"/>
    <w:rsid w:val="008C4076"/>
    <w:rsid w:val="008C434F"/>
    <w:rsid w:val="008C43C8"/>
    <w:rsid w:val="008C445F"/>
    <w:rsid w:val="008C468B"/>
    <w:rsid w:val="008C4AB0"/>
    <w:rsid w:val="008C4B80"/>
    <w:rsid w:val="008C4C0A"/>
    <w:rsid w:val="008C4F28"/>
    <w:rsid w:val="008C4F50"/>
    <w:rsid w:val="008C5175"/>
    <w:rsid w:val="008C5228"/>
    <w:rsid w:val="008C52A6"/>
    <w:rsid w:val="008C5821"/>
    <w:rsid w:val="008C5A00"/>
    <w:rsid w:val="008C5C75"/>
    <w:rsid w:val="008C5C8D"/>
    <w:rsid w:val="008C5F7B"/>
    <w:rsid w:val="008C630C"/>
    <w:rsid w:val="008C63BE"/>
    <w:rsid w:val="008C67E7"/>
    <w:rsid w:val="008C68F3"/>
    <w:rsid w:val="008C6C1E"/>
    <w:rsid w:val="008C6C8A"/>
    <w:rsid w:val="008C6CC8"/>
    <w:rsid w:val="008C7245"/>
    <w:rsid w:val="008C73AC"/>
    <w:rsid w:val="008C74DA"/>
    <w:rsid w:val="008C74EE"/>
    <w:rsid w:val="008C78BF"/>
    <w:rsid w:val="008C796C"/>
    <w:rsid w:val="008C7A2C"/>
    <w:rsid w:val="008C7C5A"/>
    <w:rsid w:val="008C7DC2"/>
    <w:rsid w:val="008C7E0D"/>
    <w:rsid w:val="008C7FD5"/>
    <w:rsid w:val="008D096F"/>
    <w:rsid w:val="008D0A1A"/>
    <w:rsid w:val="008D0BEB"/>
    <w:rsid w:val="008D0C24"/>
    <w:rsid w:val="008D0C85"/>
    <w:rsid w:val="008D105E"/>
    <w:rsid w:val="008D12B1"/>
    <w:rsid w:val="008D1316"/>
    <w:rsid w:val="008D18D4"/>
    <w:rsid w:val="008D1D3F"/>
    <w:rsid w:val="008D1F13"/>
    <w:rsid w:val="008D2194"/>
    <w:rsid w:val="008D24FD"/>
    <w:rsid w:val="008D27A2"/>
    <w:rsid w:val="008D29BA"/>
    <w:rsid w:val="008D2A0B"/>
    <w:rsid w:val="008D30AE"/>
    <w:rsid w:val="008D324A"/>
    <w:rsid w:val="008D324C"/>
    <w:rsid w:val="008D3285"/>
    <w:rsid w:val="008D3ADE"/>
    <w:rsid w:val="008D3EA8"/>
    <w:rsid w:val="008D42C9"/>
    <w:rsid w:val="008D44E6"/>
    <w:rsid w:val="008D481C"/>
    <w:rsid w:val="008D48EA"/>
    <w:rsid w:val="008D494A"/>
    <w:rsid w:val="008D4B3D"/>
    <w:rsid w:val="008D4C21"/>
    <w:rsid w:val="008D4C26"/>
    <w:rsid w:val="008D4E26"/>
    <w:rsid w:val="008D4E9E"/>
    <w:rsid w:val="008D4EA7"/>
    <w:rsid w:val="008D4F1B"/>
    <w:rsid w:val="008D517D"/>
    <w:rsid w:val="008D533C"/>
    <w:rsid w:val="008D53F4"/>
    <w:rsid w:val="008D5971"/>
    <w:rsid w:val="008D60CC"/>
    <w:rsid w:val="008D673E"/>
    <w:rsid w:val="008D6752"/>
    <w:rsid w:val="008D6905"/>
    <w:rsid w:val="008D6C54"/>
    <w:rsid w:val="008D6D71"/>
    <w:rsid w:val="008D6DCC"/>
    <w:rsid w:val="008D7526"/>
    <w:rsid w:val="008D7808"/>
    <w:rsid w:val="008D79BE"/>
    <w:rsid w:val="008D79FE"/>
    <w:rsid w:val="008D7A23"/>
    <w:rsid w:val="008D7A36"/>
    <w:rsid w:val="008D7F08"/>
    <w:rsid w:val="008E0724"/>
    <w:rsid w:val="008E0926"/>
    <w:rsid w:val="008E0ACB"/>
    <w:rsid w:val="008E0ACD"/>
    <w:rsid w:val="008E0AF3"/>
    <w:rsid w:val="008E0AF5"/>
    <w:rsid w:val="008E0C06"/>
    <w:rsid w:val="008E0F2D"/>
    <w:rsid w:val="008E0F72"/>
    <w:rsid w:val="008E0FB5"/>
    <w:rsid w:val="008E1580"/>
    <w:rsid w:val="008E169B"/>
    <w:rsid w:val="008E1B9D"/>
    <w:rsid w:val="008E1EA8"/>
    <w:rsid w:val="008E1EC2"/>
    <w:rsid w:val="008E22E3"/>
    <w:rsid w:val="008E23F4"/>
    <w:rsid w:val="008E267D"/>
    <w:rsid w:val="008E2762"/>
    <w:rsid w:val="008E2825"/>
    <w:rsid w:val="008E294B"/>
    <w:rsid w:val="008E2B73"/>
    <w:rsid w:val="008E2C0D"/>
    <w:rsid w:val="008E2C91"/>
    <w:rsid w:val="008E3308"/>
    <w:rsid w:val="008E3494"/>
    <w:rsid w:val="008E36CA"/>
    <w:rsid w:val="008E3801"/>
    <w:rsid w:val="008E3B08"/>
    <w:rsid w:val="008E3C3B"/>
    <w:rsid w:val="008E3C46"/>
    <w:rsid w:val="008E3DB4"/>
    <w:rsid w:val="008E3E03"/>
    <w:rsid w:val="008E3E7C"/>
    <w:rsid w:val="008E402E"/>
    <w:rsid w:val="008E448E"/>
    <w:rsid w:val="008E4557"/>
    <w:rsid w:val="008E468C"/>
    <w:rsid w:val="008E4AA9"/>
    <w:rsid w:val="008E4C35"/>
    <w:rsid w:val="008E4D2A"/>
    <w:rsid w:val="008E4FDC"/>
    <w:rsid w:val="008E5282"/>
    <w:rsid w:val="008E54E2"/>
    <w:rsid w:val="008E5987"/>
    <w:rsid w:val="008E5E41"/>
    <w:rsid w:val="008E6625"/>
    <w:rsid w:val="008E68A2"/>
    <w:rsid w:val="008E6A88"/>
    <w:rsid w:val="008E6B41"/>
    <w:rsid w:val="008E6B5E"/>
    <w:rsid w:val="008E6C36"/>
    <w:rsid w:val="008E6E2E"/>
    <w:rsid w:val="008E7B1C"/>
    <w:rsid w:val="008E7E1C"/>
    <w:rsid w:val="008E7E88"/>
    <w:rsid w:val="008E7ED8"/>
    <w:rsid w:val="008F02EC"/>
    <w:rsid w:val="008F0448"/>
    <w:rsid w:val="008F04B9"/>
    <w:rsid w:val="008F04DB"/>
    <w:rsid w:val="008F08DF"/>
    <w:rsid w:val="008F0A60"/>
    <w:rsid w:val="008F10A6"/>
    <w:rsid w:val="008F110B"/>
    <w:rsid w:val="008F1494"/>
    <w:rsid w:val="008F1904"/>
    <w:rsid w:val="008F1A96"/>
    <w:rsid w:val="008F1AC9"/>
    <w:rsid w:val="008F1E81"/>
    <w:rsid w:val="008F21AC"/>
    <w:rsid w:val="008F21BB"/>
    <w:rsid w:val="008F23BC"/>
    <w:rsid w:val="008F2401"/>
    <w:rsid w:val="008F2BA8"/>
    <w:rsid w:val="008F2E66"/>
    <w:rsid w:val="008F2E95"/>
    <w:rsid w:val="008F2EC4"/>
    <w:rsid w:val="008F315B"/>
    <w:rsid w:val="008F316D"/>
    <w:rsid w:val="008F3458"/>
    <w:rsid w:val="008F349A"/>
    <w:rsid w:val="008F34EF"/>
    <w:rsid w:val="008F3A27"/>
    <w:rsid w:val="008F4079"/>
    <w:rsid w:val="008F46B0"/>
    <w:rsid w:val="008F4709"/>
    <w:rsid w:val="008F48B4"/>
    <w:rsid w:val="008F4A4E"/>
    <w:rsid w:val="008F4C1E"/>
    <w:rsid w:val="008F4EF4"/>
    <w:rsid w:val="008F4F6F"/>
    <w:rsid w:val="008F50D7"/>
    <w:rsid w:val="008F52FD"/>
    <w:rsid w:val="008F55A6"/>
    <w:rsid w:val="008F56FC"/>
    <w:rsid w:val="008F5D51"/>
    <w:rsid w:val="008F5E9D"/>
    <w:rsid w:val="008F5EEE"/>
    <w:rsid w:val="008F5EF5"/>
    <w:rsid w:val="008F6133"/>
    <w:rsid w:val="008F6713"/>
    <w:rsid w:val="008F678C"/>
    <w:rsid w:val="008F6E62"/>
    <w:rsid w:val="008F6F44"/>
    <w:rsid w:val="008F72F1"/>
    <w:rsid w:val="008F7343"/>
    <w:rsid w:val="008F73C2"/>
    <w:rsid w:val="008F747F"/>
    <w:rsid w:val="008F75D9"/>
    <w:rsid w:val="008F771D"/>
    <w:rsid w:val="008F7AA4"/>
    <w:rsid w:val="008F7B93"/>
    <w:rsid w:val="008F7BEE"/>
    <w:rsid w:val="008F7FD7"/>
    <w:rsid w:val="00900222"/>
    <w:rsid w:val="00900638"/>
    <w:rsid w:val="00900A05"/>
    <w:rsid w:val="00900B08"/>
    <w:rsid w:val="00900C15"/>
    <w:rsid w:val="00900CF7"/>
    <w:rsid w:val="00900ED5"/>
    <w:rsid w:val="009011DE"/>
    <w:rsid w:val="009012B2"/>
    <w:rsid w:val="0090160F"/>
    <w:rsid w:val="00901654"/>
    <w:rsid w:val="00901811"/>
    <w:rsid w:val="009019A9"/>
    <w:rsid w:val="00901C40"/>
    <w:rsid w:val="009024DA"/>
    <w:rsid w:val="0090263B"/>
    <w:rsid w:val="00902700"/>
    <w:rsid w:val="00902B3B"/>
    <w:rsid w:val="00902DA9"/>
    <w:rsid w:val="0090334F"/>
    <w:rsid w:val="00903353"/>
    <w:rsid w:val="009033D9"/>
    <w:rsid w:val="009035C1"/>
    <w:rsid w:val="0090365C"/>
    <w:rsid w:val="00903B22"/>
    <w:rsid w:val="00903B9B"/>
    <w:rsid w:val="00903D36"/>
    <w:rsid w:val="00903EFE"/>
    <w:rsid w:val="009040FB"/>
    <w:rsid w:val="00904A88"/>
    <w:rsid w:val="00904CE2"/>
    <w:rsid w:val="00904D8A"/>
    <w:rsid w:val="00904E14"/>
    <w:rsid w:val="00904E7C"/>
    <w:rsid w:val="00904FEC"/>
    <w:rsid w:val="009051A4"/>
    <w:rsid w:val="009052E3"/>
    <w:rsid w:val="009055A3"/>
    <w:rsid w:val="0090567C"/>
    <w:rsid w:val="00905AFD"/>
    <w:rsid w:val="00905B78"/>
    <w:rsid w:val="00905E6C"/>
    <w:rsid w:val="00906324"/>
    <w:rsid w:val="0090660A"/>
    <w:rsid w:val="00906803"/>
    <w:rsid w:val="009068C4"/>
    <w:rsid w:val="0090690E"/>
    <w:rsid w:val="00906C04"/>
    <w:rsid w:val="00906D6C"/>
    <w:rsid w:val="00906ECF"/>
    <w:rsid w:val="009072D9"/>
    <w:rsid w:val="00907480"/>
    <w:rsid w:val="0090772C"/>
    <w:rsid w:val="0090775B"/>
    <w:rsid w:val="009078CF"/>
    <w:rsid w:val="00907B3B"/>
    <w:rsid w:val="009100B7"/>
    <w:rsid w:val="009101BA"/>
    <w:rsid w:val="0091026B"/>
    <w:rsid w:val="00910890"/>
    <w:rsid w:val="00910B16"/>
    <w:rsid w:val="009115B2"/>
    <w:rsid w:val="0091181F"/>
    <w:rsid w:val="0091241A"/>
    <w:rsid w:val="00912584"/>
    <w:rsid w:val="0091293C"/>
    <w:rsid w:val="009129B8"/>
    <w:rsid w:val="00912A9B"/>
    <w:rsid w:val="00912ACF"/>
    <w:rsid w:val="00912B35"/>
    <w:rsid w:val="00912BAD"/>
    <w:rsid w:val="00912F28"/>
    <w:rsid w:val="00913009"/>
    <w:rsid w:val="00913162"/>
    <w:rsid w:val="00913193"/>
    <w:rsid w:val="0091323B"/>
    <w:rsid w:val="00913258"/>
    <w:rsid w:val="00913382"/>
    <w:rsid w:val="0091350D"/>
    <w:rsid w:val="00913669"/>
    <w:rsid w:val="00913837"/>
    <w:rsid w:val="00913C35"/>
    <w:rsid w:val="00913F18"/>
    <w:rsid w:val="00914132"/>
    <w:rsid w:val="009142B0"/>
    <w:rsid w:val="009142DE"/>
    <w:rsid w:val="0091445D"/>
    <w:rsid w:val="0091453A"/>
    <w:rsid w:val="00914585"/>
    <w:rsid w:val="00914976"/>
    <w:rsid w:val="00914B4B"/>
    <w:rsid w:val="00914DCE"/>
    <w:rsid w:val="00914EBC"/>
    <w:rsid w:val="00914FC7"/>
    <w:rsid w:val="00915147"/>
    <w:rsid w:val="009153F4"/>
    <w:rsid w:val="0091574F"/>
    <w:rsid w:val="00915AF5"/>
    <w:rsid w:val="00915BB9"/>
    <w:rsid w:val="00915EF4"/>
    <w:rsid w:val="00915F9F"/>
    <w:rsid w:val="009162DF"/>
    <w:rsid w:val="00916349"/>
    <w:rsid w:val="009164BC"/>
    <w:rsid w:val="0091667B"/>
    <w:rsid w:val="0091699A"/>
    <w:rsid w:val="00916B47"/>
    <w:rsid w:val="00916B7B"/>
    <w:rsid w:val="00916DB8"/>
    <w:rsid w:val="00916F5D"/>
    <w:rsid w:val="00917036"/>
    <w:rsid w:val="00917203"/>
    <w:rsid w:val="00917320"/>
    <w:rsid w:val="0091738C"/>
    <w:rsid w:val="00917423"/>
    <w:rsid w:val="00917493"/>
    <w:rsid w:val="009176B3"/>
    <w:rsid w:val="00917739"/>
    <w:rsid w:val="00917ED5"/>
    <w:rsid w:val="0092021F"/>
    <w:rsid w:val="0092029B"/>
    <w:rsid w:val="0092092E"/>
    <w:rsid w:val="00920983"/>
    <w:rsid w:val="00920C1C"/>
    <w:rsid w:val="00921121"/>
    <w:rsid w:val="009214AA"/>
    <w:rsid w:val="00921AF8"/>
    <w:rsid w:val="00921CFA"/>
    <w:rsid w:val="00921DEA"/>
    <w:rsid w:val="00921F7A"/>
    <w:rsid w:val="00921FEE"/>
    <w:rsid w:val="009221A5"/>
    <w:rsid w:val="009223D4"/>
    <w:rsid w:val="009229C6"/>
    <w:rsid w:val="00922AEE"/>
    <w:rsid w:val="00922CA3"/>
    <w:rsid w:val="0092317F"/>
    <w:rsid w:val="009231EB"/>
    <w:rsid w:val="0092322A"/>
    <w:rsid w:val="009232E6"/>
    <w:rsid w:val="00923896"/>
    <w:rsid w:val="009238EC"/>
    <w:rsid w:val="00923AF4"/>
    <w:rsid w:val="00923CBE"/>
    <w:rsid w:val="00923F8A"/>
    <w:rsid w:val="00923FEA"/>
    <w:rsid w:val="009241DE"/>
    <w:rsid w:val="0092437F"/>
    <w:rsid w:val="009243BE"/>
    <w:rsid w:val="00924534"/>
    <w:rsid w:val="00924989"/>
    <w:rsid w:val="00924E96"/>
    <w:rsid w:val="00924EE7"/>
    <w:rsid w:val="00924F0B"/>
    <w:rsid w:val="00924FD4"/>
    <w:rsid w:val="00925375"/>
    <w:rsid w:val="00925CD5"/>
    <w:rsid w:val="00925D1C"/>
    <w:rsid w:val="00925D59"/>
    <w:rsid w:val="009261E0"/>
    <w:rsid w:val="0092661B"/>
    <w:rsid w:val="00926A4C"/>
    <w:rsid w:val="00926A5E"/>
    <w:rsid w:val="00926A67"/>
    <w:rsid w:val="00926B8A"/>
    <w:rsid w:val="00927077"/>
    <w:rsid w:val="009271DD"/>
    <w:rsid w:val="00927491"/>
    <w:rsid w:val="009274CA"/>
    <w:rsid w:val="0092766B"/>
    <w:rsid w:val="0092795B"/>
    <w:rsid w:val="00927A81"/>
    <w:rsid w:val="00930043"/>
    <w:rsid w:val="0093029F"/>
    <w:rsid w:val="009303AD"/>
    <w:rsid w:val="0093062F"/>
    <w:rsid w:val="009306F4"/>
    <w:rsid w:val="00930799"/>
    <w:rsid w:val="009308D1"/>
    <w:rsid w:val="00930A49"/>
    <w:rsid w:val="00930BB5"/>
    <w:rsid w:val="00930BBA"/>
    <w:rsid w:val="00930DD7"/>
    <w:rsid w:val="0093105C"/>
    <w:rsid w:val="0093105E"/>
    <w:rsid w:val="00931260"/>
    <w:rsid w:val="00931382"/>
    <w:rsid w:val="009315F7"/>
    <w:rsid w:val="00931789"/>
    <w:rsid w:val="009317D7"/>
    <w:rsid w:val="00931AD4"/>
    <w:rsid w:val="00932187"/>
    <w:rsid w:val="009321BD"/>
    <w:rsid w:val="00932354"/>
    <w:rsid w:val="00932406"/>
    <w:rsid w:val="0093269C"/>
    <w:rsid w:val="0093275D"/>
    <w:rsid w:val="00932A60"/>
    <w:rsid w:val="00932EEA"/>
    <w:rsid w:val="00933071"/>
    <w:rsid w:val="009331BD"/>
    <w:rsid w:val="009332CF"/>
    <w:rsid w:val="009335D8"/>
    <w:rsid w:val="00933705"/>
    <w:rsid w:val="009338B2"/>
    <w:rsid w:val="00933999"/>
    <w:rsid w:val="00933C01"/>
    <w:rsid w:val="00933E44"/>
    <w:rsid w:val="00933E54"/>
    <w:rsid w:val="00934464"/>
    <w:rsid w:val="00934488"/>
    <w:rsid w:val="009344DA"/>
    <w:rsid w:val="009346DB"/>
    <w:rsid w:val="009346E5"/>
    <w:rsid w:val="00934A0E"/>
    <w:rsid w:val="00934BDC"/>
    <w:rsid w:val="00934C05"/>
    <w:rsid w:val="00934C4A"/>
    <w:rsid w:val="00934CD2"/>
    <w:rsid w:val="00934EB3"/>
    <w:rsid w:val="00934F7D"/>
    <w:rsid w:val="00935053"/>
    <w:rsid w:val="0093506F"/>
    <w:rsid w:val="00935410"/>
    <w:rsid w:val="00935423"/>
    <w:rsid w:val="00935617"/>
    <w:rsid w:val="00935658"/>
    <w:rsid w:val="00935872"/>
    <w:rsid w:val="00935E35"/>
    <w:rsid w:val="00936084"/>
    <w:rsid w:val="009361D8"/>
    <w:rsid w:val="00936426"/>
    <w:rsid w:val="009369F9"/>
    <w:rsid w:val="00936A91"/>
    <w:rsid w:val="00936D31"/>
    <w:rsid w:val="00937062"/>
    <w:rsid w:val="009372A1"/>
    <w:rsid w:val="00937562"/>
    <w:rsid w:val="00937595"/>
    <w:rsid w:val="00937601"/>
    <w:rsid w:val="00937681"/>
    <w:rsid w:val="009377CE"/>
    <w:rsid w:val="00937E3B"/>
    <w:rsid w:val="00937EE6"/>
    <w:rsid w:val="00937F30"/>
    <w:rsid w:val="00940225"/>
    <w:rsid w:val="00940306"/>
    <w:rsid w:val="00940720"/>
    <w:rsid w:val="0094085E"/>
    <w:rsid w:val="0094090C"/>
    <w:rsid w:val="00940D55"/>
    <w:rsid w:val="00940DD8"/>
    <w:rsid w:val="00940E4A"/>
    <w:rsid w:val="00940FBA"/>
    <w:rsid w:val="00940FCF"/>
    <w:rsid w:val="00941091"/>
    <w:rsid w:val="009413ED"/>
    <w:rsid w:val="009416B6"/>
    <w:rsid w:val="00941761"/>
    <w:rsid w:val="00941846"/>
    <w:rsid w:val="00941A7B"/>
    <w:rsid w:val="00941A8C"/>
    <w:rsid w:val="00941E38"/>
    <w:rsid w:val="00941EC8"/>
    <w:rsid w:val="009421F2"/>
    <w:rsid w:val="009424E8"/>
    <w:rsid w:val="009426F0"/>
    <w:rsid w:val="00942787"/>
    <w:rsid w:val="009427F1"/>
    <w:rsid w:val="00942860"/>
    <w:rsid w:val="00942861"/>
    <w:rsid w:val="00942956"/>
    <w:rsid w:val="009432B3"/>
    <w:rsid w:val="009434D0"/>
    <w:rsid w:val="00943540"/>
    <w:rsid w:val="009436C8"/>
    <w:rsid w:val="00943731"/>
    <w:rsid w:val="009437A5"/>
    <w:rsid w:val="0094396B"/>
    <w:rsid w:val="00943B9C"/>
    <w:rsid w:val="009440C7"/>
    <w:rsid w:val="0094424A"/>
    <w:rsid w:val="0094435D"/>
    <w:rsid w:val="009443EC"/>
    <w:rsid w:val="00944563"/>
    <w:rsid w:val="009446A6"/>
    <w:rsid w:val="00944AD7"/>
    <w:rsid w:val="00944C64"/>
    <w:rsid w:val="00944DE2"/>
    <w:rsid w:val="0094534D"/>
    <w:rsid w:val="009453A9"/>
    <w:rsid w:val="00945550"/>
    <w:rsid w:val="0094585D"/>
    <w:rsid w:val="009458B9"/>
    <w:rsid w:val="00945DE0"/>
    <w:rsid w:val="00946003"/>
    <w:rsid w:val="00946208"/>
    <w:rsid w:val="00946311"/>
    <w:rsid w:val="00946319"/>
    <w:rsid w:val="00946402"/>
    <w:rsid w:val="00946A1F"/>
    <w:rsid w:val="00946B11"/>
    <w:rsid w:val="00946C47"/>
    <w:rsid w:val="00946F05"/>
    <w:rsid w:val="00946F91"/>
    <w:rsid w:val="00946FA4"/>
    <w:rsid w:val="009475C5"/>
    <w:rsid w:val="0094778C"/>
    <w:rsid w:val="00947B23"/>
    <w:rsid w:val="00947E23"/>
    <w:rsid w:val="00947E48"/>
    <w:rsid w:val="00950026"/>
    <w:rsid w:val="009500A1"/>
    <w:rsid w:val="009500E4"/>
    <w:rsid w:val="00950240"/>
    <w:rsid w:val="0095033C"/>
    <w:rsid w:val="00950751"/>
    <w:rsid w:val="00950932"/>
    <w:rsid w:val="00950FCE"/>
    <w:rsid w:val="00951323"/>
    <w:rsid w:val="00951A1E"/>
    <w:rsid w:val="00951AA6"/>
    <w:rsid w:val="00951B72"/>
    <w:rsid w:val="00951CAF"/>
    <w:rsid w:val="00952210"/>
    <w:rsid w:val="009529CB"/>
    <w:rsid w:val="00952D82"/>
    <w:rsid w:val="009532CE"/>
    <w:rsid w:val="00953388"/>
    <w:rsid w:val="009536DD"/>
    <w:rsid w:val="00953AA5"/>
    <w:rsid w:val="00953B11"/>
    <w:rsid w:val="00953E19"/>
    <w:rsid w:val="00953FFF"/>
    <w:rsid w:val="0095405D"/>
    <w:rsid w:val="00954602"/>
    <w:rsid w:val="009546B2"/>
    <w:rsid w:val="0095481F"/>
    <w:rsid w:val="00954DEA"/>
    <w:rsid w:val="00954F4E"/>
    <w:rsid w:val="0095506D"/>
    <w:rsid w:val="009553A4"/>
    <w:rsid w:val="0095556C"/>
    <w:rsid w:val="00955A8F"/>
    <w:rsid w:val="00955E2D"/>
    <w:rsid w:val="009561B1"/>
    <w:rsid w:val="009561FE"/>
    <w:rsid w:val="0095631B"/>
    <w:rsid w:val="009563FA"/>
    <w:rsid w:val="009566B3"/>
    <w:rsid w:val="00956938"/>
    <w:rsid w:val="00956977"/>
    <w:rsid w:val="00956B04"/>
    <w:rsid w:val="00956BA1"/>
    <w:rsid w:val="00956C96"/>
    <w:rsid w:val="00956E88"/>
    <w:rsid w:val="009571CD"/>
    <w:rsid w:val="00957207"/>
    <w:rsid w:val="009576BC"/>
    <w:rsid w:val="00957710"/>
    <w:rsid w:val="0095797A"/>
    <w:rsid w:val="00957A88"/>
    <w:rsid w:val="00957CA1"/>
    <w:rsid w:val="00957CC0"/>
    <w:rsid w:val="00957E4A"/>
    <w:rsid w:val="00960298"/>
    <w:rsid w:val="009602F8"/>
    <w:rsid w:val="009603BC"/>
    <w:rsid w:val="009603E0"/>
    <w:rsid w:val="009605B9"/>
    <w:rsid w:val="009607D6"/>
    <w:rsid w:val="00960B4C"/>
    <w:rsid w:val="00960C1F"/>
    <w:rsid w:val="00960D46"/>
    <w:rsid w:val="00960F08"/>
    <w:rsid w:val="0096124C"/>
    <w:rsid w:val="00961304"/>
    <w:rsid w:val="00961B00"/>
    <w:rsid w:val="00961C8B"/>
    <w:rsid w:val="00961D52"/>
    <w:rsid w:val="00961D79"/>
    <w:rsid w:val="00961F91"/>
    <w:rsid w:val="009620B1"/>
    <w:rsid w:val="0096222E"/>
    <w:rsid w:val="00962459"/>
    <w:rsid w:val="00962679"/>
    <w:rsid w:val="009627FE"/>
    <w:rsid w:val="009629B8"/>
    <w:rsid w:val="00962A5E"/>
    <w:rsid w:val="00962DF5"/>
    <w:rsid w:val="00962F71"/>
    <w:rsid w:val="00962FFE"/>
    <w:rsid w:val="009630A9"/>
    <w:rsid w:val="009632FD"/>
    <w:rsid w:val="00963822"/>
    <w:rsid w:val="00963A84"/>
    <w:rsid w:val="00963D47"/>
    <w:rsid w:val="00964088"/>
    <w:rsid w:val="00964261"/>
    <w:rsid w:val="00964496"/>
    <w:rsid w:val="00964556"/>
    <w:rsid w:val="009645F9"/>
    <w:rsid w:val="00964636"/>
    <w:rsid w:val="00964B68"/>
    <w:rsid w:val="00964D23"/>
    <w:rsid w:val="009650EC"/>
    <w:rsid w:val="00965223"/>
    <w:rsid w:val="0096533B"/>
    <w:rsid w:val="00965850"/>
    <w:rsid w:val="009659F4"/>
    <w:rsid w:val="00965B68"/>
    <w:rsid w:val="00966329"/>
    <w:rsid w:val="009663EC"/>
    <w:rsid w:val="0096650C"/>
    <w:rsid w:val="00966A3C"/>
    <w:rsid w:val="00966C0E"/>
    <w:rsid w:val="00966E29"/>
    <w:rsid w:val="00966ED5"/>
    <w:rsid w:val="009671FE"/>
    <w:rsid w:val="009673D8"/>
    <w:rsid w:val="00967440"/>
    <w:rsid w:val="00967F99"/>
    <w:rsid w:val="00970186"/>
    <w:rsid w:val="0097053E"/>
    <w:rsid w:val="009707B6"/>
    <w:rsid w:val="009707DB"/>
    <w:rsid w:val="00970800"/>
    <w:rsid w:val="00970908"/>
    <w:rsid w:val="00970B9C"/>
    <w:rsid w:val="00970DC7"/>
    <w:rsid w:val="009710DB"/>
    <w:rsid w:val="00971142"/>
    <w:rsid w:val="0097127A"/>
    <w:rsid w:val="00971289"/>
    <w:rsid w:val="00971329"/>
    <w:rsid w:val="0097138C"/>
    <w:rsid w:val="009715A2"/>
    <w:rsid w:val="009715D9"/>
    <w:rsid w:val="00971747"/>
    <w:rsid w:val="00971A18"/>
    <w:rsid w:val="00971BDD"/>
    <w:rsid w:val="00971C4C"/>
    <w:rsid w:val="00971E79"/>
    <w:rsid w:val="00972308"/>
    <w:rsid w:val="0097246D"/>
    <w:rsid w:val="009726B3"/>
    <w:rsid w:val="00972957"/>
    <w:rsid w:val="0097299D"/>
    <w:rsid w:val="00972D22"/>
    <w:rsid w:val="00973019"/>
    <w:rsid w:val="009730CE"/>
    <w:rsid w:val="009731DC"/>
    <w:rsid w:val="00973324"/>
    <w:rsid w:val="0097367F"/>
    <w:rsid w:val="009737AD"/>
    <w:rsid w:val="00973904"/>
    <w:rsid w:val="00973B0A"/>
    <w:rsid w:val="00973E2A"/>
    <w:rsid w:val="00973F9A"/>
    <w:rsid w:val="009742BF"/>
    <w:rsid w:val="0097433B"/>
    <w:rsid w:val="00974489"/>
    <w:rsid w:val="009744EE"/>
    <w:rsid w:val="009746D8"/>
    <w:rsid w:val="009747CE"/>
    <w:rsid w:val="00974B07"/>
    <w:rsid w:val="00974B9F"/>
    <w:rsid w:val="00974C20"/>
    <w:rsid w:val="00974E81"/>
    <w:rsid w:val="00975094"/>
    <w:rsid w:val="00975141"/>
    <w:rsid w:val="009751D7"/>
    <w:rsid w:val="009753EE"/>
    <w:rsid w:val="00975440"/>
    <w:rsid w:val="00975E61"/>
    <w:rsid w:val="00976047"/>
    <w:rsid w:val="009760B2"/>
    <w:rsid w:val="009761E8"/>
    <w:rsid w:val="009762E3"/>
    <w:rsid w:val="00976344"/>
    <w:rsid w:val="00976683"/>
    <w:rsid w:val="00976787"/>
    <w:rsid w:val="00976841"/>
    <w:rsid w:val="00976B93"/>
    <w:rsid w:val="00976C74"/>
    <w:rsid w:val="00976EBC"/>
    <w:rsid w:val="009770C7"/>
    <w:rsid w:val="0097743A"/>
    <w:rsid w:val="00977783"/>
    <w:rsid w:val="00977938"/>
    <w:rsid w:val="00977CF2"/>
    <w:rsid w:val="00977EA7"/>
    <w:rsid w:val="00977FED"/>
    <w:rsid w:val="00980208"/>
    <w:rsid w:val="00980678"/>
    <w:rsid w:val="00980705"/>
    <w:rsid w:val="0098085D"/>
    <w:rsid w:val="00980A12"/>
    <w:rsid w:val="00980CFA"/>
    <w:rsid w:val="00980D1C"/>
    <w:rsid w:val="00980D34"/>
    <w:rsid w:val="00980E13"/>
    <w:rsid w:val="0098109C"/>
    <w:rsid w:val="00981162"/>
    <w:rsid w:val="0098120E"/>
    <w:rsid w:val="00981443"/>
    <w:rsid w:val="00981619"/>
    <w:rsid w:val="009817FA"/>
    <w:rsid w:val="00981A9D"/>
    <w:rsid w:val="00981C97"/>
    <w:rsid w:val="00981D9D"/>
    <w:rsid w:val="00981EA3"/>
    <w:rsid w:val="00981EA4"/>
    <w:rsid w:val="00982619"/>
    <w:rsid w:val="00982B20"/>
    <w:rsid w:val="00982BE3"/>
    <w:rsid w:val="00982E2B"/>
    <w:rsid w:val="00982EC6"/>
    <w:rsid w:val="00982ECB"/>
    <w:rsid w:val="00983297"/>
    <w:rsid w:val="009834F0"/>
    <w:rsid w:val="0098359B"/>
    <w:rsid w:val="009836DA"/>
    <w:rsid w:val="00983879"/>
    <w:rsid w:val="009839D6"/>
    <w:rsid w:val="00983B9C"/>
    <w:rsid w:val="00983BBA"/>
    <w:rsid w:val="009840CE"/>
    <w:rsid w:val="0098464D"/>
    <w:rsid w:val="0098486A"/>
    <w:rsid w:val="00984AA8"/>
    <w:rsid w:val="00984AF6"/>
    <w:rsid w:val="00984F56"/>
    <w:rsid w:val="00985076"/>
    <w:rsid w:val="009850A1"/>
    <w:rsid w:val="00985230"/>
    <w:rsid w:val="0098598F"/>
    <w:rsid w:val="00985BDB"/>
    <w:rsid w:val="00986503"/>
    <w:rsid w:val="009865FB"/>
    <w:rsid w:val="009867B5"/>
    <w:rsid w:val="009867E4"/>
    <w:rsid w:val="009868A5"/>
    <w:rsid w:val="00986971"/>
    <w:rsid w:val="009869CE"/>
    <w:rsid w:val="00986C1D"/>
    <w:rsid w:val="00987330"/>
    <w:rsid w:val="009873C2"/>
    <w:rsid w:val="009874DB"/>
    <w:rsid w:val="0098752A"/>
    <w:rsid w:val="0098783F"/>
    <w:rsid w:val="00987944"/>
    <w:rsid w:val="00987B42"/>
    <w:rsid w:val="00987B85"/>
    <w:rsid w:val="00987C93"/>
    <w:rsid w:val="00990153"/>
    <w:rsid w:val="0099018C"/>
    <w:rsid w:val="0099031D"/>
    <w:rsid w:val="00990355"/>
    <w:rsid w:val="009906A2"/>
    <w:rsid w:val="00990981"/>
    <w:rsid w:val="0099098C"/>
    <w:rsid w:val="00990A3A"/>
    <w:rsid w:val="00990CDB"/>
    <w:rsid w:val="00990EA2"/>
    <w:rsid w:val="00991138"/>
    <w:rsid w:val="0099146F"/>
    <w:rsid w:val="0099147F"/>
    <w:rsid w:val="009914B9"/>
    <w:rsid w:val="009915A4"/>
    <w:rsid w:val="009915AF"/>
    <w:rsid w:val="00991665"/>
    <w:rsid w:val="00991768"/>
    <w:rsid w:val="00991A8F"/>
    <w:rsid w:val="00991D21"/>
    <w:rsid w:val="00991F0E"/>
    <w:rsid w:val="009920BA"/>
    <w:rsid w:val="009921F0"/>
    <w:rsid w:val="00992332"/>
    <w:rsid w:val="0099266F"/>
    <w:rsid w:val="00992B79"/>
    <w:rsid w:val="00992D03"/>
    <w:rsid w:val="00992ED5"/>
    <w:rsid w:val="009933A5"/>
    <w:rsid w:val="00993506"/>
    <w:rsid w:val="0099372A"/>
    <w:rsid w:val="00993BD9"/>
    <w:rsid w:val="00993C00"/>
    <w:rsid w:val="00994545"/>
    <w:rsid w:val="009945BF"/>
    <w:rsid w:val="00994D82"/>
    <w:rsid w:val="00995327"/>
    <w:rsid w:val="00995399"/>
    <w:rsid w:val="00995A4A"/>
    <w:rsid w:val="00995B60"/>
    <w:rsid w:val="00995BD1"/>
    <w:rsid w:val="00995D36"/>
    <w:rsid w:val="00995E3D"/>
    <w:rsid w:val="00996208"/>
    <w:rsid w:val="009963B2"/>
    <w:rsid w:val="0099650A"/>
    <w:rsid w:val="0099669D"/>
    <w:rsid w:val="00996F11"/>
    <w:rsid w:val="00997230"/>
    <w:rsid w:val="00997338"/>
    <w:rsid w:val="0099789C"/>
    <w:rsid w:val="009978F0"/>
    <w:rsid w:val="00997B35"/>
    <w:rsid w:val="00997D08"/>
    <w:rsid w:val="00997E06"/>
    <w:rsid w:val="00997F86"/>
    <w:rsid w:val="009A041A"/>
    <w:rsid w:val="009A04E6"/>
    <w:rsid w:val="009A052B"/>
    <w:rsid w:val="009A0BD1"/>
    <w:rsid w:val="009A0E40"/>
    <w:rsid w:val="009A1071"/>
    <w:rsid w:val="009A1466"/>
    <w:rsid w:val="009A1668"/>
    <w:rsid w:val="009A1867"/>
    <w:rsid w:val="009A18CC"/>
    <w:rsid w:val="009A19FB"/>
    <w:rsid w:val="009A1AB1"/>
    <w:rsid w:val="009A1B27"/>
    <w:rsid w:val="009A1BB8"/>
    <w:rsid w:val="009A1C5A"/>
    <w:rsid w:val="009A1FD7"/>
    <w:rsid w:val="009A2049"/>
    <w:rsid w:val="009A219C"/>
    <w:rsid w:val="009A27DB"/>
    <w:rsid w:val="009A32FC"/>
    <w:rsid w:val="009A340A"/>
    <w:rsid w:val="009A3803"/>
    <w:rsid w:val="009A40CB"/>
    <w:rsid w:val="009A4108"/>
    <w:rsid w:val="009A4601"/>
    <w:rsid w:val="009A478D"/>
    <w:rsid w:val="009A4F66"/>
    <w:rsid w:val="009A51B3"/>
    <w:rsid w:val="009A5270"/>
    <w:rsid w:val="009A52F1"/>
    <w:rsid w:val="009A53B7"/>
    <w:rsid w:val="009A5951"/>
    <w:rsid w:val="009A636C"/>
    <w:rsid w:val="009A64F1"/>
    <w:rsid w:val="009A70A5"/>
    <w:rsid w:val="009A74AA"/>
    <w:rsid w:val="009A79B2"/>
    <w:rsid w:val="009A7E6A"/>
    <w:rsid w:val="009A7ED5"/>
    <w:rsid w:val="009B0170"/>
    <w:rsid w:val="009B01D6"/>
    <w:rsid w:val="009B02DD"/>
    <w:rsid w:val="009B09AA"/>
    <w:rsid w:val="009B0EF4"/>
    <w:rsid w:val="009B146C"/>
    <w:rsid w:val="009B1A9D"/>
    <w:rsid w:val="009B1C9A"/>
    <w:rsid w:val="009B1D0E"/>
    <w:rsid w:val="009B1EAA"/>
    <w:rsid w:val="009B2018"/>
    <w:rsid w:val="009B22B7"/>
    <w:rsid w:val="009B2809"/>
    <w:rsid w:val="009B283E"/>
    <w:rsid w:val="009B2962"/>
    <w:rsid w:val="009B2A30"/>
    <w:rsid w:val="009B2A9D"/>
    <w:rsid w:val="009B2F62"/>
    <w:rsid w:val="009B3153"/>
    <w:rsid w:val="009B32AB"/>
    <w:rsid w:val="009B3464"/>
    <w:rsid w:val="009B3A1E"/>
    <w:rsid w:val="009B4024"/>
    <w:rsid w:val="009B4123"/>
    <w:rsid w:val="009B4195"/>
    <w:rsid w:val="009B4368"/>
    <w:rsid w:val="009B449D"/>
    <w:rsid w:val="009B45ED"/>
    <w:rsid w:val="009B478C"/>
    <w:rsid w:val="009B47D7"/>
    <w:rsid w:val="009B48A3"/>
    <w:rsid w:val="009B48C6"/>
    <w:rsid w:val="009B49A5"/>
    <w:rsid w:val="009B4A68"/>
    <w:rsid w:val="009B4AB1"/>
    <w:rsid w:val="009B4B48"/>
    <w:rsid w:val="009B4D8B"/>
    <w:rsid w:val="009B4FA7"/>
    <w:rsid w:val="009B4FD2"/>
    <w:rsid w:val="009B5014"/>
    <w:rsid w:val="009B50B2"/>
    <w:rsid w:val="009B5103"/>
    <w:rsid w:val="009B5358"/>
    <w:rsid w:val="009B542E"/>
    <w:rsid w:val="009B5497"/>
    <w:rsid w:val="009B55C0"/>
    <w:rsid w:val="009B57FA"/>
    <w:rsid w:val="009B5C26"/>
    <w:rsid w:val="009B5D5C"/>
    <w:rsid w:val="009B5EBD"/>
    <w:rsid w:val="009B5F2C"/>
    <w:rsid w:val="009B61DD"/>
    <w:rsid w:val="009B625B"/>
    <w:rsid w:val="009B6B23"/>
    <w:rsid w:val="009B6B25"/>
    <w:rsid w:val="009B6B2A"/>
    <w:rsid w:val="009B6E21"/>
    <w:rsid w:val="009B7033"/>
    <w:rsid w:val="009B71EE"/>
    <w:rsid w:val="009C0193"/>
    <w:rsid w:val="009C0506"/>
    <w:rsid w:val="009C0558"/>
    <w:rsid w:val="009C06F2"/>
    <w:rsid w:val="009C0FF4"/>
    <w:rsid w:val="009C106F"/>
    <w:rsid w:val="009C1451"/>
    <w:rsid w:val="009C1611"/>
    <w:rsid w:val="009C172D"/>
    <w:rsid w:val="009C18A4"/>
    <w:rsid w:val="009C1A2F"/>
    <w:rsid w:val="009C1B11"/>
    <w:rsid w:val="009C1BA5"/>
    <w:rsid w:val="009C2007"/>
    <w:rsid w:val="009C2054"/>
    <w:rsid w:val="009C20A9"/>
    <w:rsid w:val="009C259B"/>
    <w:rsid w:val="009C2BB5"/>
    <w:rsid w:val="009C2BD5"/>
    <w:rsid w:val="009C2C8C"/>
    <w:rsid w:val="009C2D2B"/>
    <w:rsid w:val="009C2F67"/>
    <w:rsid w:val="009C308D"/>
    <w:rsid w:val="009C327F"/>
    <w:rsid w:val="009C367C"/>
    <w:rsid w:val="009C3738"/>
    <w:rsid w:val="009C3DB0"/>
    <w:rsid w:val="009C3DD5"/>
    <w:rsid w:val="009C4024"/>
    <w:rsid w:val="009C4663"/>
    <w:rsid w:val="009C482C"/>
    <w:rsid w:val="009C4A9D"/>
    <w:rsid w:val="009C4AF8"/>
    <w:rsid w:val="009C4D21"/>
    <w:rsid w:val="009C4EF7"/>
    <w:rsid w:val="009C559C"/>
    <w:rsid w:val="009C565D"/>
    <w:rsid w:val="009C5665"/>
    <w:rsid w:val="009C5DE7"/>
    <w:rsid w:val="009C605F"/>
    <w:rsid w:val="009C631B"/>
    <w:rsid w:val="009C63CF"/>
    <w:rsid w:val="009C64D5"/>
    <w:rsid w:val="009C67F5"/>
    <w:rsid w:val="009C6802"/>
    <w:rsid w:val="009C689C"/>
    <w:rsid w:val="009C68E8"/>
    <w:rsid w:val="009C6DAE"/>
    <w:rsid w:val="009C6FAA"/>
    <w:rsid w:val="009C7015"/>
    <w:rsid w:val="009C7298"/>
    <w:rsid w:val="009C7382"/>
    <w:rsid w:val="009C74BA"/>
    <w:rsid w:val="009C74BE"/>
    <w:rsid w:val="009C74C7"/>
    <w:rsid w:val="009C768C"/>
    <w:rsid w:val="009C783C"/>
    <w:rsid w:val="009C7AB8"/>
    <w:rsid w:val="009C7B1B"/>
    <w:rsid w:val="009C7CCC"/>
    <w:rsid w:val="009C7D2F"/>
    <w:rsid w:val="009C7DE7"/>
    <w:rsid w:val="009D000D"/>
    <w:rsid w:val="009D0089"/>
    <w:rsid w:val="009D00AF"/>
    <w:rsid w:val="009D013B"/>
    <w:rsid w:val="009D0277"/>
    <w:rsid w:val="009D04F5"/>
    <w:rsid w:val="009D050E"/>
    <w:rsid w:val="009D05D8"/>
    <w:rsid w:val="009D05DC"/>
    <w:rsid w:val="009D05F1"/>
    <w:rsid w:val="009D0848"/>
    <w:rsid w:val="009D09E9"/>
    <w:rsid w:val="009D0ABE"/>
    <w:rsid w:val="009D0C11"/>
    <w:rsid w:val="009D0E2F"/>
    <w:rsid w:val="009D11C7"/>
    <w:rsid w:val="009D1B95"/>
    <w:rsid w:val="009D1DA5"/>
    <w:rsid w:val="009D2017"/>
    <w:rsid w:val="009D2053"/>
    <w:rsid w:val="009D2399"/>
    <w:rsid w:val="009D2648"/>
    <w:rsid w:val="009D264D"/>
    <w:rsid w:val="009D266F"/>
    <w:rsid w:val="009D2A7F"/>
    <w:rsid w:val="009D2B4C"/>
    <w:rsid w:val="009D2CD8"/>
    <w:rsid w:val="009D2CF3"/>
    <w:rsid w:val="009D2E25"/>
    <w:rsid w:val="009D308D"/>
    <w:rsid w:val="009D3355"/>
    <w:rsid w:val="009D335A"/>
    <w:rsid w:val="009D351D"/>
    <w:rsid w:val="009D36B8"/>
    <w:rsid w:val="009D3ABB"/>
    <w:rsid w:val="009D3B35"/>
    <w:rsid w:val="009D3C8E"/>
    <w:rsid w:val="009D428A"/>
    <w:rsid w:val="009D4358"/>
    <w:rsid w:val="009D44A3"/>
    <w:rsid w:val="009D46F1"/>
    <w:rsid w:val="009D4852"/>
    <w:rsid w:val="009D4A3D"/>
    <w:rsid w:val="009D4A99"/>
    <w:rsid w:val="009D5062"/>
    <w:rsid w:val="009D530F"/>
    <w:rsid w:val="009D5628"/>
    <w:rsid w:val="009D5754"/>
    <w:rsid w:val="009D576A"/>
    <w:rsid w:val="009D59BB"/>
    <w:rsid w:val="009D5B46"/>
    <w:rsid w:val="009D5DDE"/>
    <w:rsid w:val="009D5F5A"/>
    <w:rsid w:val="009D5FA3"/>
    <w:rsid w:val="009D60B4"/>
    <w:rsid w:val="009D61DC"/>
    <w:rsid w:val="009D61F8"/>
    <w:rsid w:val="009D62D5"/>
    <w:rsid w:val="009D668D"/>
    <w:rsid w:val="009D68EE"/>
    <w:rsid w:val="009D6C06"/>
    <w:rsid w:val="009D7116"/>
    <w:rsid w:val="009D72CB"/>
    <w:rsid w:val="009D73F9"/>
    <w:rsid w:val="009D74B6"/>
    <w:rsid w:val="009D7516"/>
    <w:rsid w:val="009D7595"/>
    <w:rsid w:val="009D75E4"/>
    <w:rsid w:val="009D7625"/>
    <w:rsid w:val="009D7730"/>
    <w:rsid w:val="009D7906"/>
    <w:rsid w:val="009D7BBF"/>
    <w:rsid w:val="009D7BCE"/>
    <w:rsid w:val="009E032D"/>
    <w:rsid w:val="009E04D6"/>
    <w:rsid w:val="009E0565"/>
    <w:rsid w:val="009E0A1A"/>
    <w:rsid w:val="009E0C93"/>
    <w:rsid w:val="009E0DEE"/>
    <w:rsid w:val="009E0F45"/>
    <w:rsid w:val="009E12FF"/>
    <w:rsid w:val="009E13AB"/>
    <w:rsid w:val="009E1804"/>
    <w:rsid w:val="009E1B04"/>
    <w:rsid w:val="009E1B24"/>
    <w:rsid w:val="009E1B7A"/>
    <w:rsid w:val="009E1C1B"/>
    <w:rsid w:val="009E1DAC"/>
    <w:rsid w:val="009E2223"/>
    <w:rsid w:val="009E2597"/>
    <w:rsid w:val="009E2921"/>
    <w:rsid w:val="009E2A5E"/>
    <w:rsid w:val="009E2F8D"/>
    <w:rsid w:val="009E300C"/>
    <w:rsid w:val="009E329D"/>
    <w:rsid w:val="009E3638"/>
    <w:rsid w:val="009E3A30"/>
    <w:rsid w:val="009E4434"/>
    <w:rsid w:val="009E44A3"/>
    <w:rsid w:val="009E48AB"/>
    <w:rsid w:val="009E4A81"/>
    <w:rsid w:val="009E4C12"/>
    <w:rsid w:val="009E4ED0"/>
    <w:rsid w:val="009E5195"/>
    <w:rsid w:val="009E542B"/>
    <w:rsid w:val="009E5892"/>
    <w:rsid w:val="009E5BEA"/>
    <w:rsid w:val="009E5DC8"/>
    <w:rsid w:val="009E5EDA"/>
    <w:rsid w:val="009E5FB1"/>
    <w:rsid w:val="009E61F3"/>
    <w:rsid w:val="009E63ED"/>
    <w:rsid w:val="009E67D5"/>
    <w:rsid w:val="009E6A4A"/>
    <w:rsid w:val="009E6C19"/>
    <w:rsid w:val="009E6CAB"/>
    <w:rsid w:val="009E6CB0"/>
    <w:rsid w:val="009E7362"/>
    <w:rsid w:val="009E747D"/>
    <w:rsid w:val="009E74D2"/>
    <w:rsid w:val="009E77B1"/>
    <w:rsid w:val="009E7CD0"/>
    <w:rsid w:val="009F00C0"/>
    <w:rsid w:val="009F0288"/>
    <w:rsid w:val="009F03E4"/>
    <w:rsid w:val="009F064A"/>
    <w:rsid w:val="009F077D"/>
    <w:rsid w:val="009F07C5"/>
    <w:rsid w:val="009F0B46"/>
    <w:rsid w:val="009F111A"/>
    <w:rsid w:val="009F11AD"/>
    <w:rsid w:val="009F130E"/>
    <w:rsid w:val="009F16AE"/>
    <w:rsid w:val="009F17E9"/>
    <w:rsid w:val="009F1908"/>
    <w:rsid w:val="009F1F17"/>
    <w:rsid w:val="009F2058"/>
    <w:rsid w:val="009F2292"/>
    <w:rsid w:val="009F229B"/>
    <w:rsid w:val="009F22B8"/>
    <w:rsid w:val="009F2616"/>
    <w:rsid w:val="009F33B7"/>
    <w:rsid w:val="009F35FA"/>
    <w:rsid w:val="009F3C4E"/>
    <w:rsid w:val="009F3DF9"/>
    <w:rsid w:val="009F419A"/>
    <w:rsid w:val="009F41A8"/>
    <w:rsid w:val="009F4427"/>
    <w:rsid w:val="009F443E"/>
    <w:rsid w:val="009F466F"/>
    <w:rsid w:val="009F474C"/>
    <w:rsid w:val="009F47B1"/>
    <w:rsid w:val="009F4A30"/>
    <w:rsid w:val="009F4B5D"/>
    <w:rsid w:val="009F5000"/>
    <w:rsid w:val="009F545E"/>
    <w:rsid w:val="009F56BB"/>
    <w:rsid w:val="009F59D5"/>
    <w:rsid w:val="009F5AF9"/>
    <w:rsid w:val="009F5C09"/>
    <w:rsid w:val="009F5C7E"/>
    <w:rsid w:val="009F5CC7"/>
    <w:rsid w:val="009F5D1F"/>
    <w:rsid w:val="009F6281"/>
    <w:rsid w:val="009F692B"/>
    <w:rsid w:val="009F69E5"/>
    <w:rsid w:val="009F6CC9"/>
    <w:rsid w:val="009F6F8C"/>
    <w:rsid w:val="009F6FDE"/>
    <w:rsid w:val="009F70FF"/>
    <w:rsid w:val="009F7737"/>
    <w:rsid w:val="009F78C7"/>
    <w:rsid w:val="009F7CD7"/>
    <w:rsid w:val="00A00270"/>
    <w:rsid w:val="00A0030C"/>
    <w:rsid w:val="00A003F0"/>
    <w:rsid w:val="00A003F3"/>
    <w:rsid w:val="00A004DF"/>
    <w:rsid w:val="00A009F3"/>
    <w:rsid w:val="00A00AC1"/>
    <w:rsid w:val="00A00CD3"/>
    <w:rsid w:val="00A00CED"/>
    <w:rsid w:val="00A0106B"/>
    <w:rsid w:val="00A01338"/>
    <w:rsid w:val="00A01DE3"/>
    <w:rsid w:val="00A01F22"/>
    <w:rsid w:val="00A02191"/>
    <w:rsid w:val="00A021E2"/>
    <w:rsid w:val="00A0236A"/>
    <w:rsid w:val="00A02651"/>
    <w:rsid w:val="00A02AC8"/>
    <w:rsid w:val="00A02BA9"/>
    <w:rsid w:val="00A02D3B"/>
    <w:rsid w:val="00A02F62"/>
    <w:rsid w:val="00A02FA7"/>
    <w:rsid w:val="00A033AD"/>
    <w:rsid w:val="00A03486"/>
    <w:rsid w:val="00A03531"/>
    <w:rsid w:val="00A03702"/>
    <w:rsid w:val="00A03774"/>
    <w:rsid w:val="00A03D03"/>
    <w:rsid w:val="00A04102"/>
    <w:rsid w:val="00A04C6B"/>
    <w:rsid w:val="00A05026"/>
    <w:rsid w:val="00A051BA"/>
    <w:rsid w:val="00A05358"/>
    <w:rsid w:val="00A0571C"/>
    <w:rsid w:val="00A059F7"/>
    <w:rsid w:val="00A05B63"/>
    <w:rsid w:val="00A05BE5"/>
    <w:rsid w:val="00A066EB"/>
    <w:rsid w:val="00A067A0"/>
    <w:rsid w:val="00A06869"/>
    <w:rsid w:val="00A06B4C"/>
    <w:rsid w:val="00A06B65"/>
    <w:rsid w:val="00A0742C"/>
    <w:rsid w:val="00A0767D"/>
    <w:rsid w:val="00A076ED"/>
    <w:rsid w:val="00A07D43"/>
    <w:rsid w:val="00A07FAB"/>
    <w:rsid w:val="00A07FBB"/>
    <w:rsid w:val="00A100A3"/>
    <w:rsid w:val="00A1025C"/>
    <w:rsid w:val="00A10738"/>
    <w:rsid w:val="00A10950"/>
    <w:rsid w:val="00A10D93"/>
    <w:rsid w:val="00A10F35"/>
    <w:rsid w:val="00A1109E"/>
    <w:rsid w:val="00A115FB"/>
    <w:rsid w:val="00A117E7"/>
    <w:rsid w:val="00A117FE"/>
    <w:rsid w:val="00A1198C"/>
    <w:rsid w:val="00A11DB5"/>
    <w:rsid w:val="00A12236"/>
    <w:rsid w:val="00A122B1"/>
    <w:rsid w:val="00A1235A"/>
    <w:rsid w:val="00A126DC"/>
    <w:rsid w:val="00A127CD"/>
    <w:rsid w:val="00A12D43"/>
    <w:rsid w:val="00A12EE2"/>
    <w:rsid w:val="00A1330A"/>
    <w:rsid w:val="00A13401"/>
    <w:rsid w:val="00A136D9"/>
    <w:rsid w:val="00A13867"/>
    <w:rsid w:val="00A1393E"/>
    <w:rsid w:val="00A139C3"/>
    <w:rsid w:val="00A144B5"/>
    <w:rsid w:val="00A149F3"/>
    <w:rsid w:val="00A14E5F"/>
    <w:rsid w:val="00A15129"/>
    <w:rsid w:val="00A152EC"/>
    <w:rsid w:val="00A15490"/>
    <w:rsid w:val="00A1551D"/>
    <w:rsid w:val="00A15714"/>
    <w:rsid w:val="00A1589A"/>
    <w:rsid w:val="00A1597B"/>
    <w:rsid w:val="00A15C35"/>
    <w:rsid w:val="00A15C6D"/>
    <w:rsid w:val="00A15C70"/>
    <w:rsid w:val="00A15C7E"/>
    <w:rsid w:val="00A15E26"/>
    <w:rsid w:val="00A15E55"/>
    <w:rsid w:val="00A16108"/>
    <w:rsid w:val="00A161B4"/>
    <w:rsid w:val="00A161CD"/>
    <w:rsid w:val="00A164D7"/>
    <w:rsid w:val="00A165A4"/>
    <w:rsid w:val="00A16894"/>
    <w:rsid w:val="00A17111"/>
    <w:rsid w:val="00A17494"/>
    <w:rsid w:val="00A17560"/>
    <w:rsid w:val="00A17C72"/>
    <w:rsid w:val="00A17CF7"/>
    <w:rsid w:val="00A17E17"/>
    <w:rsid w:val="00A203A5"/>
    <w:rsid w:val="00A203CD"/>
    <w:rsid w:val="00A2040F"/>
    <w:rsid w:val="00A20487"/>
    <w:rsid w:val="00A20584"/>
    <w:rsid w:val="00A2067D"/>
    <w:rsid w:val="00A20DA9"/>
    <w:rsid w:val="00A210FD"/>
    <w:rsid w:val="00A2149A"/>
    <w:rsid w:val="00A21531"/>
    <w:rsid w:val="00A2157C"/>
    <w:rsid w:val="00A215F9"/>
    <w:rsid w:val="00A21634"/>
    <w:rsid w:val="00A22018"/>
    <w:rsid w:val="00A22619"/>
    <w:rsid w:val="00A2273B"/>
    <w:rsid w:val="00A227FC"/>
    <w:rsid w:val="00A228ED"/>
    <w:rsid w:val="00A228EE"/>
    <w:rsid w:val="00A22983"/>
    <w:rsid w:val="00A22D65"/>
    <w:rsid w:val="00A22F51"/>
    <w:rsid w:val="00A230BB"/>
    <w:rsid w:val="00A23123"/>
    <w:rsid w:val="00A233B9"/>
    <w:rsid w:val="00A234C4"/>
    <w:rsid w:val="00A237D0"/>
    <w:rsid w:val="00A23965"/>
    <w:rsid w:val="00A23B7D"/>
    <w:rsid w:val="00A23D01"/>
    <w:rsid w:val="00A23D70"/>
    <w:rsid w:val="00A23F18"/>
    <w:rsid w:val="00A240FE"/>
    <w:rsid w:val="00A24346"/>
    <w:rsid w:val="00A24554"/>
    <w:rsid w:val="00A24B7B"/>
    <w:rsid w:val="00A24C54"/>
    <w:rsid w:val="00A24DA8"/>
    <w:rsid w:val="00A24E06"/>
    <w:rsid w:val="00A24F05"/>
    <w:rsid w:val="00A2510A"/>
    <w:rsid w:val="00A255CF"/>
    <w:rsid w:val="00A25638"/>
    <w:rsid w:val="00A2599D"/>
    <w:rsid w:val="00A25D0E"/>
    <w:rsid w:val="00A26313"/>
    <w:rsid w:val="00A26865"/>
    <w:rsid w:val="00A269CF"/>
    <w:rsid w:val="00A26CA3"/>
    <w:rsid w:val="00A277FD"/>
    <w:rsid w:val="00A278A6"/>
    <w:rsid w:val="00A279CC"/>
    <w:rsid w:val="00A27BB4"/>
    <w:rsid w:val="00A27FE5"/>
    <w:rsid w:val="00A302E5"/>
    <w:rsid w:val="00A3030C"/>
    <w:rsid w:val="00A30406"/>
    <w:rsid w:val="00A304D2"/>
    <w:rsid w:val="00A30503"/>
    <w:rsid w:val="00A30522"/>
    <w:rsid w:val="00A30882"/>
    <w:rsid w:val="00A309F8"/>
    <w:rsid w:val="00A30B8F"/>
    <w:rsid w:val="00A30FE6"/>
    <w:rsid w:val="00A3127B"/>
    <w:rsid w:val="00A31669"/>
    <w:rsid w:val="00A31B0F"/>
    <w:rsid w:val="00A31BD4"/>
    <w:rsid w:val="00A31BFA"/>
    <w:rsid w:val="00A31C7C"/>
    <w:rsid w:val="00A31E1E"/>
    <w:rsid w:val="00A31EA9"/>
    <w:rsid w:val="00A31FC3"/>
    <w:rsid w:val="00A322A5"/>
    <w:rsid w:val="00A323BE"/>
    <w:rsid w:val="00A32472"/>
    <w:rsid w:val="00A324F4"/>
    <w:rsid w:val="00A3280C"/>
    <w:rsid w:val="00A330CE"/>
    <w:rsid w:val="00A332AB"/>
    <w:rsid w:val="00A333DD"/>
    <w:rsid w:val="00A33418"/>
    <w:rsid w:val="00A3347C"/>
    <w:rsid w:val="00A335D5"/>
    <w:rsid w:val="00A33790"/>
    <w:rsid w:val="00A33888"/>
    <w:rsid w:val="00A33A02"/>
    <w:rsid w:val="00A33C0E"/>
    <w:rsid w:val="00A3408A"/>
    <w:rsid w:val="00A34349"/>
    <w:rsid w:val="00A343F8"/>
    <w:rsid w:val="00A34611"/>
    <w:rsid w:val="00A34CDA"/>
    <w:rsid w:val="00A350A9"/>
    <w:rsid w:val="00A3510C"/>
    <w:rsid w:val="00A35287"/>
    <w:rsid w:val="00A352B2"/>
    <w:rsid w:val="00A353B2"/>
    <w:rsid w:val="00A3579B"/>
    <w:rsid w:val="00A35922"/>
    <w:rsid w:val="00A35D33"/>
    <w:rsid w:val="00A35E5C"/>
    <w:rsid w:val="00A35FC5"/>
    <w:rsid w:val="00A3602F"/>
    <w:rsid w:val="00A361C0"/>
    <w:rsid w:val="00A3641B"/>
    <w:rsid w:val="00A36606"/>
    <w:rsid w:val="00A36814"/>
    <w:rsid w:val="00A36854"/>
    <w:rsid w:val="00A36928"/>
    <w:rsid w:val="00A36B20"/>
    <w:rsid w:val="00A36ECC"/>
    <w:rsid w:val="00A36FA1"/>
    <w:rsid w:val="00A3701B"/>
    <w:rsid w:val="00A37254"/>
    <w:rsid w:val="00A3730D"/>
    <w:rsid w:val="00A374C3"/>
    <w:rsid w:val="00A3754F"/>
    <w:rsid w:val="00A37AA3"/>
    <w:rsid w:val="00A37CE4"/>
    <w:rsid w:val="00A4020E"/>
    <w:rsid w:val="00A40391"/>
    <w:rsid w:val="00A4044A"/>
    <w:rsid w:val="00A405AA"/>
    <w:rsid w:val="00A407B9"/>
    <w:rsid w:val="00A40878"/>
    <w:rsid w:val="00A4097B"/>
    <w:rsid w:val="00A40B31"/>
    <w:rsid w:val="00A40E7D"/>
    <w:rsid w:val="00A4107A"/>
    <w:rsid w:val="00A4152E"/>
    <w:rsid w:val="00A41639"/>
    <w:rsid w:val="00A41C73"/>
    <w:rsid w:val="00A42113"/>
    <w:rsid w:val="00A4223C"/>
    <w:rsid w:val="00A42265"/>
    <w:rsid w:val="00A42294"/>
    <w:rsid w:val="00A42444"/>
    <w:rsid w:val="00A424DF"/>
    <w:rsid w:val="00A42524"/>
    <w:rsid w:val="00A4280B"/>
    <w:rsid w:val="00A429DF"/>
    <w:rsid w:val="00A42C84"/>
    <w:rsid w:val="00A42E9B"/>
    <w:rsid w:val="00A43763"/>
    <w:rsid w:val="00A43B6F"/>
    <w:rsid w:val="00A43D59"/>
    <w:rsid w:val="00A4430B"/>
    <w:rsid w:val="00A4432B"/>
    <w:rsid w:val="00A44677"/>
    <w:rsid w:val="00A44814"/>
    <w:rsid w:val="00A44BFB"/>
    <w:rsid w:val="00A44C37"/>
    <w:rsid w:val="00A44CB4"/>
    <w:rsid w:val="00A44E4A"/>
    <w:rsid w:val="00A44EC2"/>
    <w:rsid w:val="00A4508F"/>
    <w:rsid w:val="00A456AA"/>
    <w:rsid w:val="00A458AD"/>
    <w:rsid w:val="00A458F1"/>
    <w:rsid w:val="00A45D3E"/>
    <w:rsid w:val="00A45DAC"/>
    <w:rsid w:val="00A45E57"/>
    <w:rsid w:val="00A463E9"/>
    <w:rsid w:val="00A46DB1"/>
    <w:rsid w:val="00A46EBA"/>
    <w:rsid w:val="00A470A9"/>
    <w:rsid w:val="00A470C9"/>
    <w:rsid w:val="00A4750F"/>
    <w:rsid w:val="00A477CF"/>
    <w:rsid w:val="00A47813"/>
    <w:rsid w:val="00A47862"/>
    <w:rsid w:val="00A478F7"/>
    <w:rsid w:val="00A47960"/>
    <w:rsid w:val="00A47D32"/>
    <w:rsid w:val="00A47E17"/>
    <w:rsid w:val="00A47E71"/>
    <w:rsid w:val="00A50035"/>
    <w:rsid w:val="00A50187"/>
    <w:rsid w:val="00A50242"/>
    <w:rsid w:val="00A503A7"/>
    <w:rsid w:val="00A50403"/>
    <w:rsid w:val="00A504F0"/>
    <w:rsid w:val="00A506FF"/>
    <w:rsid w:val="00A5083F"/>
    <w:rsid w:val="00A509C7"/>
    <w:rsid w:val="00A50C75"/>
    <w:rsid w:val="00A50D22"/>
    <w:rsid w:val="00A50FF9"/>
    <w:rsid w:val="00A512BC"/>
    <w:rsid w:val="00A51352"/>
    <w:rsid w:val="00A514C9"/>
    <w:rsid w:val="00A51972"/>
    <w:rsid w:val="00A51DEF"/>
    <w:rsid w:val="00A51E92"/>
    <w:rsid w:val="00A51F20"/>
    <w:rsid w:val="00A52022"/>
    <w:rsid w:val="00A5226A"/>
    <w:rsid w:val="00A52358"/>
    <w:rsid w:val="00A52389"/>
    <w:rsid w:val="00A52407"/>
    <w:rsid w:val="00A524C8"/>
    <w:rsid w:val="00A52934"/>
    <w:rsid w:val="00A52C7B"/>
    <w:rsid w:val="00A52CCA"/>
    <w:rsid w:val="00A52DA0"/>
    <w:rsid w:val="00A52DAE"/>
    <w:rsid w:val="00A52DED"/>
    <w:rsid w:val="00A52F49"/>
    <w:rsid w:val="00A5334B"/>
    <w:rsid w:val="00A53356"/>
    <w:rsid w:val="00A534F2"/>
    <w:rsid w:val="00A53553"/>
    <w:rsid w:val="00A53A87"/>
    <w:rsid w:val="00A53BB4"/>
    <w:rsid w:val="00A53D31"/>
    <w:rsid w:val="00A546DF"/>
    <w:rsid w:val="00A546FD"/>
    <w:rsid w:val="00A54941"/>
    <w:rsid w:val="00A5498F"/>
    <w:rsid w:val="00A549A9"/>
    <w:rsid w:val="00A54E9B"/>
    <w:rsid w:val="00A54FBE"/>
    <w:rsid w:val="00A55308"/>
    <w:rsid w:val="00A55466"/>
    <w:rsid w:val="00A55B2F"/>
    <w:rsid w:val="00A55B72"/>
    <w:rsid w:val="00A55BB5"/>
    <w:rsid w:val="00A55C54"/>
    <w:rsid w:val="00A55E88"/>
    <w:rsid w:val="00A55F18"/>
    <w:rsid w:val="00A562DE"/>
    <w:rsid w:val="00A56346"/>
    <w:rsid w:val="00A56524"/>
    <w:rsid w:val="00A5658A"/>
    <w:rsid w:val="00A56BB8"/>
    <w:rsid w:val="00A56C2C"/>
    <w:rsid w:val="00A56CEB"/>
    <w:rsid w:val="00A56D46"/>
    <w:rsid w:val="00A56D6F"/>
    <w:rsid w:val="00A56FA3"/>
    <w:rsid w:val="00A571D1"/>
    <w:rsid w:val="00A5740B"/>
    <w:rsid w:val="00A5770D"/>
    <w:rsid w:val="00A57867"/>
    <w:rsid w:val="00A578DF"/>
    <w:rsid w:val="00A57AF7"/>
    <w:rsid w:val="00A57F8B"/>
    <w:rsid w:val="00A6032C"/>
    <w:rsid w:val="00A60830"/>
    <w:rsid w:val="00A60A2E"/>
    <w:rsid w:val="00A60A48"/>
    <w:rsid w:val="00A60AD7"/>
    <w:rsid w:val="00A60B0C"/>
    <w:rsid w:val="00A61095"/>
    <w:rsid w:val="00A611D7"/>
    <w:rsid w:val="00A6166E"/>
    <w:rsid w:val="00A61A19"/>
    <w:rsid w:val="00A61E83"/>
    <w:rsid w:val="00A62250"/>
    <w:rsid w:val="00A6229C"/>
    <w:rsid w:val="00A62487"/>
    <w:rsid w:val="00A624A8"/>
    <w:rsid w:val="00A62571"/>
    <w:rsid w:val="00A625CB"/>
    <w:rsid w:val="00A6275B"/>
    <w:rsid w:val="00A6283E"/>
    <w:rsid w:val="00A628CD"/>
    <w:rsid w:val="00A62B80"/>
    <w:rsid w:val="00A62EC4"/>
    <w:rsid w:val="00A63B10"/>
    <w:rsid w:val="00A64273"/>
    <w:rsid w:val="00A642D2"/>
    <w:rsid w:val="00A64440"/>
    <w:rsid w:val="00A64768"/>
    <w:rsid w:val="00A64820"/>
    <w:rsid w:val="00A64860"/>
    <w:rsid w:val="00A64AF7"/>
    <w:rsid w:val="00A652AA"/>
    <w:rsid w:val="00A656A5"/>
    <w:rsid w:val="00A65856"/>
    <w:rsid w:val="00A65D11"/>
    <w:rsid w:val="00A65F29"/>
    <w:rsid w:val="00A6604B"/>
    <w:rsid w:val="00A661B9"/>
    <w:rsid w:val="00A6695A"/>
    <w:rsid w:val="00A66EA4"/>
    <w:rsid w:val="00A66EE5"/>
    <w:rsid w:val="00A670B1"/>
    <w:rsid w:val="00A6757E"/>
    <w:rsid w:val="00A676D7"/>
    <w:rsid w:val="00A677B4"/>
    <w:rsid w:val="00A678F8"/>
    <w:rsid w:val="00A67BDB"/>
    <w:rsid w:val="00A67D58"/>
    <w:rsid w:val="00A701CE"/>
    <w:rsid w:val="00A70209"/>
    <w:rsid w:val="00A7023D"/>
    <w:rsid w:val="00A707A5"/>
    <w:rsid w:val="00A70C84"/>
    <w:rsid w:val="00A70CC1"/>
    <w:rsid w:val="00A70F85"/>
    <w:rsid w:val="00A710BF"/>
    <w:rsid w:val="00A710C7"/>
    <w:rsid w:val="00A71198"/>
    <w:rsid w:val="00A7121E"/>
    <w:rsid w:val="00A71611"/>
    <w:rsid w:val="00A718E8"/>
    <w:rsid w:val="00A71BBC"/>
    <w:rsid w:val="00A71F19"/>
    <w:rsid w:val="00A721DF"/>
    <w:rsid w:val="00A722A7"/>
    <w:rsid w:val="00A7259C"/>
    <w:rsid w:val="00A72718"/>
    <w:rsid w:val="00A72768"/>
    <w:rsid w:val="00A72B60"/>
    <w:rsid w:val="00A72B8C"/>
    <w:rsid w:val="00A72DB8"/>
    <w:rsid w:val="00A72F7D"/>
    <w:rsid w:val="00A73371"/>
    <w:rsid w:val="00A734B2"/>
    <w:rsid w:val="00A734E9"/>
    <w:rsid w:val="00A7369B"/>
    <w:rsid w:val="00A737BF"/>
    <w:rsid w:val="00A73C69"/>
    <w:rsid w:val="00A74104"/>
    <w:rsid w:val="00A74159"/>
    <w:rsid w:val="00A74199"/>
    <w:rsid w:val="00A741B5"/>
    <w:rsid w:val="00A7443A"/>
    <w:rsid w:val="00A7459A"/>
    <w:rsid w:val="00A749CB"/>
    <w:rsid w:val="00A74BB2"/>
    <w:rsid w:val="00A74DE3"/>
    <w:rsid w:val="00A74E0E"/>
    <w:rsid w:val="00A74FCF"/>
    <w:rsid w:val="00A75141"/>
    <w:rsid w:val="00A7567B"/>
    <w:rsid w:val="00A75CF7"/>
    <w:rsid w:val="00A760A5"/>
    <w:rsid w:val="00A7621E"/>
    <w:rsid w:val="00A762CD"/>
    <w:rsid w:val="00A763EB"/>
    <w:rsid w:val="00A76586"/>
    <w:rsid w:val="00A76843"/>
    <w:rsid w:val="00A76935"/>
    <w:rsid w:val="00A76AC2"/>
    <w:rsid w:val="00A77283"/>
    <w:rsid w:val="00A77387"/>
    <w:rsid w:val="00A7745D"/>
    <w:rsid w:val="00A7748B"/>
    <w:rsid w:val="00A77A2F"/>
    <w:rsid w:val="00A80A0A"/>
    <w:rsid w:val="00A80B69"/>
    <w:rsid w:val="00A80EBD"/>
    <w:rsid w:val="00A80FBB"/>
    <w:rsid w:val="00A810D4"/>
    <w:rsid w:val="00A8129B"/>
    <w:rsid w:val="00A8133F"/>
    <w:rsid w:val="00A814E3"/>
    <w:rsid w:val="00A81593"/>
    <w:rsid w:val="00A8187B"/>
    <w:rsid w:val="00A81892"/>
    <w:rsid w:val="00A81E54"/>
    <w:rsid w:val="00A81ECD"/>
    <w:rsid w:val="00A81F01"/>
    <w:rsid w:val="00A82A70"/>
    <w:rsid w:val="00A82D6E"/>
    <w:rsid w:val="00A82D76"/>
    <w:rsid w:val="00A82F78"/>
    <w:rsid w:val="00A8315E"/>
    <w:rsid w:val="00A832BA"/>
    <w:rsid w:val="00A83589"/>
    <w:rsid w:val="00A8358E"/>
    <w:rsid w:val="00A83669"/>
    <w:rsid w:val="00A837C2"/>
    <w:rsid w:val="00A83ADE"/>
    <w:rsid w:val="00A83BC0"/>
    <w:rsid w:val="00A83EBF"/>
    <w:rsid w:val="00A8406B"/>
    <w:rsid w:val="00A842C0"/>
    <w:rsid w:val="00A84427"/>
    <w:rsid w:val="00A8447F"/>
    <w:rsid w:val="00A8463C"/>
    <w:rsid w:val="00A846F4"/>
    <w:rsid w:val="00A847AA"/>
    <w:rsid w:val="00A84E56"/>
    <w:rsid w:val="00A8519C"/>
    <w:rsid w:val="00A852D6"/>
    <w:rsid w:val="00A85526"/>
    <w:rsid w:val="00A855F7"/>
    <w:rsid w:val="00A85614"/>
    <w:rsid w:val="00A85750"/>
    <w:rsid w:val="00A8575A"/>
    <w:rsid w:val="00A85780"/>
    <w:rsid w:val="00A85A14"/>
    <w:rsid w:val="00A85D65"/>
    <w:rsid w:val="00A85DDA"/>
    <w:rsid w:val="00A85F48"/>
    <w:rsid w:val="00A860EB"/>
    <w:rsid w:val="00A8624F"/>
    <w:rsid w:val="00A865B8"/>
    <w:rsid w:val="00A865CC"/>
    <w:rsid w:val="00A8675E"/>
    <w:rsid w:val="00A86778"/>
    <w:rsid w:val="00A86CE0"/>
    <w:rsid w:val="00A874B5"/>
    <w:rsid w:val="00A8751E"/>
    <w:rsid w:val="00A87797"/>
    <w:rsid w:val="00A87846"/>
    <w:rsid w:val="00A87912"/>
    <w:rsid w:val="00A879AE"/>
    <w:rsid w:val="00A879BB"/>
    <w:rsid w:val="00A87ADA"/>
    <w:rsid w:val="00A87C81"/>
    <w:rsid w:val="00A87D56"/>
    <w:rsid w:val="00A87DF6"/>
    <w:rsid w:val="00A87F04"/>
    <w:rsid w:val="00A87F37"/>
    <w:rsid w:val="00A90035"/>
    <w:rsid w:val="00A9008B"/>
    <w:rsid w:val="00A90386"/>
    <w:rsid w:val="00A90878"/>
    <w:rsid w:val="00A90A19"/>
    <w:rsid w:val="00A90C22"/>
    <w:rsid w:val="00A90C3E"/>
    <w:rsid w:val="00A90E92"/>
    <w:rsid w:val="00A90ECA"/>
    <w:rsid w:val="00A9102C"/>
    <w:rsid w:val="00A91181"/>
    <w:rsid w:val="00A912BD"/>
    <w:rsid w:val="00A91A1C"/>
    <w:rsid w:val="00A91DF8"/>
    <w:rsid w:val="00A91E8C"/>
    <w:rsid w:val="00A923B3"/>
    <w:rsid w:val="00A923C3"/>
    <w:rsid w:val="00A92408"/>
    <w:rsid w:val="00A925C9"/>
    <w:rsid w:val="00A92AC8"/>
    <w:rsid w:val="00A92C82"/>
    <w:rsid w:val="00A92CFB"/>
    <w:rsid w:val="00A92E72"/>
    <w:rsid w:val="00A930DB"/>
    <w:rsid w:val="00A9324B"/>
    <w:rsid w:val="00A93270"/>
    <w:rsid w:val="00A93855"/>
    <w:rsid w:val="00A9391D"/>
    <w:rsid w:val="00A93C9D"/>
    <w:rsid w:val="00A93CF3"/>
    <w:rsid w:val="00A94077"/>
    <w:rsid w:val="00A94411"/>
    <w:rsid w:val="00A94748"/>
    <w:rsid w:val="00A949BC"/>
    <w:rsid w:val="00A949E7"/>
    <w:rsid w:val="00A94A7E"/>
    <w:rsid w:val="00A94B51"/>
    <w:rsid w:val="00A94D30"/>
    <w:rsid w:val="00A94F49"/>
    <w:rsid w:val="00A95048"/>
    <w:rsid w:val="00A95242"/>
    <w:rsid w:val="00A952FE"/>
    <w:rsid w:val="00A95486"/>
    <w:rsid w:val="00A95718"/>
    <w:rsid w:val="00A95A8E"/>
    <w:rsid w:val="00A95B80"/>
    <w:rsid w:val="00A95C55"/>
    <w:rsid w:val="00A961E2"/>
    <w:rsid w:val="00A96A72"/>
    <w:rsid w:val="00A96D3C"/>
    <w:rsid w:val="00A96E3D"/>
    <w:rsid w:val="00A9706A"/>
    <w:rsid w:val="00A9734A"/>
    <w:rsid w:val="00A9776C"/>
    <w:rsid w:val="00A97897"/>
    <w:rsid w:val="00A978F9"/>
    <w:rsid w:val="00A97998"/>
    <w:rsid w:val="00A97BDC"/>
    <w:rsid w:val="00AA01A7"/>
    <w:rsid w:val="00AA0590"/>
    <w:rsid w:val="00AA08B7"/>
    <w:rsid w:val="00AA0C62"/>
    <w:rsid w:val="00AA0DC3"/>
    <w:rsid w:val="00AA0EE1"/>
    <w:rsid w:val="00AA0F58"/>
    <w:rsid w:val="00AA151F"/>
    <w:rsid w:val="00AA1B2B"/>
    <w:rsid w:val="00AA1C3E"/>
    <w:rsid w:val="00AA1C91"/>
    <w:rsid w:val="00AA1DAA"/>
    <w:rsid w:val="00AA1E15"/>
    <w:rsid w:val="00AA1F7E"/>
    <w:rsid w:val="00AA1F9F"/>
    <w:rsid w:val="00AA1FE3"/>
    <w:rsid w:val="00AA2014"/>
    <w:rsid w:val="00AA217A"/>
    <w:rsid w:val="00AA250D"/>
    <w:rsid w:val="00AA25C6"/>
    <w:rsid w:val="00AA25FD"/>
    <w:rsid w:val="00AA283E"/>
    <w:rsid w:val="00AA2B0E"/>
    <w:rsid w:val="00AA2C8F"/>
    <w:rsid w:val="00AA2E63"/>
    <w:rsid w:val="00AA2F43"/>
    <w:rsid w:val="00AA36F3"/>
    <w:rsid w:val="00AA387C"/>
    <w:rsid w:val="00AA3ABC"/>
    <w:rsid w:val="00AA3C96"/>
    <w:rsid w:val="00AA3CFC"/>
    <w:rsid w:val="00AA3DBE"/>
    <w:rsid w:val="00AA3F1B"/>
    <w:rsid w:val="00AA43B7"/>
    <w:rsid w:val="00AA489C"/>
    <w:rsid w:val="00AA4923"/>
    <w:rsid w:val="00AA4AC5"/>
    <w:rsid w:val="00AA4AE1"/>
    <w:rsid w:val="00AA4BB3"/>
    <w:rsid w:val="00AA4C6E"/>
    <w:rsid w:val="00AA4CE2"/>
    <w:rsid w:val="00AA4D02"/>
    <w:rsid w:val="00AA4DBA"/>
    <w:rsid w:val="00AA4EC6"/>
    <w:rsid w:val="00AA5331"/>
    <w:rsid w:val="00AA59B6"/>
    <w:rsid w:val="00AA59C8"/>
    <w:rsid w:val="00AA59E8"/>
    <w:rsid w:val="00AA5A45"/>
    <w:rsid w:val="00AA5C68"/>
    <w:rsid w:val="00AA5D6B"/>
    <w:rsid w:val="00AA5F00"/>
    <w:rsid w:val="00AA603E"/>
    <w:rsid w:val="00AA62C7"/>
    <w:rsid w:val="00AA6466"/>
    <w:rsid w:val="00AA64DB"/>
    <w:rsid w:val="00AA65C6"/>
    <w:rsid w:val="00AA6771"/>
    <w:rsid w:val="00AA696A"/>
    <w:rsid w:val="00AA69F4"/>
    <w:rsid w:val="00AA6E26"/>
    <w:rsid w:val="00AA718E"/>
    <w:rsid w:val="00AA72DC"/>
    <w:rsid w:val="00AA752B"/>
    <w:rsid w:val="00AA7754"/>
    <w:rsid w:val="00AA77FC"/>
    <w:rsid w:val="00AA7B6F"/>
    <w:rsid w:val="00AA7D87"/>
    <w:rsid w:val="00AA7EE0"/>
    <w:rsid w:val="00AB019C"/>
    <w:rsid w:val="00AB01AE"/>
    <w:rsid w:val="00AB0427"/>
    <w:rsid w:val="00AB047B"/>
    <w:rsid w:val="00AB07A1"/>
    <w:rsid w:val="00AB0964"/>
    <w:rsid w:val="00AB0BB5"/>
    <w:rsid w:val="00AB0BFD"/>
    <w:rsid w:val="00AB0F77"/>
    <w:rsid w:val="00AB0F8C"/>
    <w:rsid w:val="00AB1376"/>
    <w:rsid w:val="00AB14C6"/>
    <w:rsid w:val="00AB15DE"/>
    <w:rsid w:val="00AB191C"/>
    <w:rsid w:val="00AB2331"/>
    <w:rsid w:val="00AB2558"/>
    <w:rsid w:val="00AB26D6"/>
    <w:rsid w:val="00AB28D0"/>
    <w:rsid w:val="00AB2A95"/>
    <w:rsid w:val="00AB2BC6"/>
    <w:rsid w:val="00AB30D6"/>
    <w:rsid w:val="00AB31F3"/>
    <w:rsid w:val="00AB3206"/>
    <w:rsid w:val="00AB32A3"/>
    <w:rsid w:val="00AB3372"/>
    <w:rsid w:val="00AB3770"/>
    <w:rsid w:val="00AB3D8A"/>
    <w:rsid w:val="00AB3DBE"/>
    <w:rsid w:val="00AB4244"/>
    <w:rsid w:val="00AB454B"/>
    <w:rsid w:val="00AB47DF"/>
    <w:rsid w:val="00AB4D37"/>
    <w:rsid w:val="00AB5086"/>
    <w:rsid w:val="00AB52C1"/>
    <w:rsid w:val="00AB5534"/>
    <w:rsid w:val="00AB557D"/>
    <w:rsid w:val="00AB55C4"/>
    <w:rsid w:val="00AB563E"/>
    <w:rsid w:val="00AB5740"/>
    <w:rsid w:val="00AB59C2"/>
    <w:rsid w:val="00AB5A11"/>
    <w:rsid w:val="00AB5A41"/>
    <w:rsid w:val="00AB5B07"/>
    <w:rsid w:val="00AB5B10"/>
    <w:rsid w:val="00AB5ED7"/>
    <w:rsid w:val="00AB5F0D"/>
    <w:rsid w:val="00AB6130"/>
    <w:rsid w:val="00AB6266"/>
    <w:rsid w:val="00AB63C3"/>
    <w:rsid w:val="00AB6E05"/>
    <w:rsid w:val="00AB6E4C"/>
    <w:rsid w:val="00AB7401"/>
    <w:rsid w:val="00AB7994"/>
    <w:rsid w:val="00AB7A3C"/>
    <w:rsid w:val="00AB7B02"/>
    <w:rsid w:val="00AB7C8B"/>
    <w:rsid w:val="00AB7DC4"/>
    <w:rsid w:val="00AB7DF8"/>
    <w:rsid w:val="00AB7E4F"/>
    <w:rsid w:val="00AB7FB2"/>
    <w:rsid w:val="00AC002F"/>
    <w:rsid w:val="00AC0210"/>
    <w:rsid w:val="00AC0629"/>
    <w:rsid w:val="00AC0C05"/>
    <w:rsid w:val="00AC0EEF"/>
    <w:rsid w:val="00AC137D"/>
    <w:rsid w:val="00AC138C"/>
    <w:rsid w:val="00AC13C1"/>
    <w:rsid w:val="00AC14C8"/>
    <w:rsid w:val="00AC151E"/>
    <w:rsid w:val="00AC16FC"/>
    <w:rsid w:val="00AC17CF"/>
    <w:rsid w:val="00AC188B"/>
    <w:rsid w:val="00AC1C56"/>
    <w:rsid w:val="00AC1C9C"/>
    <w:rsid w:val="00AC1E27"/>
    <w:rsid w:val="00AC1F27"/>
    <w:rsid w:val="00AC1F84"/>
    <w:rsid w:val="00AC2066"/>
    <w:rsid w:val="00AC2109"/>
    <w:rsid w:val="00AC2300"/>
    <w:rsid w:val="00AC2508"/>
    <w:rsid w:val="00AC285A"/>
    <w:rsid w:val="00AC286C"/>
    <w:rsid w:val="00AC29E4"/>
    <w:rsid w:val="00AC2AFF"/>
    <w:rsid w:val="00AC2B49"/>
    <w:rsid w:val="00AC2F14"/>
    <w:rsid w:val="00AC2F38"/>
    <w:rsid w:val="00AC2F5E"/>
    <w:rsid w:val="00AC2F68"/>
    <w:rsid w:val="00AC32C4"/>
    <w:rsid w:val="00AC32E7"/>
    <w:rsid w:val="00AC3359"/>
    <w:rsid w:val="00AC3415"/>
    <w:rsid w:val="00AC349C"/>
    <w:rsid w:val="00AC355C"/>
    <w:rsid w:val="00AC363A"/>
    <w:rsid w:val="00AC373F"/>
    <w:rsid w:val="00AC3784"/>
    <w:rsid w:val="00AC37DD"/>
    <w:rsid w:val="00AC3869"/>
    <w:rsid w:val="00AC38F4"/>
    <w:rsid w:val="00AC3B95"/>
    <w:rsid w:val="00AC3C31"/>
    <w:rsid w:val="00AC3D05"/>
    <w:rsid w:val="00AC3D49"/>
    <w:rsid w:val="00AC3DCC"/>
    <w:rsid w:val="00AC3E3E"/>
    <w:rsid w:val="00AC3F61"/>
    <w:rsid w:val="00AC43A3"/>
    <w:rsid w:val="00AC43E7"/>
    <w:rsid w:val="00AC4552"/>
    <w:rsid w:val="00AC455D"/>
    <w:rsid w:val="00AC488F"/>
    <w:rsid w:val="00AC48F3"/>
    <w:rsid w:val="00AC49E1"/>
    <w:rsid w:val="00AC4ABC"/>
    <w:rsid w:val="00AC4AFE"/>
    <w:rsid w:val="00AC4DCF"/>
    <w:rsid w:val="00AC4E53"/>
    <w:rsid w:val="00AC5063"/>
    <w:rsid w:val="00AC509B"/>
    <w:rsid w:val="00AC513F"/>
    <w:rsid w:val="00AC5179"/>
    <w:rsid w:val="00AC5B0B"/>
    <w:rsid w:val="00AC5BDB"/>
    <w:rsid w:val="00AC5D53"/>
    <w:rsid w:val="00AC5E5E"/>
    <w:rsid w:val="00AC5EE2"/>
    <w:rsid w:val="00AC63D0"/>
    <w:rsid w:val="00AC6576"/>
    <w:rsid w:val="00AC65A5"/>
    <w:rsid w:val="00AC66C2"/>
    <w:rsid w:val="00AC6795"/>
    <w:rsid w:val="00AC67E1"/>
    <w:rsid w:val="00AC6B3E"/>
    <w:rsid w:val="00AC6CBC"/>
    <w:rsid w:val="00AC6EB0"/>
    <w:rsid w:val="00AC72F6"/>
    <w:rsid w:val="00AC7373"/>
    <w:rsid w:val="00AC7CD8"/>
    <w:rsid w:val="00AD0247"/>
    <w:rsid w:val="00AD0412"/>
    <w:rsid w:val="00AD0669"/>
    <w:rsid w:val="00AD08B4"/>
    <w:rsid w:val="00AD09F4"/>
    <w:rsid w:val="00AD0B71"/>
    <w:rsid w:val="00AD0BF3"/>
    <w:rsid w:val="00AD0DF9"/>
    <w:rsid w:val="00AD10CB"/>
    <w:rsid w:val="00AD1330"/>
    <w:rsid w:val="00AD13AA"/>
    <w:rsid w:val="00AD1544"/>
    <w:rsid w:val="00AD1878"/>
    <w:rsid w:val="00AD1BF2"/>
    <w:rsid w:val="00AD1E87"/>
    <w:rsid w:val="00AD1F29"/>
    <w:rsid w:val="00AD2064"/>
    <w:rsid w:val="00AD21CF"/>
    <w:rsid w:val="00AD236D"/>
    <w:rsid w:val="00AD27F6"/>
    <w:rsid w:val="00AD2960"/>
    <w:rsid w:val="00AD2A3E"/>
    <w:rsid w:val="00AD2AAB"/>
    <w:rsid w:val="00AD2AD7"/>
    <w:rsid w:val="00AD2AF3"/>
    <w:rsid w:val="00AD2EC4"/>
    <w:rsid w:val="00AD2ED3"/>
    <w:rsid w:val="00AD3202"/>
    <w:rsid w:val="00AD3447"/>
    <w:rsid w:val="00AD351E"/>
    <w:rsid w:val="00AD38E3"/>
    <w:rsid w:val="00AD3A67"/>
    <w:rsid w:val="00AD3B28"/>
    <w:rsid w:val="00AD3C68"/>
    <w:rsid w:val="00AD3E1E"/>
    <w:rsid w:val="00AD42AA"/>
    <w:rsid w:val="00AD45BB"/>
    <w:rsid w:val="00AD4CE3"/>
    <w:rsid w:val="00AD4E40"/>
    <w:rsid w:val="00AD4E93"/>
    <w:rsid w:val="00AD4F0A"/>
    <w:rsid w:val="00AD5019"/>
    <w:rsid w:val="00AD511E"/>
    <w:rsid w:val="00AD5226"/>
    <w:rsid w:val="00AD5364"/>
    <w:rsid w:val="00AD5447"/>
    <w:rsid w:val="00AD54B5"/>
    <w:rsid w:val="00AD58B1"/>
    <w:rsid w:val="00AD5C50"/>
    <w:rsid w:val="00AD5FA4"/>
    <w:rsid w:val="00AD5FAD"/>
    <w:rsid w:val="00AD60B3"/>
    <w:rsid w:val="00AD64A4"/>
    <w:rsid w:val="00AD6676"/>
    <w:rsid w:val="00AD6888"/>
    <w:rsid w:val="00AD6A2A"/>
    <w:rsid w:val="00AD6A87"/>
    <w:rsid w:val="00AD6B2E"/>
    <w:rsid w:val="00AD6E09"/>
    <w:rsid w:val="00AD6EF3"/>
    <w:rsid w:val="00AD6F72"/>
    <w:rsid w:val="00AD7120"/>
    <w:rsid w:val="00AD7338"/>
    <w:rsid w:val="00AD7518"/>
    <w:rsid w:val="00AD75C8"/>
    <w:rsid w:val="00AD7689"/>
    <w:rsid w:val="00AD78D2"/>
    <w:rsid w:val="00AD7C42"/>
    <w:rsid w:val="00AD7D5F"/>
    <w:rsid w:val="00AD7FF7"/>
    <w:rsid w:val="00AE0117"/>
    <w:rsid w:val="00AE011E"/>
    <w:rsid w:val="00AE04A5"/>
    <w:rsid w:val="00AE0799"/>
    <w:rsid w:val="00AE09F0"/>
    <w:rsid w:val="00AE0E02"/>
    <w:rsid w:val="00AE10A5"/>
    <w:rsid w:val="00AE12C9"/>
    <w:rsid w:val="00AE12D7"/>
    <w:rsid w:val="00AE1446"/>
    <w:rsid w:val="00AE17FA"/>
    <w:rsid w:val="00AE181F"/>
    <w:rsid w:val="00AE187A"/>
    <w:rsid w:val="00AE1899"/>
    <w:rsid w:val="00AE19A5"/>
    <w:rsid w:val="00AE1A13"/>
    <w:rsid w:val="00AE1AB2"/>
    <w:rsid w:val="00AE1B59"/>
    <w:rsid w:val="00AE1F6F"/>
    <w:rsid w:val="00AE2329"/>
    <w:rsid w:val="00AE244C"/>
    <w:rsid w:val="00AE2479"/>
    <w:rsid w:val="00AE24EE"/>
    <w:rsid w:val="00AE2CB6"/>
    <w:rsid w:val="00AE2F7B"/>
    <w:rsid w:val="00AE363F"/>
    <w:rsid w:val="00AE3751"/>
    <w:rsid w:val="00AE37F9"/>
    <w:rsid w:val="00AE3C45"/>
    <w:rsid w:val="00AE3CB4"/>
    <w:rsid w:val="00AE3EBF"/>
    <w:rsid w:val="00AE3FAE"/>
    <w:rsid w:val="00AE4403"/>
    <w:rsid w:val="00AE4851"/>
    <w:rsid w:val="00AE49EB"/>
    <w:rsid w:val="00AE4AD5"/>
    <w:rsid w:val="00AE4D85"/>
    <w:rsid w:val="00AE500C"/>
    <w:rsid w:val="00AE5026"/>
    <w:rsid w:val="00AE503B"/>
    <w:rsid w:val="00AE506E"/>
    <w:rsid w:val="00AE52DF"/>
    <w:rsid w:val="00AE5343"/>
    <w:rsid w:val="00AE5488"/>
    <w:rsid w:val="00AE5619"/>
    <w:rsid w:val="00AE578D"/>
    <w:rsid w:val="00AE5D3D"/>
    <w:rsid w:val="00AE5DA8"/>
    <w:rsid w:val="00AE5F31"/>
    <w:rsid w:val="00AE649C"/>
    <w:rsid w:val="00AE6581"/>
    <w:rsid w:val="00AE68B5"/>
    <w:rsid w:val="00AE706D"/>
    <w:rsid w:val="00AE7402"/>
    <w:rsid w:val="00AE76C6"/>
    <w:rsid w:val="00AE7764"/>
    <w:rsid w:val="00AE7811"/>
    <w:rsid w:val="00AE78A3"/>
    <w:rsid w:val="00AE78EF"/>
    <w:rsid w:val="00AE7FA2"/>
    <w:rsid w:val="00AE7FDE"/>
    <w:rsid w:val="00AE7FEB"/>
    <w:rsid w:val="00AF04DF"/>
    <w:rsid w:val="00AF06CD"/>
    <w:rsid w:val="00AF0FEF"/>
    <w:rsid w:val="00AF100D"/>
    <w:rsid w:val="00AF1317"/>
    <w:rsid w:val="00AF13DF"/>
    <w:rsid w:val="00AF144E"/>
    <w:rsid w:val="00AF1450"/>
    <w:rsid w:val="00AF1631"/>
    <w:rsid w:val="00AF1A1C"/>
    <w:rsid w:val="00AF1A27"/>
    <w:rsid w:val="00AF1A43"/>
    <w:rsid w:val="00AF1AD4"/>
    <w:rsid w:val="00AF1C77"/>
    <w:rsid w:val="00AF1D30"/>
    <w:rsid w:val="00AF2045"/>
    <w:rsid w:val="00AF20D5"/>
    <w:rsid w:val="00AF2735"/>
    <w:rsid w:val="00AF2BC6"/>
    <w:rsid w:val="00AF2E04"/>
    <w:rsid w:val="00AF3246"/>
    <w:rsid w:val="00AF34B0"/>
    <w:rsid w:val="00AF35A4"/>
    <w:rsid w:val="00AF370D"/>
    <w:rsid w:val="00AF397C"/>
    <w:rsid w:val="00AF3F1C"/>
    <w:rsid w:val="00AF4654"/>
    <w:rsid w:val="00AF4880"/>
    <w:rsid w:val="00AF48B5"/>
    <w:rsid w:val="00AF4A32"/>
    <w:rsid w:val="00AF4ABA"/>
    <w:rsid w:val="00AF4F9B"/>
    <w:rsid w:val="00AF4FC2"/>
    <w:rsid w:val="00AF5382"/>
    <w:rsid w:val="00AF558D"/>
    <w:rsid w:val="00AF5790"/>
    <w:rsid w:val="00AF57FD"/>
    <w:rsid w:val="00AF58AF"/>
    <w:rsid w:val="00AF5AFB"/>
    <w:rsid w:val="00AF5EBA"/>
    <w:rsid w:val="00AF5FF2"/>
    <w:rsid w:val="00AF622F"/>
    <w:rsid w:val="00AF62A2"/>
    <w:rsid w:val="00AF6335"/>
    <w:rsid w:val="00AF63AB"/>
    <w:rsid w:val="00AF666F"/>
    <w:rsid w:val="00AF6783"/>
    <w:rsid w:val="00AF6C3B"/>
    <w:rsid w:val="00AF6E04"/>
    <w:rsid w:val="00AF6F2E"/>
    <w:rsid w:val="00AF726E"/>
    <w:rsid w:val="00AF7405"/>
    <w:rsid w:val="00AF75EF"/>
    <w:rsid w:val="00AF7870"/>
    <w:rsid w:val="00AF7897"/>
    <w:rsid w:val="00AF789D"/>
    <w:rsid w:val="00AF7BCF"/>
    <w:rsid w:val="00AF7D6C"/>
    <w:rsid w:val="00B002D2"/>
    <w:rsid w:val="00B006EA"/>
    <w:rsid w:val="00B00978"/>
    <w:rsid w:val="00B009EE"/>
    <w:rsid w:val="00B00D86"/>
    <w:rsid w:val="00B00D8B"/>
    <w:rsid w:val="00B00E48"/>
    <w:rsid w:val="00B011AF"/>
    <w:rsid w:val="00B0184D"/>
    <w:rsid w:val="00B01AE9"/>
    <w:rsid w:val="00B01FFD"/>
    <w:rsid w:val="00B021F0"/>
    <w:rsid w:val="00B02698"/>
    <w:rsid w:val="00B02A5F"/>
    <w:rsid w:val="00B02A8A"/>
    <w:rsid w:val="00B02CB4"/>
    <w:rsid w:val="00B0321E"/>
    <w:rsid w:val="00B03229"/>
    <w:rsid w:val="00B0327A"/>
    <w:rsid w:val="00B036FE"/>
    <w:rsid w:val="00B03BFD"/>
    <w:rsid w:val="00B03C92"/>
    <w:rsid w:val="00B04177"/>
    <w:rsid w:val="00B04645"/>
    <w:rsid w:val="00B04745"/>
    <w:rsid w:val="00B04956"/>
    <w:rsid w:val="00B04F2B"/>
    <w:rsid w:val="00B0557B"/>
    <w:rsid w:val="00B058F0"/>
    <w:rsid w:val="00B05C3C"/>
    <w:rsid w:val="00B06050"/>
    <w:rsid w:val="00B064AD"/>
    <w:rsid w:val="00B06870"/>
    <w:rsid w:val="00B068C1"/>
    <w:rsid w:val="00B06E2A"/>
    <w:rsid w:val="00B06F3F"/>
    <w:rsid w:val="00B07114"/>
    <w:rsid w:val="00B07488"/>
    <w:rsid w:val="00B076F3"/>
    <w:rsid w:val="00B07962"/>
    <w:rsid w:val="00B07C70"/>
    <w:rsid w:val="00B07E46"/>
    <w:rsid w:val="00B07FB3"/>
    <w:rsid w:val="00B1015E"/>
    <w:rsid w:val="00B10245"/>
    <w:rsid w:val="00B103A2"/>
    <w:rsid w:val="00B10637"/>
    <w:rsid w:val="00B106F0"/>
    <w:rsid w:val="00B10C99"/>
    <w:rsid w:val="00B10D51"/>
    <w:rsid w:val="00B1150B"/>
    <w:rsid w:val="00B11575"/>
    <w:rsid w:val="00B11648"/>
    <w:rsid w:val="00B117C3"/>
    <w:rsid w:val="00B11AAE"/>
    <w:rsid w:val="00B11B1E"/>
    <w:rsid w:val="00B11BCE"/>
    <w:rsid w:val="00B11C61"/>
    <w:rsid w:val="00B11CEF"/>
    <w:rsid w:val="00B11E86"/>
    <w:rsid w:val="00B12560"/>
    <w:rsid w:val="00B12613"/>
    <w:rsid w:val="00B12689"/>
    <w:rsid w:val="00B1277C"/>
    <w:rsid w:val="00B127DC"/>
    <w:rsid w:val="00B12836"/>
    <w:rsid w:val="00B12AB0"/>
    <w:rsid w:val="00B12B22"/>
    <w:rsid w:val="00B12D5F"/>
    <w:rsid w:val="00B131A7"/>
    <w:rsid w:val="00B131CA"/>
    <w:rsid w:val="00B13296"/>
    <w:rsid w:val="00B133BD"/>
    <w:rsid w:val="00B133C1"/>
    <w:rsid w:val="00B136B1"/>
    <w:rsid w:val="00B1371D"/>
    <w:rsid w:val="00B13BDE"/>
    <w:rsid w:val="00B14103"/>
    <w:rsid w:val="00B14696"/>
    <w:rsid w:val="00B14A5E"/>
    <w:rsid w:val="00B14B83"/>
    <w:rsid w:val="00B14BEA"/>
    <w:rsid w:val="00B1543B"/>
    <w:rsid w:val="00B15576"/>
    <w:rsid w:val="00B155E0"/>
    <w:rsid w:val="00B157DC"/>
    <w:rsid w:val="00B15AC2"/>
    <w:rsid w:val="00B15B87"/>
    <w:rsid w:val="00B15D5C"/>
    <w:rsid w:val="00B15ECA"/>
    <w:rsid w:val="00B161BD"/>
    <w:rsid w:val="00B162EA"/>
    <w:rsid w:val="00B16367"/>
    <w:rsid w:val="00B166FC"/>
    <w:rsid w:val="00B167D9"/>
    <w:rsid w:val="00B168F2"/>
    <w:rsid w:val="00B1695A"/>
    <w:rsid w:val="00B16978"/>
    <w:rsid w:val="00B16A20"/>
    <w:rsid w:val="00B16A91"/>
    <w:rsid w:val="00B16C2B"/>
    <w:rsid w:val="00B16D2E"/>
    <w:rsid w:val="00B16E6E"/>
    <w:rsid w:val="00B172DC"/>
    <w:rsid w:val="00B17457"/>
    <w:rsid w:val="00B17490"/>
    <w:rsid w:val="00B1749E"/>
    <w:rsid w:val="00B174F0"/>
    <w:rsid w:val="00B176BD"/>
    <w:rsid w:val="00B17DA3"/>
    <w:rsid w:val="00B17DD3"/>
    <w:rsid w:val="00B17FF3"/>
    <w:rsid w:val="00B2004B"/>
    <w:rsid w:val="00B201CD"/>
    <w:rsid w:val="00B20544"/>
    <w:rsid w:val="00B205B6"/>
    <w:rsid w:val="00B20BE1"/>
    <w:rsid w:val="00B20F9A"/>
    <w:rsid w:val="00B214DE"/>
    <w:rsid w:val="00B214F5"/>
    <w:rsid w:val="00B2198E"/>
    <w:rsid w:val="00B219AC"/>
    <w:rsid w:val="00B21BD7"/>
    <w:rsid w:val="00B21C30"/>
    <w:rsid w:val="00B22006"/>
    <w:rsid w:val="00B22474"/>
    <w:rsid w:val="00B228C0"/>
    <w:rsid w:val="00B22989"/>
    <w:rsid w:val="00B22A3F"/>
    <w:rsid w:val="00B22B37"/>
    <w:rsid w:val="00B2300B"/>
    <w:rsid w:val="00B23067"/>
    <w:rsid w:val="00B232BE"/>
    <w:rsid w:val="00B23641"/>
    <w:rsid w:val="00B23701"/>
    <w:rsid w:val="00B237E2"/>
    <w:rsid w:val="00B23852"/>
    <w:rsid w:val="00B23C19"/>
    <w:rsid w:val="00B23C7E"/>
    <w:rsid w:val="00B23D80"/>
    <w:rsid w:val="00B2409F"/>
    <w:rsid w:val="00B2410F"/>
    <w:rsid w:val="00B245C2"/>
    <w:rsid w:val="00B24691"/>
    <w:rsid w:val="00B24825"/>
    <w:rsid w:val="00B24862"/>
    <w:rsid w:val="00B249AB"/>
    <w:rsid w:val="00B24CE2"/>
    <w:rsid w:val="00B24FDF"/>
    <w:rsid w:val="00B25102"/>
    <w:rsid w:val="00B251C7"/>
    <w:rsid w:val="00B251F8"/>
    <w:rsid w:val="00B2548E"/>
    <w:rsid w:val="00B25512"/>
    <w:rsid w:val="00B25D8F"/>
    <w:rsid w:val="00B26164"/>
    <w:rsid w:val="00B26A78"/>
    <w:rsid w:val="00B26B43"/>
    <w:rsid w:val="00B26BB5"/>
    <w:rsid w:val="00B26BFF"/>
    <w:rsid w:val="00B26D0F"/>
    <w:rsid w:val="00B26FD3"/>
    <w:rsid w:val="00B26FDA"/>
    <w:rsid w:val="00B2702E"/>
    <w:rsid w:val="00B271FE"/>
    <w:rsid w:val="00B27390"/>
    <w:rsid w:val="00B27912"/>
    <w:rsid w:val="00B27E97"/>
    <w:rsid w:val="00B30023"/>
    <w:rsid w:val="00B30095"/>
    <w:rsid w:val="00B3036A"/>
    <w:rsid w:val="00B30631"/>
    <w:rsid w:val="00B3089F"/>
    <w:rsid w:val="00B309D3"/>
    <w:rsid w:val="00B309EF"/>
    <w:rsid w:val="00B30B90"/>
    <w:rsid w:val="00B30C83"/>
    <w:rsid w:val="00B30F7E"/>
    <w:rsid w:val="00B30FB0"/>
    <w:rsid w:val="00B316E3"/>
    <w:rsid w:val="00B316EE"/>
    <w:rsid w:val="00B31845"/>
    <w:rsid w:val="00B31960"/>
    <w:rsid w:val="00B319D9"/>
    <w:rsid w:val="00B3200D"/>
    <w:rsid w:val="00B32047"/>
    <w:rsid w:val="00B3255E"/>
    <w:rsid w:val="00B32805"/>
    <w:rsid w:val="00B32D10"/>
    <w:rsid w:val="00B32DC1"/>
    <w:rsid w:val="00B32F63"/>
    <w:rsid w:val="00B330B9"/>
    <w:rsid w:val="00B331CC"/>
    <w:rsid w:val="00B33275"/>
    <w:rsid w:val="00B33881"/>
    <w:rsid w:val="00B33C94"/>
    <w:rsid w:val="00B33DF7"/>
    <w:rsid w:val="00B33E7A"/>
    <w:rsid w:val="00B33EF1"/>
    <w:rsid w:val="00B34413"/>
    <w:rsid w:val="00B3449D"/>
    <w:rsid w:val="00B344F1"/>
    <w:rsid w:val="00B3462A"/>
    <w:rsid w:val="00B34873"/>
    <w:rsid w:val="00B3487E"/>
    <w:rsid w:val="00B34929"/>
    <w:rsid w:val="00B34BA5"/>
    <w:rsid w:val="00B34D23"/>
    <w:rsid w:val="00B34E65"/>
    <w:rsid w:val="00B3502D"/>
    <w:rsid w:val="00B35611"/>
    <w:rsid w:val="00B3568B"/>
    <w:rsid w:val="00B356B9"/>
    <w:rsid w:val="00B35AF3"/>
    <w:rsid w:val="00B35D60"/>
    <w:rsid w:val="00B3616C"/>
    <w:rsid w:val="00B362E7"/>
    <w:rsid w:val="00B3643B"/>
    <w:rsid w:val="00B3656B"/>
    <w:rsid w:val="00B36624"/>
    <w:rsid w:val="00B36A83"/>
    <w:rsid w:val="00B36F35"/>
    <w:rsid w:val="00B36F83"/>
    <w:rsid w:val="00B3715E"/>
    <w:rsid w:val="00B374B0"/>
    <w:rsid w:val="00B374EC"/>
    <w:rsid w:val="00B375C4"/>
    <w:rsid w:val="00B3778A"/>
    <w:rsid w:val="00B3778E"/>
    <w:rsid w:val="00B3791B"/>
    <w:rsid w:val="00B37B0F"/>
    <w:rsid w:val="00B37B97"/>
    <w:rsid w:val="00B37C03"/>
    <w:rsid w:val="00B37D3C"/>
    <w:rsid w:val="00B37EF2"/>
    <w:rsid w:val="00B400EB"/>
    <w:rsid w:val="00B40111"/>
    <w:rsid w:val="00B40279"/>
    <w:rsid w:val="00B402BB"/>
    <w:rsid w:val="00B402E2"/>
    <w:rsid w:val="00B40B86"/>
    <w:rsid w:val="00B40BEB"/>
    <w:rsid w:val="00B413C4"/>
    <w:rsid w:val="00B41743"/>
    <w:rsid w:val="00B41764"/>
    <w:rsid w:val="00B41886"/>
    <w:rsid w:val="00B424A3"/>
    <w:rsid w:val="00B42A0A"/>
    <w:rsid w:val="00B42A33"/>
    <w:rsid w:val="00B42C15"/>
    <w:rsid w:val="00B43350"/>
    <w:rsid w:val="00B43564"/>
    <w:rsid w:val="00B43787"/>
    <w:rsid w:val="00B43AEC"/>
    <w:rsid w:val="00B43DD7"/>
    <w:rsid w:val="00B43E8A"/>
    <w:rsid w:val="00B43F1F"/>
    <w:rsid w:val="00B44363"/>
    <w:rsid w:val="00B446E6"/>
    <w:rsid w:val="00B449C2"/>
    <w:rsid w:val="00B44A46"/>
    <w:rsid w:val="00B44D61"/>
    <w:rsid w:val="00B44D6F"/>
    <w:rsid w:val="00B44D9E"/>
    <w:rsid w:val="00B44D9F"/>
    <w:rsid w:val="00B44DA6"/>
    <w:rsid w:val="00B44E36"/>
    <w:rsid w:val="00B44F41"/>
    <w:rsid w:val="00B45174"/>
    <w:rsid w:val="00B453F7"/>
    <w:rsid w:val="00B4551A"/>
    <w:rsid w:val="00B4564D"/>
    <w:rsid w:val="00B458ED"/>
    <w:rsid w:val="00B45BCC"/>
    <w:rsid w:val="00B46169"/>
    <w:rsid w:val="00B462E6"/>
    <w:rsid w:val="00B4659A"/>
    <w:rsid w:val="00B46A89"/>
    <w:rsid w:val="00B46E03"/>
    <w:rsid w:val="00B46F37"/>
    <w:rsid w:val="00B46FA2"/>
    <w:rsid w:val="00B4715A"/>
    <w:rsid w:val="00B47541"/>
    <w:rsid w:val="00B47AD3"/>
    <w:rsid w:val="00B5020F"/>
    <w:rsid w:val="00B503FA"/>
    <w:rsid w:val="00B50901"/>
    <w:rsid w:val="00B509B4"/>
    <w:rsid w:val="00B50CD2"/>
    <w:rsid w:val="00B50E23"/>
    <w:rsid w:val="00B50E58"/>
    <w:rsid w:val="00B51068"/>
    <w:rsid w:val="00B511E4"/>
    <w:rsid w:val="00B5132B"/>
    <w:rsid w:val="00B51513"/>
    <w:rsid w:val="00B51742"/>
    <w:rsid w:val="00B51A5D"/>
    <w:rsid w:val="00B51B8A"/>
    <w:rsid w:val="00B51F06"/>
    <w:rsid w:val="00B5211D"/>
    <w:rsid w:val="00B523EF"/>
    <w:rsid w:val="00B525E0"/>
    <w:rsid w:val="00B5278A"/>
    <w:rsid w:val="00B52AEB"/>
    <w:rsid w:val="00B52DB5"/>
    <w:rsid w:val="00B52FC0"/>
    <w:rsid w:val="00B53303"/>
    <w:rsid w:val="00B5347C"/>
    <w:rsid w:val="00B534DD"/>
    <w:rsid w:val="00B5388B"/>
    <w:rsid w:val="00B53BC1"/>
    <w:rsid w:val="00B53D6A"/>
    <w:rsid w:val="00B5402F"/>
    <w:rsid w:val="00B54359"/>
    <w:rsid w:val="00B5451A"/>
    <w:rsid w:val="00B54966"/>
    <w:rsid w:val="00B54985"/>
    <w:rsid w:val="00B54D82"/>
    <w:rsid w:val="00B54E19"/>
    <w:rsid w:val="00B54E89"/>
    <w:rsid w:val="00B5516E"/>
    <w:rsid w:val="00B55D44"/>
    <w:rsid w:val="00B55F27"/>
    <w:rsid w:val="00B56A8E"/>
    <w:rsid w:val="00B56E97"/>
    <w:rsid w:val="00B56F1E"/>
    <w:rsid w:val="00B57369"/>
    <w:rsid w:val="00B57564"/>
    <w:rsid w:val="00B57656"/>
    <w:rsid w:val="00B57DD4"/>
    <w:rsid w:val="00B57EF0"/>
    <w:rsid w:val="00B57F10"/>
    <w:rsid w:val="00B57F99"/>
    <w:rsid w:val="00B602EA"/>
    <w:rsid w:val="00B6035D"/>
    <w:rsid w:val="00B606FD"/>
    <w:rsid w:val="00B6085A"/>
    <w:rsid w:val="00B609CA"/>
    <w:rsid w:val="00B60B22"/>
    <w:rsid w:val="00B60B41"/>
    <w:rsid w:val="00B60BFA"/>
    <w:rsid w:val="00B60C2E"/>
    <w:rsid w:val="00B611FB"/>
    <w:rsid w:val="00B615C8"/>
    <w:rsid w:val="00B61661"/>
    <w:rsid w:val="00B61AB9"/>
    <w:rsid w:val="00B61CF7"/>
    <w:rsid w:val="00B61D5A"/>
    <w:rsid w:val="00B61F96"/>
    <w:rsid w:val="00B620E9"/>
    <w:rsid w:val="00B6216D"/>
    <w:rsid w:val="00B624A0"/>
    <w:rsid w:val="00B62829"/>
    <w:rsid w:val="00B62871"/>
    <w:rsid w:val="00B62A6A"/>
    <w:rsid w:val="00B62F3F"/>
    <w:rsid w:val="00B630D3"/>
    <w:rsid w:val="00B6360A"/>
    <w:rsid w:val="00B637C8"/>
    <w:rsid w:val="00B63C1D"/>
    <w:rsid w:val="00B63CB1"/>
    <w:rsid w:val="00B63E4A"/>
    <w:rsid w:val="00B63F34"/>
    <w:rsid w:val="00B64053"/>
    <w:rsid w:val="00B64070"/>
    <w:rsid w:val="00B64878"/>
    <w:rsid w:val="00B648CF"/>
    <w:rsid w:val="00B64A10"/>
    <w:rsid w:val="00B64B8F"/>
    <w:rsid w:val="00B64B98"/>
    <w:rsid w:val="00B64DCA"/>
    <w:rsid w:val="00B657BE"/>
    <w:rsid w:val="00B65A55"/>
    <w:rsid w:val="00B65A94"/>
    <w:rsid w:val="00B65B3F"/>
    <w:rsid w:val="00B65B7A"/>
    <w:rsid w:val="00B65BF9"/>
    <w:rsid w:val="00B65CF9"/>
    <w:rsid w:val="00B65DFA"/>
    <w:rsid w:val="00B65E10"/>
    <w:rsid w:val="00B65E54"/>
    <w:rsid w:val="00B6618E"/>
    <w:rsid w:val="00B6621B"/>
    <w:rsid w:val="00B662F3"/>
    <w:rsid w:val="00B664C2"/>
    <w:rsid w:val="00B6687C"/>
    <w:rsid w:val="00B668D1"/>
    <w:rsid w:val="00B6692A"/>
    <w:rsid w:val="00B66AF6"/>
    <w:rsid w:val="00B66E79"/>
    <w:rsid w:val="00B66F33"/>
    <w:rsid w:val="00B67028"/>
    <w:rsid w:val="00B67224"/>
    <w:rsid w:val="00B675A4"/>
    <w:rsid w:val="00B67694"/>
    <w:rsid w:val="00B676A4"/>
    <w:rsid w:val="00B67EC7"/>
    <w:rsid w:val="00B67F04"/>
    <w:rsid w:val="00B702A9"/>
    <w:rsid w:val="00B70641"/>
    <w:rsid w:val="00B70987"/>
    <w:rsid w:val="00B709A7"/>
    <w:rsid w:val="00B70A72"/>
    <w:rsid w:val="00B70AA7"/>
    <w:rsid w:val="00B70B1B"/>
    <w:rsid w:val="00B70C16"/>
    <w:rsid w:val="00B70CB3"/>
    <w:rsid w:val="00B71009"/>
    <w:rsid w:val="00B7112B"/>
    <w:rsid w:val="00B71137"/>
    <w:rsid w:val="00B7133B"/>
    <w:rsid w:val="00B7149E"/>
    <w:rsid w:val="00B71784"/>
    <w:rsid w:val="00B719D1"/>
    <w:rsid w:val="00B719F0"/>
    <w:rsid w:val="00B71AF5"/>
    <w:rsid w:val="00B71F4A"/>
    <w:rsid w:val="00B72415"/>
    <w:rsid w:val="00B724AE"/>
    <w:rsid w:val="00B728DE"/>
    <w:rsid w:val="00B729D9"/>
    <w:rsid w:val="00B72A53"/>
    <w:rsid w:val="00B72B05"/>
    <w:rsid w:val="00B72D83"/>
    <w:rsid w:val="00B73275"/>
    <w:rsid w:val="00B73584"/>
    <w:rsid w:val="00B73AF7"/>
    <w:rsid w:val="00B73FC1"/>
    <w:rsid w:val="00B744BE"/>
    <w:rsid w:val="00B7454C"/>
    <w:rsid w:val="00B746EE"/>
    <w:rsid w:val="00B748D3"/>
    <w:rsid w:val="00B749BF"/>
    <w:rsid w:val="00B74A73"/>
    <w:rsid w:val="00B74EA4"/>
    <w:rsid w:val="00B7509D"/>
    <w:rsid w:val="00B750C7"/>
    <w:rsid w:val="00B753DD"/>
    <w:rsid w:val="00B755CD"/>
    <w:rsid w:val="00B75794"/>
    <w:rsid w:val="00B75DA1"/>
    <w:rsid w:val="00B75DDD"/>
    <w:rsid w:val="00B760C4"/>
    <w:rsid w:val="00B761BF"/>
    <w:rsid w:val="00B762E4"/>
    <w:rsid w:val="00B765FE"/>
    <w:rsid w:val="00B76917"/>
    <w:rsid w:val="00B76BA4"/>
    <w:rsid w:val="00B76D7C"/>
    <w:rsid w:val="00B77157"/>
    <w:rsid w:val="00B77206"/>
    <w:rsid w:val="00B77381"/>
    <w:rsid w:val="00B7769A"/>
    <w:rsid w:val="00B77715"/>
    <w:rsid w:val="00B77E90"/>
    <w:rsid w:val="00B77F97"/>
    <w:rsid w:val="00B8005F"/>
    <w:rsid w:val="00B8008F"/>
    <w:rsid w:val="00B803B4"/>
    <w:rsid w:val="00B8041D"/>
    <w:rsid w:val="00B80999"/>
    <w:rsid w:val="00B80A14"/>
    <w:rsid w:val="00B80BCD"/>
    <w:rsid w:val="00B80C16"/>
    <w:rsid w:val="00B80E4A"/>
    <w:rsid w:val="00B80F1F"/>
    <w:rsid w:val="00B8142A"/>
    <w:rsid w:val="00B81768"/>
    <w:rsid w:val="00B81D52"/>
    <w:rsid w:val="00B81EBC"/>
    <w:rsid w:val="00B81F0A"/>
    <w:rsid w:val="00B81FF0"/>
    <w:rsid w:val="00B82100"/>
    <w:rsid w:val="00B8210D"/>
    <w:rsid w:val="00B82110"/>
    <w:rsid w:val="00B82294"/>
    <w:rsid w:val="00B822EC"/>
    <w:rsid w:val="00B8247A"/>
    <w:rsid w:val="00B8257A"/>
    <w:rsid w:val="00B825D3"/>
    <w:rsid w:val="00B82998"/>
    <w:rsid w:val="00B829DD"/>
    <w:rsid w:val="00B82AF9"/>
    <w:rsid w:val="00B831B8"/>
    <w:rsid w:val="00B831DD"/>
    <w:rsid w:val="00B83362"/>
    <w:rsid w:val="00B833B2"/>
    <w:rsid w:val="00B835B8"/>
    <w:rsid w:val="00B835F6"/>
    <w:rsid w:val="00B83BC7"/>
    <w:rsid w:val="00B83CF1"/>
    <w:rsid w:val="00B84059"/>
    <w:rsid w:val="00B844F3"/>
    <w:rsid w:val="00B846C0"/>
    <w:rsid w:val="00B847A2"/>
    <w:rsid w:val="00B84A01"/>
    <w:rsid w:val="00B84EAC"/>
    <w:rsid w:val="00B84F7B"/>
    <w:rsid w:val="00B8553E"/>
    <w:rsid w:val="00B855AA"/>
    <w:rsid w:val="00B85877"/>
    <w:rsid w:val="00B859A0"/>
    <w:rsid w:val="00B85BAF"/>
    <w:rsid w:val="00B85CD7"/>
    <w:rsid w:val="00B86079"/>
    <w:rsid w:val="00B86162"/>
    <w:rsid w:val="00B866B4"/>
    <w:rsid w:val="00B869DB"/>
    <w:rsid w:val="00B86D2E"/>
    <w:rsid w:val="00B86DF7"/>
    <w:rsid w:val="00B87683"/>
    <w:rsid w:val="00B876B9"/>
    <w:rsid w:val="00B8774B"/>
    <w:rsid w:val="00B87B6D"/>
    <w:rsid w:val="00B87D40"/>
    <w:rsid w:val="00B87E40"/>
    <w:rsid w:val="00B9012F"/>
    <w:rsid w:val="00B90313"/>
    <w:rsid w:val="00B90339"/>
    <w:rsid w:val="00B904D9"/>
    <w:rsid w:val="00B90945"/>
    <w:rsid w:val="00B90B69"/>
    <w:rsid w:val="00B90B9F"/>
    <w:rsid w:val="00B90D49"/>
    <w:rsid w:val="00B90E43"/>
    <w:rsid w:val="00B90E62"/>
    <w:rsid w:val="00B91548"/>
    <w:rsid w:val="00B915C1"/>
    <w:rsid w:val="00B91637"/>
    <w:rsid w:val="00B9165B"/>
    <w:rsid w:val="00B91DF3"/>
    <w:rsid w:val="00B91EE8"/>
    <w:rsid w:val="00B920A8"/>
    <w:rsid w:val="00B92750"/>
    <w:rsid w:val="00B928AC"/>
    <w:rsid w:val="00B928BC"/>
    <w:rsid w:val="00B9315A"/>
    <w:rsid w:val="00B931B3"/>
    <w:rsid w:val="00B9331C"/>
    <w:rsid w:val="00B934A1"/>
    <w:rsid w:val="00B93BEF"/>
    <w:rsid w:val="00B94234"/>
    <w:rsid w:val="00B942DE"/>
    <w:rsid w:val="00B949EF"/>
    <w:rsid w:val="00B94AEF"/>
    <w:rsid w:val="00B94AF3"/>
    <w:rsid w:val="00B94B0C"/>
    <w:rsid w:val="00B94B88"/>
    <w:rsid w:val="00B94EE9"/>
    <w:rsid w:val="00B951DD"/>
    <w:rsid w:val="00B955FC"/>
    <w:rsid w:val="00B957CD"/>
    <w:rsid w:val="00B958C1"/>
    <w:rsid w:val="00B95BB0"/>
    <w:rsid w:val="00B95BBA"/>
    <w:rsid w:val="00B95C61"/>
    <w:rsid w:val="00B95D9C"/>
    <w:rsid w:val="00B95FED"/>
    <w:rsid w:val="00B9611D"/>
    <w:rsid w:val="00B96331"/>
    <w:rsid w:val="00B96362"/>
    <w:rsid w:val="00B9667E"/>
    <w:rsid w:val="00B967AF"/>
    <w:rsid w:val="00B96BAB"/>
    <w:rsid w:val="00B96C6A"/>
    <w:rsid w:val="00B9706E"/>
    <w:rsid w:val="00B97188"/>
    <w:rsid w:val="00B97189"/>
    <w:rsid w:val="00B97573"/>
    <w:rsid w:val="00B97890"/>
    <w:rsid w:val="00B979D1"/>
    <w:rsid w:val="00B97ACC"/>
    <w:rsid w:val="00B97C09"/>
    <w:rsid w:val="00B97C7E"/>
    <w:rsid w:val="00B97DD6"/>
    <w:rsid w:val="00B97DF9"/>
    <w:rsid w:val="00B97E43"/>
    <w:rsid w:val="00BA033F"/>
    <w:rsid w:val="00BA04AF"/>
    <w:rsid w:val="00BA0954"/>
    <w:rsid w:val="00BA098A"/>
    <w:rsid w:val="00BA0BBA"/>
    <w:rsid w:val="00BA0CCB"/>
    <w:rsid w:val="00BA0EC0"/>
    <w:rsid w:val="00BA0F34"/>
    <w:rsid w:val="00BA112B"/>
    <w:rsid w:val="00BA1461"/>
    <w:rsid w:val="00BA16B3"/>
    <w:rsid w:val="00BA1B44"/>
    <w:rsid w:val="00BA1BC0"/>
    <w:rsid w:val="00BA1D2A"/>
    <w:rsid w:val="00BA1DAF"/>
    <w:rsid w:val="00BA1F4C"/>
    <w:rsid w:val="00BA202A"/>
    <w:rsid w:val="00BA229D"/>
    <w:rsid w:val="00BA22DA"/>
    <w:rsid w:val="00BA24CE"/>
    <w:rsid w:val="00BA26E3"/>
    <w:rsid w:val="00BA2AF8"/>
    <w:rsid w:val="00BA2D95"/>
    <w:rsid w:val="00BA2ED7"/>
    <w:rsid w:val="00BA34B1"/>
    <w:rsid w:val="00BA3564"/>
    <w:rsid w:val="00BA35A4"/>
    <w:rsid w:val="00BA374F"/>
    <w:rsid w:val="00BA3E2E"/>
    <w:rsid w:val="00BA3F09"/>
    <w:rsid w:val="00BA3F42"/>
    <w:rsid w:val="00BA4048"/>
    <w:rsid w:val="00BA471C"/>
    <w:rsid w:val="00BA499D"/>
    <w:rsid w:val="00BA49E9"/>
    <w:rsid w:val="00BA4B04"/>
    <w:rsid w:val="00BA4D82"/>
    <w:rsid w:val="00BA57EE"/>
    <w:rsid w:val="00BA5875"/>
    <w:rsid w:val="00BA5EA3"/>
    <w:rsid w:val="00BA5EF7"/>
    <w:rsid w:val="00BA5F0E"/>
    <w:rsid w:val="00BA6333"/>
    <w:rsid w:val="00BA63F6"/>
    <w:rsid w:val="00BA69D5"/>
    <w:rsid w:val="00BA6A83"/>
    <w:rsid w:val="00BA6D22"/>
    <w:rsid w:val="00BA7184"/>
    <w:rsid w:val="00BA7379"/>
    <w:rsid w:val="00BA7566"/>
    <w:rsid w:val="00BA787C"/>
    <w:rsid w:val="00BA79BB"/>
    <w:rsid w:val="00BA79BC"/>
    <w:rsid w:val="00BA79E8"/>
    <w:rsid w:val="00BA7CB3"/>
    <w:rsid w:val="00BA7F29"/>
    <w:rsid w:val="00BB07B1"/>
    <w:rsid w:val="00BB0A99"/>
    <w:rsid w:val="00BB0B05"/>
    <w:rsid w:val="00BB0C18"/>
    <w:rsid w:val="00BB0E1C"/>
    <w:rsid w:val="00BB0F61"/>
    <w:rsid w:val="00BB1389"/>
    <w:rsid w:val="00BB1426"/>
    <w:rsid w:val="00BB1931"/>
    <w:rsid w:val="00BB1B85"/>
    <w:rsid w:val="00BB1CF1"/>
    <w:rsid w:val="00BB1F2D"/>
    <w:rsid w:val="00BB20F6"/>
    <w:rsid w:val="00BB22CA"/>
    <w:rsid w:val="00BB234F"/>
    <w:rsid w:val="00BB23F5"/>
    <w:rsid w:val="00BB2561"/>
    <w:rsid w:val="00BB28C7"/>
    <w:rsid w:val="00BB2C8C"/>
    <w:rsid w:val="00BB2F29"/>
    <w:rsid w:val="00BB30D9"/>
    <w:rsid w:val="00BB3415"/>
    <w:rsid w:val="00BB3909"/>
    <w:rsid w:val="00BB48CA"/>
    <w:rsid w:val="00BB4BF1"/>
    <w:rsid w:val="00BB4F7E"/>
    <w:rsid w:val="00BB5074"/>
    <w:rsid w:val="00BB50B0"/>
    <w:rsid w:val="00BB5240"/>
    <w:rsid w:val="00BB528D"/>
    <w:rsid w:val="00BB52F8"/>
    <w:rsid w:val="00BB55B3"/>
    <w:rsid w:val="00BB62DF"/>
    <w:rsid w:val="00BB6331"/>
    <w:rsid w:val="00BB6399"/>
    <w:rsid w:val="00BB64D1"/>
    <w:rsid w:val="00BB6649"/>
    <w:rsid w:val="00BB66E7"/>
    <w:rsid w:val="00BB68B1"/>
    <w:rsid w:val="00BB6B7B"/>
    <w:rsid w:val="00BB6BD2"/>
    <w:rsid w:val="00BB6D92"/>
    <w:rsid w:val="00BB6DCB"/>
    <w:rsid w:val="00BB6E95"/>
    <w:rsid w:val="00BB6EC4"/>
    <w:rsid w:val="00BB6FFD"/>
    <w:rsid w:val="00BB71D0"/>
    <w:rsid w:val="00BB71FB"/>
    <w:rsid w:val="00BB7512"/>
    <w:rsid w:val="00BB7535"/>
    <w:rsid w:val="00BB769F"/>
    <w:rsid w:val="00BB7A64"/>
    <w:rsid w:val="00BB7B67"/>
    <w:rsid w:val="00BB7D90"/>
    <w:rsid w:val="00BB7DBB"/>
    <w:rsid w:val="00BC00AD"/>
    <w:rsid w:val="00BC029A"/>
    <w:rsid w:val="00BC0400"/>
    <w:rsid w:val="00BC0832"/>
    <w:rsid w:val="00BC0B98"/>
    <w:rsid w:val="00BC0EFC"/>
    <w:rsid w:val="00BC125B"/>
    <w:rsid w:val="00BC158A"/>
    <w:rsid w:val="00BC182E"/>
    <w:rsid w:val="00BC1843"/>
    <w:rsid w:val="00BC1926"/>
    <w:rsid w:val="00BC1A83"/>
    <w:rsid w:val="00BC1C20"/>
    <w:rsid w:val="00BC1C73"/>
    <w:rsid w:val="00BC1CDA"/>
    <w:rsid w:val="00BC1D28"/>
    <w:rsid w:val="00BC1FC3"/>
    <w:rsid w:val="00BC1FCB"/>
    <w:rsid w:val="00BC20B2"/>
    <w:rsid w:val="00BC20DC"/>
    <w:rsid w:val="00BC2459"/>
    <w:rsid w:val="00BC2846"/>
    <w:rsid w:val="00BC28F6"/>
    <w:rsid w:val="00BC2913"/>
    <w:rsid w:val="00BC2BF1"/>
    <w:rsid w:val="00BC2C2B"/>
    <w:rsid w:val="00BC2C7E"/>
    <w:rsid w:val="00BC2DAF"/>
    <w:rsid w:val="00BC2E8C"/>
    <w:rsid w:val="00BC2FD3"/>
    <w:rsid w:val="00BC324A"/>
    <w:rsid w:val="00BC390F"/>
    <w:rsid w:val="00BC3ADB"/>
    <w:rsid w:val="00BC3B09"/>
    <w:rsid w:val="00BC3F20"/>
    <w:rsid w:val="00BC3F66"/>
    <w:rsid w:val="00BC440C"/>
    <w:rsid w:val="00BC4795"/>
    <w:rsid w:val="00BC47A3"/>
    <w:rsid w:val="00BC47FA"/>
    <w:rsid w:val="00BC48AE"/>
    <w:rsid w:val="00BC4A0D"/>
    <w:rsid w:val="00BC4A9E"/>
    <w:rsid w:val="00BC553D"/>
    <w:rsid w:val="00BC5717"/>
    <w:rsid w:val="00BC5799"/>
    <w:rsid w:val="00BC5919"/>
    <w:rsid w:val="00BC597A"/>
    <w:rsid w:val="00BC5981"/>
    <w:rsid w:val="00BC59E9"/>
    <w:rsid w:val="00BC5A4C"/>
    <w:rsid w:val="00BC5A75"/>
    <w:rsid w:val="00BC618E"/>
    <w:rsid w:val="00BC6235"/>
    <w:rsid w:val="00BC647A"/>
    <w:rsid w:val="00BC6974"/>
    <w:rsid w:val="00BC697B"/>
    <w:rsid w:val="00BC6A70"/>
    <w:rsid w:val="00BC6BAC"/>
    <w:rsid w:val="00BC6C00"/>
    <w:rsid w:val="00BC6D13"/>
    <w:rsid w:val="00BC6E31"/>
    <w:rsid w:val="00BC7233"/>
    <w:rsid w:val="00BC735B"/>
    <w:rsid w:val="00BC7370"/>
    <w:rsid w:val="00BC753B"/>
    <w:rsid w:val="00BC76A2"/>
    <w:rsid w:val="00BC76B9"/>
    <w:rsid w:val="00BC78C5"/>
    <w:rsid w:val="00BC7BBB"/>
    <w:rsid w:val="00BC7F61"/>
    <w:rsid w:val="00BD0120"/>
    <w:rsid w:val="00BD0230"/>
    <w:rsid w:val="00BD031F"/>
    <w:rsid w:val="00BD04CC"/>
    <w:rsid w:val="00BD0514"/>
    <w:rsid w:val="00BD0837"/>
    <w:rsid w:val="00BD0A66"/>
    <w:rsid w:val="00BD0C6D"/>
    <w:rsid w:val="00BD0D8E"/>
    <w:rsid w:val="00BD1AA8"/>
    <w:rsid w:val="00BD1D63"/>
    <w:rsid w:val="00BD2053"/>
    <w:rsid w:val="00BD2083"/>
    <w:rsid w:val="00BD228F"/>
    <w:rsid w:val="00BD2298"/>
    <w:rsid w:val="00BD283F"/>
    <w:rsid w:val="00BD2DB5"/>
    <w:rsid w:val="00BD2F25"/>
    <w:rsid w:val="00BD2F2E"/>
    <w:rsid w:val="00BD3097"/>
    <w:rsid w:val="00BD367F"/>
    <w:rsid w:val="00BD39DE"/>
    <w:rsid w:val="00BD3BDD"/>
    <w:rsid w:val="00BD3DEC"/>
    <w:rsid w:val="00BD3FAE"/>
    <w:rsid w:val="00BD40F3"/>
    <w:rsid w:val="00BD4102"/>
    <w:rsid w:val="00BD429C"/>
    <w:rsid w:val="00BD431C"/>
    <w:rsid w:val="00BD4512"/>
    <w:rsid w:val="00BD45E6"/>
    <w:rsid w:val="00BD4846"/>
    <w:rsid w:val="00BD48AA"/>
    <w:rsid w:val="00BD4B25"/>
    <w:rsid w:val="00BD4B41"/>
    <w:rsid w:val="00BD4B7A"/>
    <w:rsid w:val="00BD4CBB"/>
    <w:rsid w:val="00BD4E45"/>
    <w:rsid w:val="00BD52D6"/>
    <w:rsid w:val="00BD5768"/>
    <w:rsid w:val="00BD59C6"/>
    <w:rsid w:val="00BD5B7B"/>
    <w:rsid w:val="00BD5CFB"/>
    <w:rsid w:val="00BD5F48"/>
    <w:rsid w:val="00BD61C6"/>
    <w:rsid w:val="00BD625B"/>
    <w:rsid w:val="00BD68AE"/>
    <w:rsid w:val="00BD6B35"/>
    <w:rsid w:val="00BD6B84"/>
    <w:rsid w:val="00BD6CCB"/>
    <w:rsid w:val="00BD6CF7"/>
    <w:rsid w:val="00BD6F44"/>
    <w:rsid w:val="00BD7272"/>
    <w:rsid w:val="00BD74F9"/>
    <w:rsid w:val="00BD7A68"/>
    <w:rsid w:val="00BD7C6F"/>
    <w:rsid w:val="00BD7D9E"/>
    <w:rsid w:val="00BE00B6"/>
    <w:rsid w:val="00BE01DD"/>
    <w:rsid w:val="00BE0272"/>
    <w:rsid w:val="00BE0416"/>
    <w:rsid w:val="00BE06D9"/>
    <w:rsid w:val="00BE09B2"/>
    <w:rsid w:val="00BE0C46"/>
    <w:rsid w:val="00BE0E49"/>
    <w:rsid w:val="00BE0EF3"/>
    <w:rsid w:val="00BE1753"/>
    <w:rsid w:val="00BE1783"/>
    <w:rsid w:val="00BE1863"/>
    <w:rsid w:val="00BE189E"/>
    <w:rsid w:val="00BE1EA0"/>
    <w:rsid w:val="00BE1F7D"/>
    <w:rsid w:val="00BE21B0"/>
    <w:rsid w:val="00BE21E3"/>
    <w:rsid w:val="00BE23C5"/>
    <w:rsid w:val="00BE2801"/>
    <w:rsid w:val="00BE2989"/>
    <w:rsid w:val="00BE2A9B"/>
    <w:rsid w:val="00BE2ACC"/>
    <w:rsid w:val="00BE2B2C"/>
    <w:rsid w:val="00BE2B60"/>
    <w:rsid w:val="00BE3073"/>
    <w:rsid w:val="00BE341F"/>
    <w:rsid w:val="00BE347A"/>
    <w:rsid w:val="00BE3515"/>
    <w:rsid w:val="00BE37F9"/>
    <w:rsid w:val="00BE3836"/>
    <w:rsid w:val="00BE3A19"/>
    <w:rsid w:val="00BE3BE7"/>
    <w:rsid w:val="00BE3CB0"/>
    <w:rsid w:val="00BE4007"/>
    <w:rsid w:val="00BE4041"/>
    <w:rsid w:val="00BE406D"/>
    <w:rsid w:val="00BE418D"/>
    <w:rsid w:val="00BE44E5"/>
    <w:rsid w:val="00BE45CB"/>
    <w:rsid w:val="00BE4625"/>
    <w:rsid w:val="00BE468A"/>
    <w:rsid w:val="00BE46D0"/>
    <w:rsid w:val="00BE471F"/>
    <w:rsid w:val="00BE480C"/>
    <w:rsid w:val="00BE4813"/>
    <w:rsid w:val="00BE4A78"/>
    <w:rsid w:val="00BE4BF5"/>
    <w:rsid w:val="00BE4D2B"/>
    <w:rsid w:val="00BE4DC5"/>
    <w:rsid w:val="00BE5021"/>
    <w:rsid w:val="00BE5101"/>
    <w:rsid w:val="00BE51AD"/>
    <w:rsid w:val="00BE528C"/>
    <w:rsid w:val="00BE529A"/>
    <w:rsid w:val="00BE597D"/>
    <w:rsid w:val="00BE5C9F"/>
    <w:rsid w:val="00BE6452"/>
    <w:rsid w:val="00BE6AB0"/>
    <w:rsid w:val="00BE6CD1"/>
    <w:rsid w:val="00BE6E24"/>
    <w:rsid w:val="00BE6EDB"/>
    <w:rsid w:val="00BE6FBB"/>
    <w:rsid w:val="00BE73DC"/>
    <w:rsid w:val="00BE766D"/>
    <w:rsid w:val="00BE78CD"/>
    <w:rsid w:val="00BE7962"/>
    <w:rsid w:val="00BE7AA8"/>
    <w:rsid w:val="00BE7CCF"/>
    <w:rsid w:val="00BE7DA5"/>
    <w:rsid w:val="00BE7DE3"/>
    <w:rsid w:val="00BF0386"/>
    <w:rsid w:val="00BF0416"/>
    <w:rsid w:val="00BF04D8"/>
    <w:rsid w:val="00BF070A"/>
    <w:rsid w:val="00BF0AF4"/>
    <w:rsid w:val="00BF0C39"/>
    <w:rsid w:val="00BF1105"/>
    <w:rsid w:val="00BF135A"/>
    <w:rsid w:val="00BF156C"/>
    <w:rsid w:val="00BF157B"/>
    <w:rsid w:val="00BF16BC"/>
    <w:rsid w:val="00BF17FA"/>
    <w:rsid w:val="00BF18B6"/>
    <w:rsid w:val="00BF1A3F"/>
    <w:rsid w:val="00BF1F02"/>
    <w:rsid w:val="00BF2197"/>
    <w:rsid w:val="00BF24D2"/>
    <w:rsid w:val="00BF271D"/>
    <w:rsid w:val="00BF277E"/>
    <w:rsid w:val="00BF28A8"/>
    <w:rsid w:val="00BF2AB4"/>
    <w:rsid w:val="00BF2B89"/>
    <w:rsid w:val="00BF2DB9"/>
    <w:rsid w:val="00BF3134"/>
    <w:rsid w:val="00BF34DC"/>
    <w:rsid w:val="00BF3741"/>
    <w:rsid w:val="00BF39F5"/>
    <w:rsid w:val="00BF3A19"/>
    <w:rsid w:val="00BF42AA"/>
    <w:rsid w:val="00BF43CD"/>
    <w:rsid w:val="00BF4421"/>
    <w:rsid w:val="00BF4B68"/>
    <w:rsid w:val="00BF4F2D"/>
    <w:rsid w:val="00BF50ED"/>
    <w:rsid w:val="00BF5314"/>
    <w:rsid w:val="00BF536B"/>
    <w:rsid w:val="00BF5CAD"/>
    <w:rsid w:val="00BF5F2B"/>
    <w:rsid w:val="00BF5F3E"/>
    <w:rsid w:val="00BF5F8F"/>
    <w:rsid w:val="00BF6071"/>
    <w:rsid w:val="00BF62C2"/>
    <w:rsid w:val="00BF6AB7"/>
    <w:rsid w:val="00BF6C4E"/>
    <w:rsid w:val="00BF6DC8"/>
    <w:rsid w:val="00BF6F51"/>
    <w:rsid w:val="00BF6FAA"/>
    <w:rsid w:val="00BF7152"/>
    <w:rsid w:val="00BF72A4"/>
    <w:rsid w:val="00BF72D2"/>
    <w:rsid w:val="00BF7456"/>
    <w:rsid w:val="00BF7465"/>
    <w:rsid w:val="00BF754F"/>
    <w:rsid w:val="00BF75BF"/>
    <w:rsid w:val="00BF7771"/>
    <w:rsid w:val="00BF79D8"/>
    <w:rsid w:val="00BF7DAF"/>
    <w:rsid w:val="00C00189"/>
    <w:rsid w:val="00C00330"/>
    <w:rsid w:val="00C0061F"/>
    <w:rsid w:val="00C0080E"/>
    <w:rsid w:val="00C00B9C"/>
    <w:rsid w:val="00C00CDB"/>
    <w:rsid w:val="00C00DB2"/>
    <w:rsid w:val="00C014FF"/>
    <w:rsid w:val="00C0154C"/>
    <w:rsid w:val="00C01881"/>
    <w:rsid w:val="00C01DFF"/>
    <w:rsid w:val="00C02197"/>
    <w:rsid w:val="00C0226E"/>
    <w:rsid w:val="00C0244D"/>
    <w:rsid w:val="00C024E4"/>
    <w:rsid w:val="00C0279D"/>
    <w:rsid w:val="00C0329A"/>
    <w:rsid w:val="00C038B5"/>
    <w:rsid w:val="00C03961"/>
    <w:rsid w:val="00C0398A"/>
    <w:rsid w:val="00C03B56"/>
    <w:rsid w:val="00C03BA4"/>
    <w:rsid w:val="00C03C7D"/>
    <w:rsid w:val="00C03D61"/>
    <w:rsid w:val="00C03DC0"/>
    <w:rsid w:val="00C04138"/>
    <w:rsid w:val="00C0421B"/>
    <w:rsid w:val="00C042F6"/>
    <w:rsid w:val="00C0436F"/>
    <w:rsid w:val="00C04C10"/>
    <w:rsid w:val="00C04D33"/>
    <w:rsid w:val="00C04EC6"/>
    <w:rsid w:val="00C051A4"/>
    <w:rsid w:val="00C052C8"/>
    <w:rsid w:val="00C05DB3"/>
    <w:rsid w:val="00C05EDB"/>
    <w:rsid w:val="00C0626F"/>
    <w:rsid w:val="00C0638A"/>
    <w:rsid w:val="00C06CA7"/>
    <w:rsid w:val="00C06F1A"/>
    <w:rsid w:val="00C0702E"/>
    <w:rsid w:val="00C0737B"/>
    <w:rsid w:val="00C07410"/>
    <w:rsid w:val="00C07559"/>
    <w:rsid w:val="00C077B3"/>
    <w:rsid w:val="00C07FB5"/>
    <w:rsid w:val="00C101FF"/>
    <w:rsid w:val="00C103C3"/>
    <w:rsid w:val="00C103FA"/>
    <w:rsid w:val="00C10458"/>
    <w:rsid w:val="00C1066B"/>
    <w:rsid w:val="00C10731"/>
    <w:rsid w:val="00C10997"/>
    <w:rsid w:val="00C11331"/>
    <w:rsid w:val="00C11B37"/>
    <w:rsid w:val="00C11F5F"/>
    <w:rsid w:val="00C1257D"/>
    <w:rsid w:val="00C125B9"/>
    <w:rsid w:val="00C12771"/>
    <w:rsid w:val="00C1293C"/>
    <w:rsid w:val="00C133D7"/>
    <w:rsid w:val="00C13407"/>
    <w:rsid w:val="00C13461"/>
    <w:rsid w:val="00C1348A"/>
    <w:rsid w:val="00C134EE"/>
    <w:rsid w:val="00C1359C"/>
    <w:rsid w:val="00C1385E"/>
    <w:rsid w:val="00C139AE"/>
    <w:rsid w:val="00C13C20"/>
    <w:rsid w:val="00C13D85"/>
    <w:rsid w:val="00C13D94"/>
    <w:rsid w:val="00C14491"/>
    <w:rsid w:val="00C14686"/>
    <w:rsid w:val="00C147D7"/>
    <w:rsid w:val="00C1495B"/>
    <w:rsid w:val="00C14B2B"/>
    <w:rsid w:val="00C14B53"/>
    <w:rsid w:val="00C14EB1"/>
    <w:rsid w:val="00C15350"/>
    <w:rsid w:val="00C15400"/>
    <w:rsid w:val="00C15720"/>
    <w:rsid w:val="00C15B52"/>
    <w:rsid w:val="00C15C75"/>
    <w:rsid w:val="00C15CF5"/>
    <w:rsid w:val="00C15D10"/>
    <w:rsid w:val="00C15E71"/>
    <w:rsid w:val="00C15EED"/>
    <w:rsid w:val="00C163AD"/>
    <w:rsid w:val="00C1646C"/>
    <w:rsid w:val="00C16489"/>
    <w:rsid w:val="00C166BB"/>
    <w:rsid w:val="00C16F18"/>
    <w:rsid w:val="00C17167"/>
    <w:rsid w:val="00C174E7"/>
    <w:rsid w:val="00C176F2"/>
    <w:rsid w:val="00C17811"/>
    <w:rsid w:val="00C1798C"/>
    <w:rsid w:val="00C17C1D"/>
    <w:rsid w:val="00C17C5B"/>
    <w:rsid w:val="00C17D9E"/>
    <w:rsid w:val="00C17EBB"/>
    <w:rsid w:val="00C17F51"/>
    <w:rsid w:val="00C20221"/>
    <w:rsid w:val="00C20296"/>
    <w:rsid w:val="00C20324"/>
    <w:rsid w:val="00C204F4"/>
    <w:rsid w:val="00C205F1"/>
    <w:rsid w:val="00C20785"/>
    <w:rsid w:val="00C20803"/>
    <w:rsid w:val="00C20A8F"/>
    <w:rsid w:val="00C20C5D"/>
    <w:rsid w:val="00C20F74"/>
    <w:rsid w:val="00C21082"/>
    <w:rsid w:val="00C21749"/>
    <w:rsid w:val="00C21B85"/>
    <w:rsid w:val="00C21F39"/>
    <w:rsid w:val="00C220A8"/>
    <w:rsid w:val="00C22117"/>
    <w:rsid w:val="00C221F5"/>
    <w:rsid w:val="00C22481"/>
    <w:rsid w:val="00C2271E"/>
    <w:rsid w:val="00C22991"/>
    <w:rsid w:val="00C22D88"/>
    <w:rsid w:val="00C22D89"/>
    <w:rsid w:val="00C22DB3"/>
    <w:rsid w:val="00C23292"/>
    <w:rsid w:val="00C2350B"/>
    <w:rsid w:val="00C236D1"/>
    <w:rsid w:val="00C236E4"/>
    <w:rsid w:val="00C23842"/>
    <w:rsid w:val="00C23B4E"/>
    <w:rsid w:val="00C23B84"/>
    <w:rsid w:val="00C23F35"/>
    <w:rsid w:val="00C2451B"/>
    <w:rsid w:val="00C247B1"/>
    <w:rsid w:val="00C247B2"/>
    <w:rsid w:val="00C247E9"/>
    <w:rsid w:val="00C24829"/>
    <w:rsid w:val="00C24B22"/>
    <w:rsid w:val="00C24BF6"/>
    <w:rsid w:val="00C24C3D"/>
    <w:rsid w:val="00C24EE1"/>
    <w:rsid w:val="00C24FF1"/>
    <w:rsid w:val="00C2503B"/>
    <w:rsid w:val="00C2561E"/>
    <w:rsid w:val="00C25673"/>
    <w:rsid w:val="00C25885"/>
    <w:rsid w:val="00C25C19"/>
    <w:rsid w:val="00C260A4"/>
    <w:rsid w:val="00C2655E"/>
    <w:rsid w:val="00C265B9"/>
    <w:rsid w:val="00C26711"/>
    <w:rsid w:val="00C26D97"/>
    <w:rsid w:val="00C26E69"/>
    <w:rsid w:val="00C2777F"/>
    <w:rsid w:val="00C27A9D"/>
    <w:rsid w:val="00C27BA0"/>
    <w:rsid w:val="00C27C49"/>
    <w:rsid w:val="00C27DAD"/>
    <w:rsid w:val="00C27E7B"/>
    <w:rsid w:val="00C300EC"/>
    <w:rsid w:val="00C30195"/>
    <w:rsid w:val="00C3020D"/>
    <w:rsid w:val="00C302F6"/>
    <w:rsid w:val="00C304D1"/>
    <w:rsid w:val="00C30926"/>
    <w:rsid w:val="00C30932"/>
    <w:rsid w:val="00C30950"/>
    <w:rsid w:val="00C309F0"/>
    <w:rsid w:val="00C30D6B"/>
    <w:rsid w:val="00C30ED3"/>
    <w:rsid w:val="00C3103F"/>
    <w:rsid w:val="00C310F6"/>
    <w:rsid w:val="00C3121D"/>
    <w:rsid w:val="00C3159C"/>
    <w:rsid w:val="00C3181C"/>
    <w:rsid w:val="00C318E0"/>
    <w:rsid w:val="00C319A7"/>
    <w:rsid w:val="00C31C17"/>
    <w:rsid w:val="00C31C2B"/>
    <w:rsid w:val="00C31ECE"/>
    <w:rsid w:val="00C31F0E"/>
    <w:rsid w:val="00C31F2F"/>
    <w:rsid w:val="00C3292F"/>
    <w:rsid w:val="00C32D0B"/>
    <w:rsid w:val="00C32D65"/>
    <w:rsid w:val="00C32DB2"/>
    <w:rsid w:val="00C3333F"/>
    <w:rsid w:val="00C336BA"/>
    <w:rsid w:val="00C337FE"/>
    <w:rsid w:val="00C3385A"/>
    <w:rsid w:val="00C3403D"/>
    <w:rsid w:val="00C3493D"/>
    <w:rsid w:val="00C34B42"/>
    <w:rsid w:val="00C34C1E"/>
    <w:rsid w:val="00C34E33"/>
    <w:rsid w:val="00C352F9"/>
    <w:rsid w:val="00C3541D"/>
    <w:rsid w:val="00C35940"/>
    <w:rsid w:val="00C35A23"/>
    <w:rsid w:val="00C35A2C"/>
    <w:rsid w:val="00C35AC5"/>
    <w:rsid w:val="00C35E1B"/>
    <w:rsid w:val="00C36053"/>
    <w:rsid w:val="00C3606F"/>
    <w:rsid w:val="00C3615C"/>
    <w:rsid w:val="00C36225"/>
    <w:rsid w:val="00C364DC"/>
    <w:rsid w:val="00C36747"/>
    <w:rsid w:val="00C36888"/>
    <w:rsid w:val="00C36E16"/>
    <w:rsid w:val="00C36F6A"/>
    <w:rsid w:val="00C36F6F"/>
    <w:rsid w:val="00C3701C"/>
    <w:rsid w:val="00C373B3"/>
    <w:rsid w:val="00C3767A"/>
    <w:rsid w:val="00C379CB"/>
    <w:rsid w:val="00C37B59"/>
    <w:rsid w:val="00C37E4C"/>
    <w:rsid w:val="00C400C5"/>
    <w:rsid w:val="00C400EE"/>
    <w:rsid w:val="00C40409"/>
    <w:rsid w:val="00C40469"/>
    <w:rsid w:val="00C406B5"/>
    <w:rsid w:val="00C4095E"/>
    <w:rsid w:val="00C40C82"/>
    <w:rsid w:val="00C4100A"/>
    <w:rsid w:val="00C41243"/>
    <w:rsid w:val="00C41402"/>
    <w:rsid w:val="00C41B76"/>
    <w:rsid w:val="00C41FEF"/>
    <w:rsid w:val="00C4253C"/>
    <w:rsid w:val="00C4274C"/>
    <w:rsid w:val="00C42B83"/>
    <w:rsid w:val="00C42EC3"/>
    <w:rsid w:val="00C43007"/>
    <w:rsid w:val="00C432E9"/>
    <w:rsid w:val="00C433BC"/>
    <w:rsid w:val="00C43420"/>
    <w:rsid w:val="00C436A5"/>
    <w:rsid w:val="00C436E2"/>
    <w:rsid w:val="00C437D2"/>
    <w:rsid w:val="00C43882"/>
    <w:rsid w:val="00C43D9D"/>
    <w:rsid w:val="00C43EE8"/>
    <w:rsid w:val="00C43FF9"/>
    <w:rsid w:val="00C44022"/>
    <w:rsid w:val="00C44142"/>
    <w:rsid w:val="00C4415C"/>
    <w:rsid w:val="00C44343"/>
    <w:rsid w:val="00C44887"/>
    <w:rsid w:val="00C44C57"/>
    <w:rsid w:val="00C44F36"/>
    <w:rsid w:val="00C450B7"/>
    <w:rsid w:val="00C45148"/>
    <w:rsid w:val="00C45928"/>
    <w:rsid w:val="00C45965"/>
    <w:rsid w:val="00C45ABC"/>
    <w:rsid w:val="00C45C58"/>
    <w:rsid w:val="00C4612E"/>
    <w:rsid w:val="00C462AB"/>
    <w:rsid w:val="00C4645A"/>
    <w:rsid w:val="00C464E3"/>
    <w:rsid w:val="00C46537"/>
    <w:rsid w:val="00C46A21"/>
    <w:rsid w:val="00C46AA3"/>
    <w:rsid w:val="00C46B93"/>
    <w:rsid w:val="00C46E5E"/>
    <w:rsid w:val="00C46F62"/>
    <w:rsid w:val="00C4717C"/>
    <w:rsid w:val="00C47461"/>
    <w:rsid w:val="00C47775"/>
    <w:rsid w:val="00C47DE6"/>
    <w:rsid w:val="00C50155"/>
    <w:rsid w:val="00C50333"/>
    <w:rsid w:val="00C50A3A"/>
    <w:rsid w:val="00C50C2A"/>
    <w:rsid w:val="00C50EC4"/>
    <w:rsid w:val="00C51349"/>
    <w:rsid w:val="00C517E0"/>
    <w:rsid w:val="00C51E21"/>
    <w:rsid w:val="00C51F12"/>
    <w:rsid w:val="00C52014"/>
    <w:rsid w:val="00C52029"/>
    <w:rsid w:val="00C52100"/>
    <w:rsid w:val="00C52153"/>
    <w:rsid w:val="00C5228F"/>
    <w:rsid w:val="00C525E8"/>
    <w:rsid w:val="00C52A31"/>
    <w:rsid w:val="00C52A47"/>
    <w:rsid w:val="00C52AF1"/>
    <w:rsid w:val="00C52B11"/>
    <w:rsid w:val="00C52D73"/>
    <w:rsid w:val="00C535DC"/>
    <w:rsid w:val="00C53C47"/>
    <w:rsid w:val="00C53C94"/>
    <w:rsid w:val="00C53CF2"/>
    <w:rsid w:val="00C53DAF"/>
    <w:rsid w:val="00C53DE1"/>
    <w:rsid w:val="00C53E1A"/>
    <w:rsid w:val="00C53E36"/>
    <w:rsid w:val="00C53FF6"/>
    <w:rsid w:val="00C54003"/>
    <w:rsid w:val="00C54016"/>
    <w:rsid w:val="00C540B2"/>
    <w:rsid w:val="00C540B8"/>
    <w:rsid w:val="00C54157"/>
    <w:rsid w:val="00C54227"/>
    <w:rsid w:val="00C54469"/>
    <w:rsid w:val="00C549DA"/>
    <w:rsid w:val="00C54B69"/>
    <w:rsid w:val="00C54FF9"/>
    <w:rsid w:val="00C55179"/>
    <w:rsid w:val="00C551CC"/>
    <w:rsid w:val="00C5528F"/>
    <w:rsid w:val="00C55438"/>
    <w:rsid w:val="00C5545E"/>
    <w:rsid w:val="00C5547C"/>
    <w:rsid w:val="00C554B5"/>
    <w:rsid w:val="00C55542"/>
    <w:rsid w:val="00C561EE"/>
    <w:rsid w:val="00C5641D"/>
    <w:rsid w:val="00C5643D"/>
    <w:rsid w:val="00C5647F"/>
    <w:rsid w:val="00C567A6"/>
    <w:rsid w:val="00C567B1"/>
    <w:rsid w:val="00C56A7B"/>
    <w:rsid w:val="00C56BA6"/>
    <w:rsid w:val="00C56C63"/>
    <w:rsid w:val="00C57231"/>
    <w:rsid w:val="00C57243"/>
    <w:rsid w:val="00C57339"/>
    <w:rsid w:val="00C57375"/>
    <w:rsid w:val="00C57604"/>
    <w:rsid w:val="00C57776"/>
    <w:rsid w:val="00C5779E"/>
    <w:rsid w:val="00C57845"/>
    <w:rsid w:val="00C57E87"/>
    <w:rsid w:val="00C57E96"/>
    <w:rsid w:val="00C57FD3"/>
    <w:rsid w:val="00C600C1"/>
    <w:rsid w:val="00C6057A"/>
    <w:rsid w:val="00C6076F"/>
    <w:rsid w:val="00C607AD"/>
    <w:rsid w:val="00C6090A"/>
    <w:rsid w:val="00C60B7D"/>
    <w:rsid w:val="00C60BA5"/>
    <w:rsid w:val="00C60E4F"/>
    <w:rsid w:val="00C60EDF"/>
    <w:rsid w:val="00C60FF3"/>
    <w:rsid w:val="00C61073"/>
    <w:rsid w:val="00C61117"/>
    <w:rsid w:val="00C611C0"/>
    <w:rsid w:val="00C61428"/>
    <w:rsid w:val="00C618A9"/>
    <w:rsid w:val="00C6192C"/>
    <w:rsid w:val="00C61B40"/>
    <w:rsid w:val="00C61D4A"/>
    <w:rsid w:val="00C620B7"/>
    <w:rsid w:val="00C6213A"/>
    <w:rsid w:val="00C6236F"/>
    <w:rsid w:val="00C6240D"/>
    <w:rsid w:val="00C62D34"/>
    <w:rsid w:val="00C62FA8"/>
    <w:rsid w:val="00C62FED"/>
    <w:rsid w:val="00C6307B"/>
    <w:rsid w:val="00C6319C"/>
    <w:rsid w:val="00C63282"/>
    <w:rsid w:val="00C632D2"/>
    <w:rsid w:val="00C63347"/>
    <w:rsid w:val="00C633DA"/>
    <w:rsid w:val="00C6370D"/>
    <w:rsid w:val="00C63A05"/>
    <w:rsid w:val="00C63BA6"/>
    <w:rsid w:val="00C642C1"/>
    <w:rsid w:val="00C6438B"/>
    <w:rsid w:val="00C6458C"/>
    <w:rsid w:val="00C64615"/>
    <w:rsid w:val="00C64F36"/>
    <w:rsid w:val="00C65595"/>
    <w:rsid w:val="00C65B91"/>
    <w:rsid w:val="00C65C72"/>
    <w:rsid w:val="00C65D41"/>
    <w:rsid w:val="00C65F3C"/>
    <w:rsid w:val="00C660E3"/>
    <w:rsid w:val="00C66472"/>
    <w:rsid w:val="00C66507"/>
    <w:rsid w:val="00C6690F"/>
    <w:rsid w:val="00C66C8D"/>
    <w:rsid w:val="00C67013"/>
    <w:rsid w:val="00C67278"/>
    <w:rsid w:val="00C6774C"/>
    <w:rsid w:val="00C677F9"/>
    <w:rsid w:val="00C679AF"/>
    <w:rsid w:val="00C67C0A"/>
    <w:rsid w:val="00C67C38"/>
    <w:rsid w:val="00C70031"/>
    <w:rsid w:val="00C70502"/>
    <w:rsid w:val="00C706E8"/>
    <w:rsid w:val="00C70951"/>
    <w:rsid w:val="00C70A5B"/>
    <w:rsid w:val="00C7118D"/>
    <w:rsid w:val="00C711BF"/>
    <w:rsid w:val="00C711C7"/>
    <w:rsid w:val="00C7125B"/>
    <w:rsid w:val="00C7138A"/>
    <w:rsid w:val="00C7153B"/>
    <w:rsid w:val="00C71CC2"/>
    <w:rsid w:val="00C71D4C"/>
    <w:rsid w:val="00C71D9B"/>
    <w:rsid w:val="00C723E3"/>
    <w:rsid w:val="00C72660"/>
    <w:rsid w:val="00C72A5F"/>
    <w:rsid w:val="00C7306D"/>
    <w:rsid w:val="00C732D3"/>
    <w:rsid w:val="00C73C88"/>
    <w:rsid w:val="00C73CC9"/>
    <w:rsid w:val="00C73D51"/>
    <w:rsid w:val="00C73EC9"/>
    <w:rsid w:val="00C74192"/>
    <w:rsid w:val="00C741B3"/>
    <w:rsid w:val="00C74532"/>
    <w:rsid w:val="00C74E22"/>
    <w:rsid w:val="00C750B6"/>
    <w:rsid w:val="00C750C8"/>
    <w:rsid w:val="00C752CB"/>
    <w:rsid w:val="00C75398"/>
    <w:rsid w:val="00C7561F"/>
    <w:rsid w:val="00C75932"/>
    <w:rsid w:val="00C75B06"/>
    <w:rsid w:val="00C75CC0"/>
    <w:rsid w:val="00C75CC4"/>
    <w:rsid w:val="00C75CE2"/>
    <w:rsid w:val="00C75D50"/>
    <w:rsid w:val="00C75E9F"/>
    <w:rsid w:val="00C75EC8"/>
    <w:rsid w:val="00C75F34"/>
    <w:rsid w:val="00C75FCD"/>
    <w:rsid w:val="00C761EB"/>
    <w:rsid w:val="00C766C8"/>
    <w:rsid w:val="00C76AFF"/>
    <w:rsid w:val="00C76D25"/>
    <w:rsid w:val="00C76D49"/>
    <w:rsid w:val="00C76D94"/>
    <w:rsid w:val="00C76EA5"/>
    <w:rsid w:val="00C7711E"/>
    <w:rsid w:val="00C772FA"/>
    <w:rsid w:val="00C7749A"/>
    <w:rsid w:val="00C774BB"/>
    <w:rsid w:val="00C7783D"/>
    <w:rsid w:val="00C77E97"/>
    <w:rsid w:val="00C77F52"/>
    <w:rsid w:val="00C77FEC"/>
    <w:rsid w:val="00C80143"/>
    <w:rsid w:val="00C80282"/>
    <w:rsid w:val="00C8039E"/>
    <w:rsid w:val="00C8054D"/>
    <w:rsid w:val="00C8057E"/>
    <w:rsid w:val="00C80867"/>
    <w:rsid w:val="00C80A79"/>
    <w:rsid w:val="00C80DF2"/>
    <w:rsid w:val="00C80DFC"/>
    <w:rsid w:val="00C810DF"/>
    <w:rsid w:val="00C81113"/>
    <w:rsid w:val="00C81162"/>
    <w:rsid w:val="00C8117B"/>
    <w:rsid w:val="00C813F3"/>
    <w:rsid w:val="00C81473"/>
    <w:rsid w:val="00C81A41"/>
    <w:rsid w:val="00C81AA2"/>
    <w:rsid w:val="00C81B6F"/>
    <w:rsid w:val="00C8212F"/>
    <w:rsid w:val="00C8236C"/>
    <w:rsid w:val="00C82460"/>
    <w:rsid w:val="00C826F3"/>
    <w:rsid w:val="00C82815"/>
    <w:rsid w:val="00C82970"/>
    <w:rsid w:val="00C82B6B"/>
    <w:rsid w:val="00C82C95"/>
    <w:rsid w:val="00C82DB6"/>
    <w:rsid w:val="00C830ED"/>
    <w:rsid w:val="00C83173"/>
    <w:rsid w:val="00C83182"/>
    <w:rsid w:val="00C8322A"/>
    <w:rsid w:val="00C83351"/>
    <w:rsid w:val="00C83474"/>
    <w:rsid w:val="00C8347E"/>
    <w:rsid w:val="00C838C2"/>
    <w:rsid w:val="00C83AB4"/>
    <w:rsid w:val="00C83B53"/>
    <w:rsid w:val="00C83C64"/>
    <w:rsid w:val="00C83C6B"/>
    <w:rsid w:val="00C83CB4"/>
    <w:rsid w:val="00C83F7B"/>
    <w:rsid w:val="00C840A0"/>
    <w:rsid w:val="00C8419B"/>
    <w:rsid w:val="00C84269"/>
    <w:rsid w:val="00C8438A"/>
    <w:rsid w:val="00C843BA"/>
    <w:rsid w:val="00C8443D"/>
    <w:rsid w:val="00C847BA"/>
    <w:rsid w:val="00C8490B"/>
    <w:rsid w:val="00C84B07"/>
    <w:rsid w:val="00C84E31"/>
    <w:rsid w:val="00C84E92"/>
    <w:rsid w:val="00C85381"/>
    <w:rsid w:val="00C85812"/>
    <w:rsid w:val="00C85B00"/>
    <w:rsid w:val="00C85B53"/>
    <w:rsid w:val="00C85DDC"/>
    <w:rsid w:val="00C85F1A"/>
    <w:rsid w:val="00C862F7"/>
    <w:rsid w:val="00C8674D"/>
    <w:rsid w:val="00C87034"/>
    <w:rsid w:val="00C8713C"/>
    <w:rsid w:val="00C8716E"/>
    <w:rsid w:val="00C87293"/>
    <w:rsid w:val="00C873C3"/>
    <w:rsid w:val="00C87DBE"/>
    <w:rsid w:val="00C87F19"/>
    <w:rsid w:val="00C87FAA"/>
    <w:rsid w:val="00C90217"/>
    <w:rsid w:val="00C90264"/>
    <w:rsid w:val="00C9026D"/>
    <w:rsid w:val="00C905A9"/>
    <w:rsid w:val="00C9062C"/>
    <w:rsid w:val="00C907DA"/>
    <w:rsid w:val="00C90A0C"/>
    <w:rsid w:val="00C90B8B"/>
    <w:rsid w:val="00C90C6E"/>
    <w:rsid w:val="00C90CAB"/>
    <w:rsid w:val="00C90E8F"/>
    <w:rsid w:val="00C90F83"/>
    <w:rsid w:val="00C911D6"/>
    <w:rsid w:val="00C9128D"/>
    <w:rsid w:val="00C91327"/>
    <w:rsid w:val="00C91613"/>
    <w:rsid w:val="00C91AA5"/>
    <w:rsid w:val="00C91AD4"/>
    <w:rsid w:val="00C91C8B"/>
    <w:rsid w:val="00C91E52"/>
    <w:rsid w:val="00C91E7F"/>
    <w:rsid w:val="00C91F17"/>
    <w:rsid w:val="00C92270"/>
    <w:rsid w:val="00C922CB"/>
    <w:rsid w:val="00C929C0"/>
    <w:rsid w:val="00C92A65"/>
    <w:rsid w:val="00C92B72"/>
    <w:rsid w:val="00C92F14"/>
    <w:rsid w:val="00C92FF9"/>
    <w:rsid w:val="00C93119"/>
    <w:rsid w:val="00C932E2"/>
    <w:rsid w:val="00C93315"/>
    <w:rsid w:val="00C937C5"/>
    <w:rsid w:val="00C93A27"/>
    <w:rsid w:val="00C93C2F"/>
    <w:rsid w:val="00C9415A"/>
    <w:rsid w:val="00C9417A"/>
    <w:rsid w:val="00C94254"/>
    <w:rsid w:val="00C942BA"/>
    <w:rsid w:val="00C9434F"/>
    <w:rsid w:val="00C94436"/>
    <w:rsid w:val="00C945F3"/>
    <w:rsid w:val="00C948CF"/>
    <w:rsid w:val="00C94986"/>
    <w:rsid w:val="00C94B1A"/>
    <w:rsid w:val="00C94DFF"/>
    <w:rsid w:val="00C951D3"/>
    <w:rsid w:val="00C95241"/>
    <w:rsid w:val="00C9544F"/>
    <w:rsid w:val="00C956BE"/>
    <w:rsid w:val="00C95F29"/>
    <w:rsid w:val="00C96155"/>
    <w:rsid w:val="00C9615F"/>
    <w:rsid w:val="00C9621C"/>
    <w:rsid w:val="00C96304"/>
    <w:rsid w:val="00C96352"/>
    <w:rsid w:val="00C963AF"/>
    <w:rsid w:val="00C96508"/>
    <w:rsid w:val="00C9683F"/>
    <w:rsid w:val="00C968CF"/>
    <w:rsid w:val="00C96B20"/>
    <w:rsid w:val="00C96C90"/>
    <w:rsid w:val="00C97057"/>
    <w:rsid w:val="00C970A3"/>
    <w:rsid w:val="00C97580"/>
    <w:rsid w:val="00C9784C"/>
    <w:rsid w:val="00CA07A8"/>
    <w:rsid w:val="00CA0C38"/>
    <w:rsid w:val="00CA11AD"/>
    <w:rsid w:val="00CA1439"/>
    <w:rsid w:val="00CA148D"/>
    <w:rsid w:val="00CA14CB"/>
    <w:rsid w:val="00CA15A5"/>
    <w:rsid w:val="00CA15EC"/>
    <w:rsid w:val="00CA1734"/>
    <w:rsid w:val="00CA18D8"/>
    <w:rsid w:val="00CA1B42"/>
    <w:rsid w:val="00CA1BB0"/>
    <w:rsid w:val="00CA1C8C"/>
    <w:rsid w:val="00CA1DE1"/>
    <w:rsid w:val="00CA1FA7"/>
    <w:rsid w:val="00CA2067"/>
    <w:rsid w:val="00CA207B"/>
    <w:rsid w:val="00CA22D0"/>
    <w:rsid w:val="00CA231D"/>
    <w:rsid w:val="00CA2395"/>
    <w:rsid w:val="00CA2D3C"/>
    <w:rsid w:val="00CA30BA"/>
    <w:rsid w:val="00CA33BB"/>
    <w:rsid w:val="00CA3447"/>
    <w:rsid w:val="00CA3688"/>
    <w:rsid w:val="00CA3717"/>
    <w:rsid w:val="00CA37E8"/>
    <w:rsid w:val="00CA3E18"/>
    <w:rsid w:val="00CA3F3A"/>
    <w:rsid w:val="00CA42AD"/>
    <w:rsid w:val="00CA4371"/>
    <w:rsid w:val="00CA4519"/>
    <w:rsid w:val="00CA455E"/>
    <w:rsid w:val="00CA4700"/>
    <w:rsid w:val="00CA490B"/>
    <w:rsid w:val="00CA4A35"/>
    <w:rsid w:val="00CA4C47"/>
    <w:rsid w:val="00CA4CC3"/>
    <w:rsid w:val="00CA4EA8"/>
    <w:rsid w:val="00CA51AC"/>
    <w:rsid w:val="00CA51E3"/>
    <w:rsid w:val="00CA52D8"/>
    <w:rsid w:val="00CA5584"/>
    <w:rsid w:val="00CA5660"/>
    <w:rsid w:val="00CA569D"/>
    <w:rsid w:val="00CA5858"/>
    <w:rsid w:val="00CA5872"/>
    <w:rsid w:val="00CA5F95"/>
    <w:rsid w:val="00CA60DE"/>
    <w:rsid w:val="00CA61A6"/>
    <w:rsid w:val="00CA64A4"/>
    <w:rsid w:val="00CA6749"/>
    <w:rsid w:val="00CA6A47"/>
    <w:rsid w:val="00CA6D19"/>
    <w:rsid w:val="00CA7226"/>
    <w:rsid w:val="00CA7545"/>
    <w:rsid w:val="00CA7672"/>
    <w:rsid w:val="00CA7692"/>
    <w:rsid w:val="00CA79FA"/>
    <w:rsid w:val="00CB00B9"/>
    <w:rsid w:val="00CB02D0"/>
    <w:rsid w:val="00CB03FD"/>
    <w:rsid w:val="00CB0408"/>
    <w:rsid w:val="00CB04BE"/>
    <w:rsid w:val="00CB06E3"/>
    <w:rsid w:val="00CB0838"/>
    <w:rsid w:val="00CB0B56"/>
    <w:rsid w:val="00CB0C3A"/>
    <w:rsid w:val="00CB0D16"/>
    <w:rsid w:val="00CB0E57"/>
    <w:rsid w:val="00CB0E79"/>
    <w:rsid w:val="00CB0EF0"/>
    <w:rsid w:val="00CB0F24"/>
    <w:rsid w:val="00CB1083"/>
    <w:rsid w:val="00CB1138"/>
    <w:rsid w:val="00CB134E"/>
    <w:rsid w:val="00CB161C"/>
    <w:rsid w:val="00CB161E"/>
    <w:rsid w:val="00CB179E"/>
    <w:rsid w:val="00CB17B3"/>
    <w:rsid w:val="00CB1A5A"/>
    <w:rsid w:val="00CB1AE3"/>
    <w:rsid w:val="00CB1C38"/>
    <w:rsid w:val="00CB2078"/>
    <w:rsid w:val="00CB234D"/>
    <w:rsid w:val="00CB2561"/>
    <w:rsid w:val="00CB2633"/>
    <w:rsid w:val="00CB27A3"/>
    <w:rsid w:val="00CB2AB6"/>
    <w:rsid w:val="00CB2B24"/>
    <w:rsid w:val="00CB2B44"/>
    <w:rsid w:val="00CB2E22"/>
    <w:rsid w:val="00CB322D"/>
    <w:rsid w:val="00CB33B2"/>
    <w:rsid w:val="00CB3471"/>
    <w:rsid w:val="00CB34CE"/>
    <w:rsid w:val="00CB37AB"/>
    <w:rsid w:val="00CB3A65"/>
    <w:rsid w:val="00CB3A7D"/>
    <w:rsid w:val="00CB3A81"/>
    <w:rsid w:val="00CB3BAB"/>
    <w:rsid w:val="00CB3C83"/>
    <w:rsid w:val="00CB3FDE"/>
    <w:rsid w:val="00CB400B"/>
    <w:rsid w:val="00CB40EE"/>
    <w:rsid w:val="00CB4340"/>
    <w:rsid w:val="00CB4608"/>
    <w:rsid w:val="00CB46B5"/>
    <w:rsid w:val="00CB4BC1"/>
    <w:rsid w:val="00CB4DA7"/>
    <w:rsid w:val="00CB4FD8"/>
    <w:rsid w:val="00CB51BD"/>
    <w:rsid w:val="00CB5740"/>
    <w:rsid w:val="00CB5A60"/>
    <w:rsid w:val="00CB5B75"/>
    <w:rsid w:val="00CB5F85"/>
    <w:rsid w:val="00CB62C5"/>
    <w:rsid w:val="00CB62F7"/>
    <w:rsid w:val="00CB6794"/>
    <w:rsid w:val="00CB68BD"/>
    <w:rsid w:val="00CB6916"/>
    <w:rsid w:val="00CB6CA9"/>
    <w:rsid w:val="00CB72CC"/>
    <w:rsid w:val="00CB775F"/>
    <w:rsid w:val="00CB78A7"/>
    <w:rsid w:val="00CB7CF1"/>
    <w:rsid w:val="00CC01FD"/>
    <w:rsid w:val="00CC0416"/>
    <w:rsid w:val="00CC04A0"/>
    <w:rsid w:val="00CC075F"/>
    <w:rsid w:val="00CC0836"/>
    <w:rsid w:val="00CC0849"/>
    <w:rsid w:val="00CC0859"/>
    <w:rsid w:val="00CC09A6"/>
    <w:rsid w:val="00CC09C7"/>
    <w:rsid w:val="00CC0A9F"/>
    <w:rsid w:val="00CC0B03"/>
    <w:rsid w:val="00CC0BBB"/>
    <w:rsid w:val="00CC0BD8"/>
    <w:rsid w:val="00CC1232"/>
    <w:rsid w:val="00CC144E"/>
    <w:rsid w:val="00CC16B5"/>
    <w:rsid w:val="00CC18A6"/>
    <w:rsid w:val="00CC1B0F"/>
    <w:rsid w:val="00CC1C1E"/>
    <w:rsid w:val="00CC20DE"/>
    <w:rsid w:val="00CC20E5"/>
    <w:rsid w:val="00CC21B0"/>
    <w:rsid w:val="00CC2350"/>
    <w:rsid w:val="00CC2355"/>
    <w:rsid w:val="00CC25A2"/>
    <w:rsid w:val="00CC2D61"/>
    <w:rsid w:val="00CC2DDE"/>
    <w:rsid w:val="00CC2E7B"/>
    <w:rsid w:val="00CC30DF"/>
    <w:rsid w:val="00CC3676"/>
    <w:rsid w:val="00CC3C02"/>
    <w:rsid w:val="00CC3E42"/>
    <w:rsid w:val="00CC45AA"/>
    <w:rsid w:val="00CC485E"/>
    <w:rsid w:val="00CC54FC"/>
    <w:rsid w:val="00CC579C"/>
    <w:rsid w:val="00CC57DD"/>
    <w:rsid w:val="00CC5826"/>
    <w:rsid w:val="00CC5B01"/>
    <w:rsid w:val="00CC5EED"/>
    <w:rsid w:val="00CC609F"/>
    <w:rsid w:val="00CC62BA"/>
    <w:rsid w:val="00CC6B3D"/>
    <w:rsid w:val="00CC6B7F"/>
    <w:rsid w:val="00CC6CB8"/>
    <w:rsid w:val="00CC6D8B"/>
    <w:rsid w:val="00CC6FED"/>
    <w:rsid w:val="00CC707B"/>
    <w:rsid w:val="00CC73D9"/>
    <w:rsid w:val="00CC7413"/>
    <w:rsid w:val="00CC7422"/>
    <w:rsid w:val="00CC753F"/>
    <w:rsid w:val="00CC769D"/>
    <w:rsid w:val="00CC771C"/>
    <w:rsid w:val="00CC7866"/>
    <w:rsid w:val="00CC79B2"/>
    <w:rsid w:val="00CC7CDE"/>
    <w:rsid w:val="00CC7D4A"/>
    <w:rsid w:val="00CC7FF2"/>
    <w:rsid w:val="00CD006C"/>
    <w:rsid w:val="00CD0618"/>
    <w:rsid w:val="00CD09D1"/>
    <w:rsid w:val="00CD0AA5"/>
    <w:rsid w:val="00CD0D9E"/>
    <w:rsid w:val="00CD0DA6"/>
    <w:rsid w:val="00CD0F6E"/>
    <w:rsid w:val="00CD0FFA"/>
    <w:rsid w:val="00CD170E"/>
    <w:rsid w:val="00CD1A13"/>
    <w:rsid w:val="00CD1ADD"/>
    <w:rsid w:val="00CD1AFF"/>
    <w:rsid w:val="00CD1BCE"/>
    <w:rsid w:val="00CD1D9C"/>
    <w:rsid w:val="00CD1EE8"/>
    <w:rsid w:val="00CD1F22"/>
    <w:rsid w:val="00CD226C"/>
    <w:rsid w:val="00CD2687"/>
    <w:rsid w:val="00CD26DD"/>
    <w:rsid w:val="00CD28F6"/>
    <w:rsid w:val="00CD2F21"/>
    <w:rsid w:val="00CD3142"/>
    <w:rsid w:val="00CD31EB"/>
    <w:rsid w:val="00CD38B9"/>
    <w:rsid w:val="00CD405A"/>
    <w:rsid w:val="00CD40E7"/>
    <w:rsid w:val="00CD432D"/>
    <w:rsid w:val="00CD43F6"/>
    <w:rsid w:val="00CD4665"/>
    <w:rsid w:val="00CD48E2"/>
    <w:rsid w:val="00CD4995"/>
    <w:rsid w:val="00CD4E81"/>
    <w:rsid w:val="00CD4E9B"/>
    <w:rsid w:val="00CD548C"/>
    <w:rsid w:val="00CD550D"/>
    <w:rsid w:val="00CD57FF"/>
    <w:rsid w:val="00CD58D2"/>
    <w:rsid w:val="00CD59EB"/>
    <w:rsid w:val="00CD5B3B"/>
    <w:rsid w:val="00CD5FCC"/>
    <w:rsid w:val="00CD62F1"/>
    <w:rsid w:val="00CD64A0"/>
    <w:rsid w:val="00CD68E1"/>
    <w:rsid w:val="00CD6916"/>
    <w:rsid w:val="00CD6971"/>
    <w:rsid w:val="00CD6A96"/>
    <w:rsid w:val="00CD6AF7"/>
    <w:rsid w:val="00CD708C"/>
    <w:rsid w:val="00CD7365"/>
    <w:rsid w:val="00CD7393"/>
    <w:rsid w:val="00CD7638"/>
    <w:rsid w:val="00CD7724"/>
    <w:rsid w:val="00CD78F8"/>
    <w:rsid w:val="00CD7C11"/>
    <w:rsid w:val="00CD7DCF"/>
    <w:rsid w:val="00CD7E82"/>
    <w:rsid w:val="00CD7FDA"/>
    <w:rsid w:val="00CE0027"/>
    <w:rsid w:val="00CE010C"/>
    <w:rsid w:val="00CE0370"/>
    <w:rsid w:val="00CE046A"/>
    <w:rsid w:val="00CE08AE"/>
    <w:rsid w:val="00CE091C"/>
    <w:rsid w:val="00CE09EB"/>
    <w:rsid w:val="00CE0D90"/>
    <w:rsid w:val="00CE0D98"/>
    <w:rsid w:val="00CE0EA8"/>
    <w:rsid w:val="00CE137E"/>
    <w:rsid w:val="00CE13C7"/>
    <w:rsid w:val="00CE15B8"/>
    <w:rsid w:val="00CE168F"/>
    <w:rsid w:val="00CE1BB2"/>
    <w:rsid w:val="00CE1CBB"/>
    <w:rsid w:val="00CE1D4C"/>
    <w:rsid w:val="00CE1ECE"/>
    <w:rsid w:val="00CE2036"/>
    <w:rsid w:val="00CE23FF"/>
    <w:rsid w:val="00CE2D2E"/>
    <w:rsid w:val="00CE2D50"/>
    <w:rsid w:val="00CE2DD4"/>
    <w:rsid w:val="00CE30CD"/>
    <w:rsid w:val="00CE3239"/>
    <w:rsid w:val="00CE349B"/>
    <w:rsid w:val="00CE35B1"/>
    <w:rsid w:val="00CE36B6"/>
    <w:rsid w:val="00CE3B0C"/>
    <w:rsid w:val="00CE3C82"/>
    <w:rsid w:val="00CE42F8"/>
    <w:rsid w:val="00CE4453"/>
    <w:rsid w:val="00CE46DB"/>
    <w:rsid w:val="00CE47B2"/>
    <w:rsid w:val="00CE4964"/>
    <w:rsid w:val="00CE55E8"/>
    <w:rsid w:val="00CE5879"/>
    <w:rsid w:val="00CE5AF4"/>
    <w:rsid w:val="00CE5B2C"/>
    <w:rsid w:val="00CE5D62"/>
    <w:rsid w:val="00CE5DD0"/>
    <w:rsid w:val="00CE5F2C"/>
    <w:rsid w:val="00CE6388"/>
    <w:rsid w:val="00CE66DA"/>
    <w:rsid w:val="00CE6B74"/>
    <w:rsid w:val="00CE6C46"/>
    <w:rsid w:val="00CE70FB"/>
    <w:rsid w:val="00CE71BC"/>
    <w:rsid w:val="00CE7399"/>
    <w:rsid w:val="00CE757C"/>
    <w:rsid w:val="00CE78F4"/>
    <w:rsid w:val="00CF0164"/>
    <w:rsid w:val="00CF0205"/>
    <w:rsid w:val="00CF022F"/>
    <w:rsid w:val="00CF039E"/>
    <w:rsid w:val="00CF051E"/>
    <w:rsid w:val="00CF067D"/>
    <w:rsid w:val="00CF073A"/>
    <w:rsid w:val="00CF07E7"/>
    <w:rsid w:val="00CF085A"/>
    <w:rsid w:val="00CF0D30"/>
    <w:rsid w:val="00CF1003"/>
    <w:rsid w:val="00CF1056"/>
    <w:rsid w:val="00CF1189"/>
    <w:rsid w:val="00CF1241"/>
    <w:rsid w:val="00CF145F"/>
    <w:rsid w:val="00CF14C6"/>
    <w:rsid w:val="00CF164C"/>
    <w:rsid w:val="00CF1798"/>
    <w:rsid w:val="00CF198A"/>
    <w:rsid w:val="00CF1A66"/>
    <w:rsid w:val="00CF1A90"/>
    <w:rsid w:val="00CF1DFF"/>
    <w:rsid w:val="00CF1E68"/>
    <w:rsid w:val="00CF2450"/>
    <w:rsid w:val="00CF25A1"/>
    <w:rsid w:val="00CF2715"/>
    <w:rsid w:val="00CF2A2A"/>
    <w:rsid w:val="00CF2D7A"/>
    <w:rsid w:val="00CF2EA5"/>
    <w:rsid w:val="00CF3117"/>
    <w:rsid w:val="00CF31F0"/>
    <w:rsid w:val="00CF355E"/>
    <w:rsid w:val="00CF3930"/>
    <w:rsid w:val="00CF3AE0"/>
    <w:rsid w:val="00CF3E99"/>
    <w:rsid w:val="00CF3EB5"/>
    <w:rsid w:val="00CF3F3D"/>
    <w:rsid w:val="00CF4068"/>
    <w:rsid w:val="00CF40E1"/>
    <w:rsid w:val="00CF41EA"/>
    <w:rsid w:val="00CF42DB"/>
    <w:rsid w:val="00CF4334"/>
    <w:rsid w:val="00CF4411"/>
    <w:rsid w:val="00CF480D"/>
    <w:rsid w:val="00CF497E"/>
    <w:rsid w:val="00CF4988"/>
    <w:rsid w:val="00CF4A9C"/>
    <w:rsid w:val="00CF4CE8"/>
    <w:rsid w:val="00CF4DC8"/>
    <w:rsid w:val="00CF4FC4"/>
    <w:rsid w:val="00CF4FDE"/>
    <w:rsid w:val="00CF55B2"/>
    <w:rsid w:val="00CF5668"/>
    <w:rsid w:val="00CF57D7"/>
    <w:rsid w:val="00CF5B36"/>
    <w:rsid w:val="00CF5B4B"/>
    <w:rsid w:val="00CF5C0D"/>
    <w:rsid w:val="00CF5D64"/>
    <w:rsid w:val="00CF5DD4"/>
    <w:rsid w:val="00CF5E01"/>
    <w:rsid w:val="00CF5E71"/>
    <w:rsid w:val="00CF5EA2"/>
    <w:rsid w:val="00CF5FAC"/>
    <w:rsid w:val="00CF6064"/>
    <w:rsid w:val="00CF638B"/>
    <w:rsid w:val="00CF645B"/>
    <w:rsid w:val="00CF67D6"/>
    <w:rsid w:val="00CF6873"/>
    <w:rsid w:val="00CF6905"/>
    <w:rsid w:val="00CF6B72"/>
    <w:rsid w:val="00CF7024"/>
    <w:rsid w:val="00CF7258"/>
    <w:rsid w:val="00CF738D"/>
    <w:rsid w:val="00CF7525"/>
    <w:rsid w:val="00CF7586"/>
    <w:rsid w:val="00CF75C8"/>
    <w:rsid w:val="00CF79AB"/>
    <w:rsid w:val="00CF79CE"/>
    <w:rsid w:val="00CF7DFA"/>
    <w:rsid w:val="00CF7E53"/>
    <w:rsid w:val="00CF7F56"/>
    <w:rsid w:val="00D00620"/>
    <w:rsid w:val="00D00723"/>
    <w:rsid w:val="00D0074A"/>
    <w:rsid w:val="00D0091A"/>
    <w:rsid w:val="00D00E6F"/>
    <w:rsid w:val="00D01408"/>
    <w:rsid w:val="00D01557"/>
    <w:rsid w:val="00D01715"/>
    <w:rsid w:val="00D01839"/>
    <w:rsid w:val="00D01A75"/>
    <w:rsid w:val="00D01AA2"/>
    <w:rsid w:val="00D01DE6"/>
    <w:rsid w:val="00D0254E"/>
    <w:rsid w:val="00D02C4A"/>
    <w:rsid w:val="00D02DA6"/>
    <w:rsid w:val="00D02FD9"/>
    <w:rsid w:val="00D031EF"/>
    <w:rsid w:val="00D0320B"/>
    <w:rsid w:val="00D0376E"/>
    <w:rsid w:val="00D03BD6"/>
    <w:rsid w:val="00D03C98"/>
    <w:rsid w:val="00D04001"/>
    <w:rsid w:val="00D0436D"/>
    <w:rsid w:val="00D0455A"/>
    <w:rsid w:val="00D04661"/>
    <w:rsid w:val="00D049C8"/>
    <w:rsid w:val="00D04A50"/>
    <w:rsid w:val="00D04ADF"/>
    <w:rsid w:val="00D04EEF"/>
    <w:rsid w:val="00D04FD6"/>
    <w:rsid w:val="00D0500F"/>
    <w:rsid w:val="00D05668"/>
    <w:rsid w:val="00D05AB6"/>
    <w:rsid w:val="00D05AF3"/>
    <w:rsid w:val="00D05C0E"/>
    <w:rsid w:val="00D05CB6"/>
    <w:rsid w:val="00D05D93"/>
    <w:rsid w:val="00D065AA"/>
    <w:rsid w:val="00D0671C"/>
    <w:rsid w:val="00D06761"/>
    <w:rsid w:val="00D0682A"/>
    <w:rsid w:val="00D06904"/>
    <w:rsid w:val="00D06B96"/>
    <w:rsid w:val="00D071F2"/>
    <w:rsid w:val="00D072CE"/>
    <w:rsid w:val="00D0738C"/>
    <w:rsid w:val="00D07573"/>
    <w:rsid w:val="00D07DA5"/>
    <w:rsid w:val="00D07E6F"/>
    <w:rsid w:val="00D07F9E"/>
    <w:rsid w:val="00D10540"/>
    <w:rsid w:val="00D10691"/>
    <w:rsid w:val="00D10742"/>
    <w:rsid w:val="00D10C00"/>
    <w:rsid w:val="00D10EDB"/>
    <w:rsid w:val="00D10F5F"/>
    <w:rsid w:val="00D10FD2"/>
    <w:rsid w:val="00D111F1"/>
    <w:rsid w:val="00D116A0"/>
    <w:rsid w:val="00D117C5"/>
    <w:rsid w:val="00D1184A"/>
    <w:rsid w:val="00D11F7B"/>
    <w:rsid w:val="00D12228"/>
    <w:rsid w:val="00D12272"/>
    <w:rsid w:val="00D12280"/>
    <w:rsid w:val="00D12400"/>
    <w:rsid w:val="00D1255A"/>
    <w:rsid w:val="00D125DA"/>
    <w:rsid w:val="00D126DE"/>
    <w:rsid w:val="00D12C9E"/>
    <w:rsid w:val="00D12CF3"/>
    <w:rsid w:val="00D12F7F"/>
    <w:rsid w:val="00D12F99"/>
    <w:rsid w:val="00D13660"/>
    <w:rsid w:val="00D13BDA"/>
    <w:rsid w:val="00D13E0C"/>
    <w:rsid w:val="00D13F6E"/>
    <w:rsid w:val="00D1412B"/>
    <w:rsid w:val="00D141B0"/>
    <w:rsid w:val="00D14532"/>
    <w:rsid w:val="00D145B6"/>
    <w:rsid w:val="00D14832"/>
    <w:rsid w:val="00D14B7C"/>
    <w:rsid w:val="00D14DD0"/>
    <w:rsid w:val="00D14DD2"/>
    <w:rsid w:val="00D14F02"/>
    <w:rsid w:val="00D1517D"/>
    <w:rsid w:val="00D15243"/>
    <w:rsid w:val="00D153B6"/>
    <w:rsid w:val="00D15758"/>
    <w:rsid w:val="00D157D3"/>
    <w:rsid w:val="00D15A3C"/>
    <w:rsid w:val="00D160D5"/>
    <w:rsid w:val="00D16338"/>
    <w:rsid w:val="00D163C2"/>
    <w:rsid w:val="00D16570"/>
    <w:rsid w:val="00D16A64"/>
    <w:rsid w:val="00D16CD7"/>
    <w:rsid w:val="00D171E8"/>
    <w:rsid w:val="00D172E7"/>
    <w:rsid w:val="00D172F0"/>
    <w:rsid w:val="00D17480"/>
    <w:rsid w:val="00D174DC"/>
    <w:rsid w:val="00D17566"/>
    <w:rsid w:val="00D17D58"/>
    <w:rsid w:val="00D17E75"/>
    <w:rsid w:val="00D17F8F"/>
    <w:rsid w:val="00D2004D"/>
    <w:rsid w:val="00D20178"/>
    <w:rsid w:val="00D2022A"/>
    <w:rsid w:val="00D204A4"/>
    <w:rsid w:val="00D20885"/>
    <w:rsid w:val="00D20A85"/>
    <w:rsid w:val="00D20B28"/>
    <w:rsid w:val="00D20BAC"/>
    <w:rsid w:val="00D20DB4"/>
    <w:rsid w:val="00D20E38"/>
    <w:rsid w:val="00D20E4D"/>
    <w:rsid w:val="00D20EA2"/>
    <w:rsid w:val="00D211DF"/>
    <w:rsid w:val="00D2173C"/>
    <w:rsid w:val="00D2181C"/>
    <w:rsid w:val="00D2185A"/>
    <w:rsid w:val="00D21AFB"/>
    <w:rsid w:val="00D21C89"/>
    <w:rsid w:val="00D21C92"/>
    <w:rsid w:val="00D21EE9"/>
    <w:rsid w:val="00D21F9E"/>
    <w:rsid w:val="00D21FFB"/>
    <w:rsid w:val="00D221AB"/>
    <w:rsid w:val="00D2221C"/>
    <w:rsid w:val="00D2269B"/>
    <w:rsid w:val="00D22F52"/>
    <w:rsid w:val="00D2300F"/>
    <w:rsid w:val="00D23018"/>
    <w:rsid w:val="00D23020"/>
    <w:rsid w:val="00D23037"/>
    <w:rsid w:val="00D23211"/>
    <w:rsid w:val="00D233E1"/>
    <w:rsid w:val="00D233E5"/>
    <w:rsid w:val="00D2373F"/>
    <w:rsid w:val="00D23791"/>
    <w:rsid w:val="00D237B2"/>
    <w:rsid w:val="00D2386A"/>
    <w:rsid w:val="00D238CC"/>
    <w:rsid w:val="00D23957"/>
    <w:rsid w:val="00D23C4A"/>
    <w:rsid w:val="00D23EDC"/>
    <w:rsid w:val="00D24029"/>
    <w:rsid w:val="00D24132"/>
    <w:rsid w:val="00D2434A"/>
    <w:rsid w:val="00D24546"/>
    <w:rsid w:val="00D248A4"/>
    <w:rsid w:val="00D24A3E"/>
    <w:rsid w:val="00D250C5"/>
    <w:rsid w:val="00D250F5"/>
    <w:rsid w:val="00D254A2"/>
    <w:rsid w:val="00D258D9"/>
    <w:rsid w:val="00D25D44"/>
    <w:rsid w:val="00D25D66"/>
    <w:rsid w:val="00D25F53"/>
    <w:rsid w:val="00D261D8"/>
    <w:rsid w:val="00D26630"/>
    <w:rsid w:val="00D26B00"/>
    <w:rsid w:val="00D26D91"/>
    <w:rsid w:val="00D26DEF"/>
    <w:rsid w:val="00D273D5"/>
    <w:rsid w:val="00D2751F"/>
    <w:rsid w:val="00D2753C"/>
    <w:rsid w:val="00D275AD"/>
    <w:rsid w:val="00D275D9"/>
    <w:rsid w:val="00D278F7"/>
    <w:rsid w:val="00D279B7"/>
    <w:rsid w:val="00D27AE3"/>
    <w:rsid w:val="00D27AFE"/>
    <w:rsid w:val="00D27BBE"/>
    <w:rsid w:val="00D27E12"/>
    <w:rsid w:val="00D27F76"/>
    <w:rsid w:val="00D30382"/>
    <w:rsid w:val="00D305B2"/>
    <w:rsid w:val="00D305D8"/>
    <w:rsid w:val="00D306A0"/>
    <w:rsid w:val="00D30A47"/>
    <w:rsid w:val="00D30D1A"/>
    <w:rsid w:val="00D30E2C"/>
    <w:rsid w:val="00D30E43"/>
    <w:rsid w:val="00D30EE4"/>
    <w:rsid w:val="00D31202"/>
    <w:rsid w:val="00D31396"/>
    <w:rsid w:val="00D31886"/>
    <w:rsid w:val="00D318DF"/>
    <w:rsid w:val="00D31C12"/>
    <w:rsid w:val="00D31D70"/>
    <w:rsid w:val="00D31DB5"/>
    <w:rsid w:val="00D31E1C"/>
    <w:rsid w:val="00D31F72"/>
    <w:rsid w:val="00D3245E"/>
    <w:rsid w:val="00D32690"/>
    <w:rsid w:val="00D32C6C"/>
    <w:rsid w:val="00D32CE2"/>
    <w:rsid w:val="00D33636"/>
    <w:rsid w:val="00D33805"/>
    <w:rsid w:val="00D338A0"/>
    <w:rsid w:val="00D3397B"/>
    <w:rsid w:val="00D33A08"/>
    <w:rsid w:val="00D33BEF"/>
    <w:rsid w:val="00D33CEF"/>
    <w:rsid w:val="00D33F07"/>
    <w:rsid w:val="00D33F87"/>
    <w:rsid w:val="00D34006"/>
    <w:rsid w:val="00D340F8"/>
    <w:rsid w:val="00D341A0"/>
    <w:rsid w:val="00D3425C"/>
    <w:rsid w:val="00D350F8"/>
    <w:rsid w:val="00D35426"/>
    <w:rsid w:val="00D354FA"/>
    <w:rsid w:val="00D35574"/>
    <w:rsid w:val="00D355F1"/>
    <w:rsid w:val="00D357DA"/>
    <w:rsid w:val="00D358D0"/>
    <w:rsid w:val="00D35A22"/>
    <w:rsid w:val="00D35AC3"/>
    <w:rsid w:val="00D35AEB"/>
    <w:rsid w:val="00D35F91"/>
    <w:rsid w:val="00D36379"/>
    <w:rsid w:val="00D3645E"/>
    <w:rsid w:val="00D36464"/>
    <w:rsid w:val="00D364EE"/>
    <w:rsid w:val="00D3688A"/>
    <w:rsid w:val="00D36B12"/>
    <w:rsid w:val="00D36D49"/>
    <w:rsid w:val="00D36DDE"/>
    <w:rsid w:val="00D3741D"/>
    <w:rsid w:val="00D374F4"/>
    <w:rsid w:val="00D375C2"/>
    <w:rsid w:val="00D3765F"/>
    <w:rsid w:val="00D37673"/>
    <w:rsid w:val="00D376C5"/>
    <w:rsid w:val="00D37997"/>
    <w:rsid w:val="00D37A57"/>
    <w:rsid w:val="00D37AA6"/>
    <w:rsid w:val="00D37C5C"/>
    <w:rsid w:val="00D37E24"/>
    <w:rsid w:val="00D37F78"/>
    <w:rsid w:val="00D4001A"/>
    <w:rsid w:val="00D400F4"/>
    <w:rsid w:val="00D406DE"/>
    <w:rsid w:val="00D41859"/>
    <w:rsid w:val="00D41DEA"/>
    <w:rsid w:val="00D41E1A"/>
    <w:rsid w:val="00D41FF4"/>
    <w:rsid w:val="00D42060"/>
    <w:rsid w:val="00D42347"/>
    <w:rsid w:val="00D423FE"/>
    <w:rsid w:val="00D4249D"/>
    <w:rsid w:val="00D427A4"/>
    <w:rsid w:val="00D427FE"/>
    <w:rsid w:val="00D4285A"/>
    <w:rsid w:val="00D428E4"/>
    <w:rsid w:val="00D42AAA"/>
    <w:rsid w:val="00D42B64"/>
    <w:rsid w:val="00D42C42"/>
    <w:rsid w:val="00D42E79"/>
    <w:rsid w:val="00D42ED5"/>
    <w:rsid w:val="00D42FE6"/>
    <w:rsid w:val="00D42FED"/>
    <w:rsid w:val="00D4305A"/>
    <w:rsid w:val="00D43120"/>
    <w:rsid w:val="00D43368"/>
    <w:rsid w:val="00D4338F"/>
    <w:rsid w:val="00D43D5A"/>
    <w:rsid w:val="00D43DB3"/>
    <w:rsid w:val="00D43E89"/>
    <w:rsid w:val="00D43F2C"/>
    <w:rsid w:val="00D4400A"/>
    <w:rsid w:val="00D44159"/>
    <w:rsid w:val="00D443B4"/>
    <w:rsid w:val="00D444C2"/>
    <w:rsid w:val="00D44509"/>
    <w:rsid w:val="00D44577"/>
    <w:rsid w:val="00D445C5"/>
    <w:rsid w:val="00D446E9"/>
    <w:rsid w:val="00D447B0"/>
    <w:rsid w:val="00D4491A"/>
    <w:rsid w:val="00D44A50"/>
    <w:rsid w:val="00D44BE2"/>
    <w:rsid w:val="00D44CDF"/>
    <w:rsid w:val="00D45142"/>
    <w:rsid w:val="00D459AF"/>
    <w:rsid w:val="00D45CD3"/>
    <w:rsid w:val="00D45D61"/>
    <w:rsid w:val="00D46301"/>
    <w:rsid w:val="00D463E1"/>
    <w:rsid w:val="00D4640C"/>
    <w:rsid w:val="00D465C7"/>
    <w:rsid w:val="00D468ED"/>
    <w:rsid w:val="00D46A4A"/>
    <w:rsid w:val="00D46C8A"/>
    <w:rsid w:val="00D46FC4"/>
    <w:rsid w:val="00D4703B"/>
    <w:rsid w:val="00D4711B"/>
    <w:rsid w:val="00D4714B"/>
    <w:rsid w:val="00D47246"/>
    <w:rsid w:val="00D4755B"/>
    <w:rsid w:val="00D475F0"/>
    <w:rsid w:val="00D47846"/>
    <w:rsid w:val="00D478DF"/>
    <w:rsid w:val="00D47B29"/>
    <w:rsid w:val="00D47BC5"/>
    <w:rsid w:val="00D47D16"/>
    <w:rsid w:val="00D47D2D"/>
    <w:rsid w:val="00D47D4D"/>
    <w:rsid w:val="00D47F7B"/>
    <w:rsid w:val="00D507E2"/>
    <w:rsid w:val="00D507EB"/>
    <w:rsid w:val="00D50CCB"/>
    <w:rsid w:val="00D50F8A"/>
    <w:rsid w:val="00D51017"/>
    <w:rsid w:val="00D51092"/>
    <w:rsid w:val="00D515A1"/>
    <w:rsid w:val="00D51708"/>
    <w:rsid w:val="00D517C5"/>
    <w:rsid w:val="00D51DD9"/>
    <w:rsid w:val="00D51E1B"/>
    <w:rsid w:val="00D52107"/>
    <w:rsid w:val="00D522B5"/>
    <w:rsid w:val="00D52818"/>
    <w:rsid w:val="00D52AE1"/>
    <w:rsid w:val="00D52B47"/>
    <w:rsid w:val="00D52BB6"/>
    <w:rsid w:val="00D5350F"/>
    <w:rsid w:val="00D53517"/>
    <w:rsid w:val="00D535B0"/>
    <w:rsid w:val="00D536C9"/>
    <w:rsid w:val="00D537F0"/>
    <w:rsid w:val="00D53C12"/>
    <w:rsid w:val="00D53FC2"/>
    <w:rsid w:val="00D54056"/>
    <w:rsid w:val="00D547AC"/>
    <w:rsid w:val="00D547E8"/>
    <w:rsid w:val="00D548F8"/>
    <w:rsid w:val="00D54955"/>
    <w:rsid w:val="00D54DEF"/>
    <w:rsid w:val="00D54F80"/>
    <w:rsid w:val="00D54FD1"/>
    <w:rsid w:val="00D55434"/>
    <w:rsid w:val="00D5574F"/>
    <w:rsid w:val="00D55A4D"/>
    <w:rsid w:val="00D55D35"/>
    <w:rsid w:val="00D56048"/>
    <w:rsid w:val="00D560A4"/>
    <w:rsid w:val="00D5613C"/>
    <w:rsid w:val="00D567C8"/>
    <w:rsid w:val="00D5691E"/>
    <w:rsid w:val="00D56CAA"/>
    <w:rsid w:val="00D5704C"/>
    <w:rsid w:val="00D5771B"/>
    <w:rsid w:val="00D57839"/>
    <w:rsid w:val="00D5787C"/>
    <w:rsid w:val="00D57B51"/>
    <w:rsid w:val="00D60070"/>
    <w:rsid w:val="00D6029A"/>
    <w:rsid w:val="00D60895"/>
    <w:rsid w:val="00D608DF"/>
    <w:rsid w:val="00D60B13"/>
    <w:rsid w:val="00D60D19"/>
    <w:rsid w:val="00D61085"/>
    <w:rsid w:val="00D611A3"/>
    <w:rsid w:val="00D6175A"/>
    <w:rsid w:val="00D6192B"/>
    <w:rsid w:val="00D6197D"/>
    <w:rsid w:val="00D61F9C"/>
    <w:rsid w:val="00D61FC4"/>
    <w:rsid w:val="00D62092"/>
    <w:rsid w:val="00D62302"/>
    <w:rsid w:val="00D62398"/>
    <w:rsid w:val="00D62E4F"/>
    <w:rsid w:val="00D630FE"/>
    <w:rsid w:val="00D63360"/>
    <w:rsid w:val="00D634E6"/>
    <w:rsid w:val="00D6368D"/>
    <w:rsid w:val="00D63706"/>
    <w:rsid w:val="00D6370F"/>
    <w:rsid w:val="00D63799"/>
    <w:rsid w:val="00D637F9"/>
    <w:rsid w:val="00D63B06"/>
    <w:rsid w:val="00D63C81"/>
    <w:rsid w:val="00D6438E"/>
    <w:rsid w:val="00D643E0"/>
    <w:rsid w:val="00D644DB"/>
    <w:rsid w:val="00D64831"/>
    <w:rsid w:val="00D64884"/>
    <w:rsid w:val="00D64DFE"/>
    <w:rsid w:val="00D64F6D"/>
    <w:rsid w:val="00D6561F"/>
    <w:rsid w:val="00D65807"/>
    <w:rsid w:val="00D65A61"/>
    <w:rsid w:val="00D65AE5"/>
    <w:rsid w:val="00D6600A"/>
    <w:rsid w:val="00D662BA"/>
    <w:rsid w:val="00D66693"/>
    <w:rsid w:val="00D666DE"/>
    <w:rsid w:val="00D66BC5"/>
    <w:rsid w:val="00D66F11"/>
    <w:rsid w:val="00D66F2F"/>
    <w:rsid w:val="00D66F91"/>
    <w:rsid w:val="00D671CA"/>
    <w:rsid w:val="00D67367"/>
    <w:rsid w:val="00D6746F"/>
    <w:rsid w:val="00D67965"/>
    <w:rsid w:val="00D67999"/>
    <w:rsid w:val="00D67A8B"/>
    <w:rsid w:val="00D67BA5"/>
    <w:rsid w:val="00D67F15"/>
    <w:rsid w:val="00D7087F"/>
    <w:rsid w:val="00D70BB1"/>
    <w:rsid w:val="00D70F58"/>
    <w:rsid w:val="00D70F71"/>
    <w:rsid w:val="00D70FCE"/>
    <w:rsid w:val="00D718FF"/>
    <w:rsid w:val="00D71DEB"/>
    <w:rsid w:val="00D71DF4"/>
    <w:rsid w:val="00D71FB0"/>
    <w:rsid w:val="00D72212"/>
    <w:rsid w:val="00D72273"/>
    <w:rsid w:val="00D72340"/>
    <w:rsid w:val="00D723AA"/>
    <w:rsid w:val="00D72974"/>
    <w:rsid w:val="00D72D62"/>
    <w:rsid w:val="00D72E13"/>
    <w:rsid w:val="00D73144"/>
    <w:rsid w:val="00D7339A"/>
    <w:rsid w:val="00D7369D"/>
    <w:rsid w:val="00D736DB"/>
    <w:rsid w:val="00D7393C"/>
    <w:rsid w:val="00D73A5D"/>
    <w:rsid w:val="00D73C6D"/>
    <w:rsid w:val="00D73EA9"/>
    <w:rsid w:val="00D74620"/>
    <w:rsid w:val="00D74D23"/>
    <w:rsid w:val="00D75079"/>
    <w:rsid w:val="00D751E7"/>
    <w:rsid w:val="00D75586"/>
    <w:rsid w:val="00D75ADF"/>
    <w:rsid w:val="00D75B05"/>
    <w:rsid w:val="00D75B2C"/>
    <w:rsid w:val="00D75BCF"/>
    <w:rsid w:val="00D75FB0"/>
    <w:rsid w:val="00D76062"/>
    <w:rsid w:val="00D763B8"/>
    <w:rsid w:val="00D76444"/>
    <w:rsid w:val="00D76486"/>
    <w:rsid w:val="00D76622"/>
    <w:rsid w:val="00D76A62"/>
    <w:rsid w:val="00D76AD1"/>
    <w:rsid w:val="00D76C83"/>
    <w:rsid w:val="00D76D85"/>
    <w:rsid w:val="00D76E89"/>
    <w:rsid w:val="00D76F8C"/>
    <w:rsid w:val="00D772E9"/>
    <w:rsid w:val="00D7736D"/>
    <w:rsid w:val="00D77985"/>
    <w:rsid w:val="00D77ADC"/>
    <w:rsid w:val="00D80178"/>
    <w:rsid w:val="00D80422"/>
    <w:rsid w:val="00D8050C"/>
    <w:rsid w:val="00D80AAF"/>
    <w:rsid w:val="00D80E0F"/>
    <w:rsid w:val="00D8113E"/>
    <w:rsid w:val="00D81160"/>
    <w:rsid w:val="00D811D2"/>
    <w:rsid w:val="00D815D8"/>
    <w:rsid w:val="00D81797"/>
    <w:rsid w:val="00D81ABF"/>
    <w:rsid w:val="00D81BB4"/>
    <w:rsid w:val="00D82099"/>
    <w:rsid w:val="00D82541"/>
    <w:rsid w:val="00D825E4"/>
    <w:rsid w:val="00D8282F"/>
    <w:rsid w:val="00D82A69"/>
    <w:rsid w:val="00D82BA4"/>
    <w:rsid w:val="00D82E67"/>
    <w:rsid w:val="00D830A2"/>
    <w:rsid w:val="00D83452"/>
    <w:rsid w:val="00D83934"/>
    <w:rsid w:val="00D83A18"/>
    <w:rsid w:val="00D83E1F"/>
    <w:rsid w:val="00D83F9E"/>
    <w:rsid w:val="00D843B1"/>
    <w:rsid w:val="00D843E6"/>
    <w:rsid w:val="00D84861"/>
    <w:rsid w:val="00D849A3"/>
    <w:rsid w:val="00D84DED"/>
    <w:rsid w:val="00D84F32"/>
    <w:rsid w:val="00D8543C"/>
    <w:rsid w:val="00D855AC"/>
    <w:rsid w:val="00D8568D"/>
    <w:rsid w:val="00D85B5D"/>
    <w:rsid w:val="00D85B77"/>
    <w:rsid w:val="00D86246"/>
    <w:rsid w:val="00D8653A"/>
    <w:rsid w:val="00D8666D"/>
    <w:rsid w:val="00D867C7"/>
    <w:rsid w:val="00D869D6"/>
    <w:rsid w:val="00D86EC2"/>
    <w:rsid w:val="00D86F02"/>
    <w:rsid w:val="00D874F9"/>
    <w:rsid w:val="00D8760E"/>
    <w:rsid w:val="00D87689"/>
    <w:rsid w:val="00D8788F"/>
    <w:rsid w:val="00D900F8"/>
    <w:rsid w:val="00D901C9"/>
    <w:rsid w:val="00D9031D"/>
    <w:rsid w:val="00D90A21"/>
    <w:rsid w:val="00D90E3A"/>
    <w:rsid w:val="00D90EFC"/>
    <w:rsid w:val="00D91079"/>
    <w:rsid w:val="00D912C7"/>
    <w:rsid w:val="00D915C8"/>
    <w:rsid w:val="00D91660"/>
    <w:rsid w:val="00D916F2"/>
    <w:rsid w:val="00D9182E"/>
    <w:rsid w:val="00D918F4"/>
    <w:rsid w:val="00D9192C"/>
    <w:rsid w:val="00D91BCB"/>
    <w:rsid w:val="00D91DA4"/>
    <w:rsid w:val="00D91FF5"/>
    <w:rsid w:val="00D921A2"/>
    <w:rsid w:val="00D922B9"/>
    <w:rsid w:val="00D92599"/>
    <w:rsid w:val="00D92CAE"/>
    <w:rsid w:val="00D92D74"/>
    <w:rsid w:val="00D92F5D"/>
    <w:rsid w:val="00D92FC5"/>
    <w:rsid w:val="00D9300B"/>
    <w:rsid w:val="00D932FA"/>
    <w:rsid w:val="00D9382A"/>
    <w:rsid w:val="00D938BE"/>
    <w:rsid w:val="00D93BC6"/>
    <w:rsid w:val="00D93BD6"/>
    <w:rsid w:val="00D93C6A"/>
    <w:rsid w:val="00D93D82"/>
    <w:rsid w:val="00D93DA5"/>
    <w:rsid w:val="00D93DB9"/>
    <w:rsid w:val="00D94084"/>
    <w:rsid w:val="00D9413D"/>
    <w:rsid w:val="00D947CC"/>
    <w:rsid w:val="00D94A67"/>
    <w:rsid w:val="00D94A97"/>
    <w:rsid w:val="00D94ADE"/>
    <w:rsid w:val="00D94BC2"/>
    <w:rsid w:val="00D94C02"/>
    <w:rsid w:val="00D94EBD"/>
    <w:rsid w:val="00D95848"/>
    <w:rsid w:val="00D95A59"/>
    <w:rsid w:val="00D95B47"/>
    <w:rsid w:val="00D95FA9"/>
    <w:rsid w:val="00D961F2"/>
    <w:rsid w:val="00D96431"/>
    <w:rsid w:val="00D964B5"/>
    <w:rsid w:val="00D964D7"/>
    <w:rsid w:val="00D964F3"/>
    <w:rsid w:val="00D9653D"/>
    <w:rsid w:val="00D966DF"/>
    <w:rsid w:val="00D9675B"/>
    <w:rsid w:val="00D96C26"/>
    <w:rsid w:val="00D96C5F"/>
    <w:rsid w:val="00D96F94"/>
    <w:rsid w:val="00D97180"/>
    <w:rsid w:val="00D973F4"/>
    <w:rsid w:val="00D97529"/>
    <w:rsid w:val="00D97531"/>
    <w:rsid w:val="00D97633"/>
    <w:rsid w:val="00D97837"/>
    <w:rsid w:val="00D97BF0"/>
    <w:rsid w:val="00D97C3A"/>
    <w:rsid w:val="00D97D4E"/>
    <w:rsid w:val="00D97E8C"/>
    <w:rsid w:val="00D97FF3"/>
    <w:rsid w:val="00DA005F"/>
    <w:rsid w:val="00DA0291"/>
    <w:rsid w:val="00DA02F7"/>
    <w:rsid w:val="00DA0406"/>
    <w:rsid w:val="00DA055B"/>
    <w:rsid w:val="00DA0694"/>
    <w:rsid w:val="00DA06A4"/>
    <w:rsid w:val="00DA07BD"/>
    <w:rsid w:val="00DA08B5"/>
    <w:rsid w:val="00DA0932"/>
    <w:rsid w:val="00DA0BB3"/>
    <w:rsid w:val="00DA0C02"/>
    <w:rsid w:val="00DA0D36"/>
    <w:rsid w:val="00DA0D76"/>
    <w:rsid w:val="00DA1115"/>
    <w:rsid w:val="00DA112C"/>
    <w:rsid w:val="00DA1227"/>
    <w:rsid w:val="00DA14AC"/>
    <w:rsid w:val="00DA16B0"/>
    <w:rsid w:val="00DA193E"/>
    <w:rsid w:val="00DA1A82"/>
    <w:rsid w:val="00DA1B14"/>
    <w:rsid w:val="00DA1F0C"/>
    <w:rsid w:val="00DA252D"/>
    <w:rsid w:val="00DA2729"/>
    <w:rsid w:val="00DA27CD"/>
    <w:rsid w:val="00DA287B"/>
    <w:rsid w:val="00DA2D1E"/>
    <w:rsid w:val="00DA316E"/>
    <w:rsid w:val="00DA3301"/>
    <w:rsid w:val="00DA3634"/>
    <w:rsid w:val="00DA36C7"/>
    <w:rsid w:val="00DA36EA"/>
    <w:rsid w:val="00DA37A6"/>
    <w:rsid w:val="00DA395C"/>
    <w:rsid w:val="00DA39B6"/>
    <w:rsid w:val="00DA39BF"/>
    <w:rsid w:val="00DA3B2B"/>
    <w:rsid w:val="00DA3B4F"/>
    <w:rsid w:val="00DA3BF2"/>
    <w:rsid w:val="00DA3D0B"/>
    <w:rsid w:val="00DA3EEB"/>
    <w:rsid w:val="00DA4019"/>
    <w:rsid w:val="00DA4322"/>
    <w:rsid w:val="00DA4584"/>
    <w:rsid w:val="00DA4894"/>
    <w:rsid w:val="00DA4B00"/>
    <w:rsid w:val="00DA536F"/>
    <w:rsid w:val="00DA585B"/>
    <w:rsid w:val="00DA5975"/>
    <w:rsid w:val="00DA5EAD"/>
    <w:rsid w:val="00DA5EDC"/>
    <w:rsid w:val="00DA61D3"/>
    <w:rsid w:val="00DA6578"/>
    <w:rsid w:val="00DA6667"/>
    <w:rsid w:val="00DA671F"/>
    <w:rsid w:val="00DA67F7"/>
    <w:rsid w:val="00DA6BC2"/>
    <w:rsid w:val="00DA6BCC"/>
    <w:rsid w:val="00DA6E0B"/>
    <w:rsid w:val="00DA6EF3"/>
    <w:rsid w:val="00DA7401"/>
    <w:rsid w:val="00DA758E"/>
    <w:rsid w:val="00DA7C8F"/>
    <w:rsid w:val="00DA7DE7"/>
    <w:rsid w:val="00DA7E6F"/>
    <w:rsid w:val="00DA7F5F"/>
    <w:rsid w:val="00DA7FA7"/>
    <w:rsid w:val="00DA7FE1"/>
    <w:rsid w:val="00DB054D"/>
    <w:rsid w:val="00DB056B"/>
    <w:rsid w:val="00DB05AF"/>
    <w:rsid w:val="00DB06CE"/>
    <w:rsid w:val="00DB0A57"/>
    <w:rsid w:val="00DB0E6C"/>
    <w:rsid w:val="00DB0F5B"/>
    <w:rsid w:val="00DB114C"/>
    <w:rsid w:val="00DB12CC"/>
    <w:rsid w:val="00DB12EE"/>
    <w:rsid w:val="00DB15A8"/>
    <w:rsid w:val="00DB1996"/>
    <w:rsid w:val="00DB1E02"/>
    <w:rsid w:val="00DB202E"/>
    <w:rsid w:val="00DB22F8"/>
    <w:rsid w:val="00DB2876"/>
    <w:rsid w:val="00DB295A"/>
    <w:rsid w:val="00DB2C84"/>
    <w:rsid w:val="00DB2C8D"/>
    <w:rsid w:val="00DB2D15"/>
    <w:rsid w:val="00DB2DF3"/>
    <w:rsid w:val="00DB309E"/>
    <w:rsid w:val="00DB35C0"/>
    <w:rsid w:val="00DB37F2"/>
    <w:rsid w:val="00DB3820"/>
    <w:rsid w:val="00DB3A31"/>
    <w:rsid w:val="00DB3B6B"/>
    <w:rsid w:val="00DB3C13"/>
    <w:rsid w:val="00DB3CCD"/>
    <w:rsid w:val="00DB44B6"/>
    <w:rsid w:val="00DB44CB"/>
    <w:rsid w:val="00DB480C"/>
    <w:rsid w:val="00DB4A15"/>
    <w:rsid w:val="00DB4AFB"/>
    <w:rsid w:val="00DB4E7B"/>
    <w:rsid w:val="00DB5084"/>
    <w:rsid w:val="00DB516A"/>
    <w:rsid w:val="00DB55AE"/>
    <w:rsid w:val="00DB5646"/>
    <w:rsid w:val="00DB5662"/>
    <w:rsid w:val="00DB5B98"/>
    <w:rsid w:val="00DB5E28"/>
    <w:rsid w:val="00DB5EA0"/>
    <w:rsid w:val="00DB5FE0"/>
    <w:rsid w:val="00DB6086"/>
    <w:rsid w:val="00DB6284"/>
    <w:rsid w:val="00DB64BB"/>
    <w:rsid w:val="00DB673F"/>
    <w:rsid w:val="00DB6880"/>
    <w:rsid w:val="00DB68EA"/>
    <w:rsid w:val="00DB6A39"/>
    <w:rsid w:val="00DB6D52"/>
    <w:rsid w:val="00DB6DCF"/>
    <w:rsid w:val="00DB6EFD"/>
    <w:rsid w:val="00DB71B9"/>
    <w:rsid w:val="00DB71EC"/>
    <w:rsid w:val="00DB72A2"/>
    <w:rsid w:val="00DB73E3"/>
    <w:rsid w:val="00DB753B"/>
    <w:rsid w:val="00DB77B5"/>
    <w:rsid w:val="00DB7AEF"/>
    <w:rsid w:val="00DB7BF5"/>
    <w:rsid w:val="00DB7C84"/>
    <w:rsid w:val="00DB7D7E"/>
    <w:rsid w:val="00DC036D"/>
    <w:rsid w:val="00DC03C4"/>
    <w:rsid w:val="00DC0605"/>
    <w:rsid w:val="00DC07B4"/>
    <w:rsid w:val="00DC0F65"/>
    <w:rsid w:val="00DC1067"/>
    <w:rsid w:val="00DC1320"/>
    <w:rsid w:val="00DC1336"/>
    <w:rsid w:val="00DC142F"/>
    <w:rsid w:val="00DC1C57"/>
    <w:rsid w:val="00DC1D11"/>
    <w:rsid w:val="00DC1D1D"/>
    <w:rsid w:val="00DC2238"/>
    <w:rsid w:val="00DC22F5"/>
    <w:rsid w:val="00DC231B"/>
    <w:rsid w:val="00DC2502"/>
    <w:rsid w:val="00DC2D2A"/>
    <w:rsid w:val="00DC2E9B"/>
    <w:rsid w:val="00DC3050"/>
    <w:rsid w:val="00DC34D0"/>
    <w:rsid w:val="00DC3669"/>
    <w:rsid w:val="00DC38F1"/>
    <w:rsid w:val="00DC43CC"/>
    <w:rsid w:val="00DC4417"/>
    <w:rsid w:val="00DC4547"/>
    <w:rsid w:val="00DC474D"/>
    <w:rsid w:val="00DC47D2"/>
    <w:rsid w:val="00DC4802"/>
    <w:rsid w:val="00DC4824"/>
    <w:rsid w:val="00DC4990"/>
    <w:rsid w:val="00DC4C2A"/>
    <w:rsid w:val="00DC4D1A"/>
    <w:rsid w:val="00DC506B"/>
    <w:rsid w:val="00DC51FA"/>
    <w:rsid w:val="00DC52D3"/>
    <w:rsid w:val="00DC5430"/>
    <w:rsid w:val="00DC5439"/>
    <w:rsid w:val="00DC55BE"/>
    <w:rsid w:val="00DC55D8"/>
    <w:rsid w:val="00DC571F"/>
    <w:rsid w:val="00DC5767"/>
    <w:rsid w:val="00DC5883"/>
    <w:rsid w:val="00DC5988"/>
    <w:rsid w:val="00DC5B49"/>
    <w:rsid w:val="00DC5C5F"/>
    <w:rsid w:val="00DC5C88"/>
    <w:rsid w:val="00DC5EC2"/>
    <w:rsid w:val="00DC5FD1"/>
    <w:rsid w:val="00DC602A"/>
    <w:rsid w:val="00DC61F8"/>
    <w:rsid w:val="00DC6479"/>
    <w:rsid w:val="00DC6517"/>
    <w:rsid w:val="00DC6CE1"/>
    <w:rsid w:val="00DC6D6E"/>
    <w:rsid w:val="00DC6E56"/>
    <w:rsid w:val="00DC6EBE"/>
    <w:rsid w:val="00DC6FD5"/>
    <w:rsid w:val="00DC708B"/>
    <w:rsid w:val="00DC728E"/>
    <w:rsid w:val="00DC7B8E"/>
    <w:rsid w:val="00DC7EA7"/>
    <w:rsid w:val="00DC7ED6"/>
    <w:rsid w:val="00DC7FA2"/>
    <w:rsid w:val="00DD03FA"/>
    <w:rsid w:val="00DD0720"/>
    <w:rsid w:val="00DD0BCC"/>
    <w:rsid w:val="00DD0E4A"/>
    <w:rsid w:val="00DD0FCD"/>
    <w:rsid w:val="00DD1077"/>
    <w:rsid w:val="00DD10D9"/>
    <w:rsid w:val="00DD117F"/>
    <w:rsid w:val="00DD13B1"/>
    <w:rsid w:val="00DD1455"/>
    <w:rsid w:val="00DD146C"/>
    <w:rsid w:val="00DD179D"/>
    <w:rsid w:val="00DD19AA"/>
    <w:rsid w:val="00DD1A68"/>
    <w:rsid w:val="00DD1D1E"/>
    <w:rsid w:val="00DD1E55"/>
    <w:rsid w:val="00DD20F8"/>
    <w:rsid w:val="00DD2156"/>
    <w:rsid w:val="00DD21F0"/>
    <w:rsid w:val="00DD24D5"/>
    <w:rsid w:val="00DD2569"/>
    <w:rsid w:val="00DD256E"/>
    <w:rsid w:val="00DD2775"/>
    <w:rsid w:val="00DD277C"/>
    <w:rsid w:val="00DD2A0B"/>
    <w:rsid w:val="00DD2D6D"/>
    <w:rsid w:val="00DD308A"/>
    <w:rsid w:val="00DD3128"/>
    <w:rsid w:val="00DD33CE"/>
    <w:rsid w:val="00DD3440"/>
    <w:rsid w:val="00DD34A1"/>
    <w:rsid w:val="00DD3539"/>
    <w:rsid w:val="00DD3BC0"/>
    <w:rsid w:val="00DD3BCE"/>
    <w:rsid w:val="00DD3CC4"/>
    <w:rsid w:val="00DD40F2"/>
    <w:rsid w:val="00DD4178"/>
    <w:rsid w:val="00DD4451"/>
    <w:rsid w:val="00DD49D1"/>
    <w:rsid w:val="00DD4A4B"/>
    <w:rsid w:val="00DD4DDF"/>
    <w:rsid w:val="00DD4E58"/>
    <w:rsid w:val="00DD4E63"/>
    <w:rsid w:val="00DD5223"/>
    <w:rsid w:val="00DD53B5"/>
    <w:rsid w:val="00DD5649"/>
    <w:rsid w:val="00DD5945"/>
    <w:rsid w:val="00DD5990"/>
    <w:rsid w:val="00DD5BCB"/>
    <w:rsid w:val="00DD5D02"/>
    <w:rsid w:val="00DD626B"/>
    <w:rsid w:val="00DD63F6"/>
    <w:rsid w:val="00DD6466"/>
    <w:rsid w:val="00DD65A2"/>
    <w:rsid w:val="00DD6681"/>
    <w:rsid w:val="00DD671B"/>
    <w:rsid w:val="00DD679B"/>
    <w:rsid w:val="00DD68A3"/>
    <w:rsid w:val="00DD6BEB"/>
    <w:rsid w:val="00DD6BFB"/>
    <w:rsid w:val="00DD6E19"/>
    <w:rsid w:val="00DD7024"/>
    <w:rsid w:val="00DD7189"/>
    <w:rsid w:val="00DD746F"/>
    <w:rsid w:val="00DD750B"/>
    <w:rsid w:val="00DD76BD"/>
    <w:rsid w:val="00DD7EC0"/>
    <w:rsid w:val="00DE015C"/>
    <w:rsid w:val="00DE047A"/>
    <w:rsid w:val="00DE05FD"/>
    <w:rsid w:val="00DE06A1"/>
    <w:rsid w:val="00DE073C"/>
    <w:rsid w:val="00DE090F"/>
    <w:rsid w:val="00DE103A"/>
    <w:rsid w:val="00DE11D9"/>
    <w:rsid w:val="00DE132E"/>
    <w:rsid w:val="00DE1578"/>
    <w:rsid w:val="00DE172D"/>
    <w:rsid w:val="00DE1ACE"/>
    <w:rsid w:val="00DE1B0E"/>
    <w:rsid w:val="00DE1DCB"/>
    <w:rsid w:val="00DE1E76"/>
    <w:rsid w:val="00DE221B"/>
    <w:rsid w:val="00DE2F8F"/>
    <w:rsid w:val="00DE314C"/>
    <w:rsid w:val="00DE3226"/>
    <w:rsid w:val="00DE34CB"/>
    <w:rsid w:val="00DE39EE"/>
    <w:rsid w:val="00DE3B16"/>
    <w:rsid w:val="00DE3D03"/>
    <w:rsid w:val="00DE40AB"/>
    <w:rsid w:val="00DE43D1"/>
    <w:rsid w:val="00DE4485"/>
    <w:rsid w:val="00DE4966"/>
    <w:rsid w:val="00DE4E83"/>
    <w:rsid w:val="00DE50C6"/>
    <w:rsid w:val="00DE54C5"/>
    <w:rsid w:val="00DE55DF"/>
    <w:rsid w:val="00DE5780"/>
    <w:rsid w:val="00DE57EF"/>
    <w:rsid w:val="00DE59B5"/>
    <w:rsid w:val="00DE5CBA"/>
    <w:rsid w:val="00DE5F1C"/>
    <w:rsid w:val="00DE6002"/>
    <w:rsid w:val="00DE62DC"/>
    <w:rsid w:val="00DE6547"/>
    <w:rsid w:val="00DE68A3"/>
    <w:rsid w:val="00DE6A4C"/>
    <w:rsid w:val="00DE73FD"/>
    <w:rsid w:val="00DE7552"/>
    <w:rsid w:val="00DE75D3"/>
    <w:rsid w:val="00DE7A63"/>
    <w:rsid w:val="00DE7EE1"/>
    <w:rsid w:val="00DF04BC"/>
    <w:rsid w:val="00DF07E6"/>
    <w:rsid w:val="00DF0832"/>
    <w:rsid w:val="00DF0A3C"/>
    <w:rsid w:val="00DF0C76"/>
    <w:rsid w:val="00DF1147"/>
    <w:rsid w:val="00DF11FD"/>
    <w:rsid w:val="00DF1273"/>
    <w:rsid w:val="00DF1377"/>
    <w:rsid w:val="00DF14B3"/>
    <w:rsid w:val="00DF181B"/>
    <w:rsid w:val="00DF190A"/>
    <w:rsid w:val="00DF1BF7"/>
    <w:rsid w:val="00DF1CEC"/>
    <w:rsid w:val="00DF1D4A"/>
    <w:rsid w:val="00DF1D74"/>
    <w:rsid w:val="00DF1DF3"/>
    <w:rsid w:val="00DF2110"/>
    <w:rsid w:val="00DF212A"/>
    <w:rsid w:val="00DF215C"/>
    <w:rsid w:val="00DF228F"/>
    <w:rsid w:val="00DF273A"/>
    <w:rsid w:val="00DF27A3"/>
    <w:rsid w:val="00DF29A7"/>
    <w:rsid w:val="00DF2B1D"/>
    <w:rsid w:val="00DF2DD4"/>
    <w:rsid w:val="00DF2F27"/>
    <w:rsid w:val="00DF3631"/>
    <w:rsid w:val="00DF3952"/>
    <w:rsid w:val="00DF3B7F"/>
    <w:rsid w:val="00DF3C7F"/>
    <w:rsid w:val="00DF41E3"/>
    <w:rsid w:val="00DF43F1"/>
    <w:rsid w:val="00DF44C7"/>
    <w:rsid w:val="00DF466E"/>
    <w:rsid w:val="00DF471A"/>
    <w:rsid w:val="00DF4817"/>
    <w:rsid w:val="00DF48E4"/>
    <w:rsid w:val="00DF4909"/>
    <w:rsid w:val="00DF4925"/>
    <w:rsid w:val="00DF49E6"/>
    <w:rsid w:val="00DF4BD3"/>
    <w:rsid w:val="00DF4C96"/>
    <w:rsid w:val="00DF4E6A"/>
    <w:rsid w:val="00DF5197"/>
    <w:rsid w:val="00DF51A9"/>
    <w:rsid w:val="00DF52AB"/>
    <w:rsid w:val="00DF537F"/>
    <w:rsid w:val="00DF53F6"/>
    <w:rsid w:val="00DF555D"/>
    <w:rsid w:val="00DF5580"/>
    <w:rsid w:val="00DF57C7"/>
    <w:rsid w:val="00DF57EB"/>
    <w:rsid w:val="00DF5B1D"/>
    <w:rsid w:val="00DF5B35"/>
    <w:rsid w:val="00DF5B4A"/>
    <w:rsid w:val="00DF5C86"/>
    <w:rsid w:val="00DF5D72"/>
    <w:rsid w:val="00DF5DBD"/>
    <w:rsid w:val="00DF5F28"/>
    <w:rsid w:val="00DF5F34"/>
    <w:rsid w:val="00DF5FCD"/>
    <w:rsid w:val="00DF6167"/>
    <w:rsid w:val="00DF6209"/>
    <w:rsid w:val="00DF62CB"/>
    <w:rsid w:val="00DF66EF"/>
    <w:rsid w:val="00DF6B8F"/>
    <w:rsid w:val="00DF6EE3"/>
    <w:rsid w:val="00DF6F3A"/>
    <w:rsid w:val="00DF71B3"/>
    <w:rsid w:val="00DF7254"/>
    <w:rsid w:val="00DF740E"/>
    <w:rsid w:val="00DF7587"/>
    <w:rsid w:val="00DF7761"/>
    <w:rsid w:val="00DF77A0"/>
    <w:rsid w:val="00DF7928"/>
    <w:rsid w:val="00DF7AF9"/>
    <w:rsid w:val="00DF7C76"/>
    <w:rsid w:val="00E00035"/>
    <w:rsid w:val="00E00182"/>
    <w:rsid w:val="00E00674"/>
    <w:rsid w:val="00E007B5"/>
    <w:rsid w:val="00E0092A"/>
    <w:rsid w:val="00E00B31"/>
    <w:rsid w:val="00E00B3E"/>
    <w:rsid w:val="00E00B7E"/>
    <w:rsid w:val="00E00ED6"/>
    <w:rsid w:val="00E0104D"/>
    <w:rsid w:val="00E012BE"/>
    <w:rsid w:val="00E0148B"/>
    <w:rsid w:val="00E016C9"/>
    <w:rsid w:val="00E0177B"/>
    <w:rsid w:val="00E019E7"/>
    <w:rsid w:val="00E01CBA"/>
    <w:rsid w:val="00E01ED7"/>
    <w:rsid w:val="00E01F57"/>
    <w:rsid w:val="00E020F6"/>
    <w:rsid w:val="00E022BD"/>
    <w:rsid w:val="00E022DE"/>
    <w:rsid w:val="00E02509"/>
    <w:rsid w:val="00E02B35"/>
    <w:rsid w:val="00E02BB5"/>
    <w:rsid w:val="00E02CDE"/>
    <w:rsid w:val="00E02D0A"/>
    <w:rsid w:val="00E02F49"/>
    <w:rsid w:val="00E031F8"/>
    <w:rsid w:val="00E03256"/>
    <w:rsid w:val="00E033B4"/>
    <w:rsid w:val="00E035F5"/>
    <w:rsid w:val="00E038B9"/>
    <w:rsid w:val="00E03ADC"/>
    <w:rsid w:val="00E03CAE"/>
    <w:rsid w:val="00E03DEB"/>
    <w:rsid w:val="00E03F72"/>
    <w:rsid w:val="00E03F7D"/>
    <w:rsid w:val="00E0413A"/>
    <w:rsid w:val="00E04654"/>
    <w:rsid w:val="00E047D1"/>
    <w:rsid w:val="00E04A84"/>
    <w:rsid w:val="00E04D12"/>
    <w:rsid w:val="00E05291"/>
    <w:rsid w:val="00E05529"/>
    <w:rsid w:val="00E055F4"/>
    <w:rsid w:val="00E05704"/>
    <w:rsid w:val="00E059E9"/>
    <w:rsid w:val="00E05A2F"/>
    <w:rsid w:val="00E05ED2"/>
    <w:rsid w:val="00E05F52"/>
    <w:rsid w:val="00E0652A"/>
    <w:rsid w:val="00E06851"/>
    <w:rsid w:val="00E068B7"/>
    <w:rsid w:val="00E06EC7"/>
    <w:rsid w:val="00E07017"/>
    <w:rsid w:val="00E07028"/>
    <w:rsid w:val="00E07074"/>
    <w:rsid w:val="00E0715E"/>
    <w:rsid w:val="00E07533"/>
    <w:rsid w:val="00E07607"/>
    <w:rsid w:val="00E076D7"/>
    <w:rsid w:val="00E0777A"/>
    <w:rsid w:val="00E0789E"/>
    <w:rsid w:val="00E07BED"/>
    <w:rsid w:val="00E07D8B"/>
    <w:rsid w:val="00E07E8D"/>
    <w:rsid w:val="00E07F8C"/>
    <w:rsid w:val="00E10B87"/>
    <w:rsid w:val="00E10D0B"/>
    <w:rsid w:val="00E10D15"/>
    <w:rsid w:val="00E10E4D"/>
    <w:rsid w:val="00E10E74"/>
    <w:rsid w:val="00E10FBE"/>
    <w:rsid w:val="00E112F1"/>
    <w:rsid w:val="00E11503"/>
    <w:rsid w:val="00E117A4"/>
    <w:rsid w:val="00E117B4"/>
    <w:rsid w:val="00E11877"/>
    <w:rsid w:val="00E11C5C"/>
    <w:rsid w:val="00E11FDA"/>
    <w:rsid w:val="00E11FEB"/>
    <w:rsid w:val="00E121A2"/>
    <w:rsid w:val="00E12361"/>
    <w:rsid w:val="00E12585"/>
    <w:rsid w:val="00E125F6"/>
    <w:rsid w:val="00E1274A"/>
    <w:rsid w:val="00E13063"/>
    <w:rsid w:val="00E1315D"/>
    <w:rsid w:val="00E13258"/>
    <w:rsid w:val="00E1344D"/>
    <w:rsid w:val="00E13B64"/>
    <w:rsid w:val="00E13B88"/>
    <w:rsid w:val="00E13B91"/>
    <w:rsid w:val="00E13C0A"/>
    <w:rsid w:val="00E13C8A"/>
    <w:rsid w:val="00E1445D"/>
    <w:rsid w:val="00E14477"/>
    <w:rsid w:val="00E14618"/>
    <w:rsid w:val="00E147E5"/>
    <w:rsid w:val="00E14834"/>
    <w:rsid w:val="00E14845"/>
    <w:rsid w:val="00E14C0C"/>
    <w:rsid w:val="00E15127"/>
    <w:rsid w:val="00E152BB"/>
    <w:rsid w:val="00E152CE"/>
    <w:rsid w:val="00E154B4"/>
    <w:rsid w:val="00E15806"/>
    <w:rsid w:val="00E15CC6"/>
    <w:rsid w:val="00E15CC8"/>
    <w:rsid w:val="00E161DC"/>
    <w:rsid w:val="00E162BD"/>
    <w:rsid w:val="00E162DE"/>
    <w:rsid w:val="00E16C74"/>
    <w:rsid w:val="00E16C7C"/>
    <w:rsid w:val="00E16D71"/>
    <w:rsid w:val="00E16F2E"/>
    <w:rsid w:val="00E172F1"/>
    <w:rsid w:val="00E175DB"/>
    <w:rsid w:val="00E17E27"/>
    <w:rsid w:val="00E17F12"/>
    <w:rsid w:val="00E17F88"/>
    <w:rsid w:val="00E17FCC"/>
    <w:rsid w:val="00E200A0"/>
    <w:rsid w:val="00E200AA"/>
    <w:rsid w:val="00E203AF"/>
    <w:rsid w:val="00E20425"/>
    <w:rsid w:val="00E205AA"/>
    <w:rsid w:val="00E20647"/>
    <w:rsid w:val="00E2086B"/>
    <w:rsid w:val="00E20A68"/>
    <w:rsid w:val="00E20D74"/>
    <w:rsid w:val="00E213E7"/>
    <w:rsid w:val="00E2140B"/>
    <w:rsid w:val="00E21747"/>
    <w:rsid w:val="00E21E86"/>
    <w:rsid w:val="00E220B8"/>
    <w:rsid w:val="00E22354"/>
    <w:rsid w:val="00E22525"/>
    <w:rsid w:val="00E22889"/>
    <w:rsid w:val="00E22A69"/>
    <w:rsid w:val="00E22A8D"/>
    <w:rsid w:val="00E22CA1"/>
    <w:rsid w:val="00E22D70"/>
    <w:rsid w:val="00E22E35"/>
    <w:rsid w:val="00E23510"/>
    <w:rsid w:val="00E2371F"/>
    <w:rsid w:val="00E23733"/>
    <w:rsid w:val="00E237E5"/>
    <w:rsid w:val="00E23B40"/>
    <w:rsid w:val="00E23DF3"/>
    <w:rsid w:val="00E23EBE"/>
    <w:rsid w:val="00E24071"/>
    <w:rsid w:val="00E245FD"/>
    <w:rsid w:val="00E24622"/>
    <w:rsid w:val="00E24A9F"/>
    <w:rsid w:val="00E24BB0"/>
    <w:rsid w:val="00E24ECB"/>
    <w:rsid w:val="00E24F14"/>
    <w:rsid w:val="00E250FB"/>
    <w:rsid w:val="00E2535A"/>
    <w:rsid w:val="00E253FB"/>
    <w:rsid w:val="00E255D4"/>
    <w:rsid w:val="00E25652"/>
    <w:rsid w:val="00E25858"/>
    <w:rsid w:val="00E2595E"/>
    <w:rsid w:val="00E25E66"/>
    <w:rsid w:val="00E25FBA"/>
    <w:rsid w:val="00E26258"/>
    <w:rsid w:val="00E26B92"/>
    <w:rsid w:val="00E26B96"/>
    <w:rsid w:val="00E27A61"/>
    <w:rsid w:val="00E27B52"/>
    <w:rsid w:val="00E30557"/>
    <w:rsid w:val="00E3075D"/>
    <w:rsid w:val="00E30A56"/>
    <w:rsid w:val="00E30CAD"/>
    <w:rsid w:val="00E30DC7"/>
    <w:rsid w:val="00E30F3B"/>
    <w:rsid w:val="00E3113F"/>
    <w:rsid w:val="00E3116C"/>
    <w:rsid w:val="00E3129F"/>
    <w:rsid w:val="00E3190E"/>
    <w:rsid w:val="00E31934"/>
    <w:rsid w:val="00E31B2D"/>
    <w:rsid w:val="00E32AA4"/>
    <w:rsid w:val="00E32ECE"/>
    <w:rsid w:val="00E331C4"/>
    <w:rsid w:val="00E3326E"/>
    <w:rsid w:val="00E333F3"/>
    <w:rsid w:val="00E33490"/>
    <w:rsid w:val="00E33519"/>
    <w:rsid w:val="00E33616"/>
    <w:rsid w:val="00E339CB"/>
    <w:rsid w:val="00E33AA3"/>
    <w:rsid w:val="00E33D54"/>
    <w:rsid w:val="00E33E2A"/>
    <w:rsid w:val="00E33EE4"/>
    <w:rsid w:val="00E34168"/>
    <w:rsid w:val="00E344CB"/>
    <w:rsid w:val="00E346BE"/>
    <w:rsid w:val="00E346D5"/>
    <w:rsid w:val="00E34729"/>
    <w:rsid w:val="00E347C7"/>
    <w:rsid w:val="00E34D87"/>
    <w:rsid w:val="00E34E66"/>
    <w:rsid w:val="00E34EE2"/>
    <w:rsid w:val="00E3534C"/>
    <w:rsid w:val="00E35F38"/>
    <w:rsid w:val="00E3624A"/>
    <w:rsid w:val="00E3629F"/>
    <w:rsid w:val="00E36463"/>
    <w:rsid w:val="00E36785"/>
    <w:rsid w:val="00E36830"/>
    <w:rsid w:val="00E3694B"/>
    <w:rsid w:val="00E36E95"/>
    <w:rsid w:val="00E36F46"/>
    <w:rsid w:val="00E37569"/>
    <w:rsid w:val="00E375BF"/>
    <w:rsid w:val="00E377B9"/>
    <w:rsid w:val="00E37E58"/>
    <w:rsid w:val="00E37FB6"/>
    <w:rsid w:val="00E401AA"/>
    <w:rsid w:val="00E40205"/>
    <w:rsid w:val="00E40393"/>
    <w:rsid w:val="00E40726"/>
    <w:rsid w:val="00E40850"/>
    <w:rsid w:val="00E40A7C"/>
    <w:rsid w:val="00E40EBE"/>
    <w:rsid w:val="00E4100D"/>
    <w:rsid w:val="00E411C2"/>
    <w:rsid w:val="00E41271"/>
    <w:rsid w:val="00E41273"/>
    <w:rsid w:val="00E413C3"/>
    <w:rsid w:val="00E4143E"/>
    <w:rsid w:val="00E414C3"/>
    <w:rsid w:val="00E4182D"/>
    <w:rsid w:val="00E41840"/>
    <w:rsid w:val="00E41950"/>
    <w:rsid w:val="00E41C27"/>
    <w:rsid w:val="00E41FB5"/>
    <w:rsid w:val="00E4218E"/>
    <w:rsid w:val="00E4257A"/>
    <w:rsid w:val="00E425D1"/>
    <w:rsid w:val="00E42730"/>
    <w:rsid w:val="00E42948"/>
    <w:rsid w:val="00E42BB6"/>
    <w:rsid w:val="00E42E7A"/>
    <w:rsid w:val="00E432B3"/>
    <w:rsid w:val="00E4346F"/>
    <w:rsid w:val="00E434C9"/>
    <w:rsid w:val="00E4365A"/>
    <w:rsid w:val="00E437E2"/>
    <w:rsid w:val="00E438F7"/>
    <w:rsid w:val="00E43964"/>
    <w:rsid w:val="00E43EEC"/>
    <w:rsid w:val="00E4420A"/>
    <w:rsid w:val="00E4426B"/>
    <w:rsid w:val="00E442D4"/>
    <w:rsid w:val="00E4441C"/>
    <w:rsid w:val="00E444B1"/>
    <w:rsid w:val="00E44633"/>
    <w:rsid w:val="00E446B7"/>
    <w:rsid w:val="00E447DE"/>
    <w:rsid w:val="00E449F3"/>
    <w:rsid w:val="00E4504B"/>
    <w:rsid w:val="00E455DC"/>
    <w:rsid w:val="00E45660"/>
    <w:rsid w:val="00E45788"/>
    <w:rsid w:val="00E45942"/>
    <w:rsid w:val="00E459EB"/>
    <w:rsid w:val="00E45AD3"/>
    <w:rsid w:val="00E45C1A"/>
    <w:rsid w:val="00E45DB6"/>
    <w:rsid w:val="00E45E33"/>
    <w:rsid w:val="00E45F9B"/>
    <w:rsid w:val="00E46257"/>
    <w:rsid w:val="00E464EF"/>
    <w:rsid w:val="00E46B9C"/>
    <w:rsid w:val="00E46C0B"/>
    <w:rsid w:val="00E46C8F"/>
    <w:rsid w:val="00E46D3E"/>
    <w:rsid w:val="00E46ED0"/>
    <w:rsid w:val="00E46EF2"/>
    <w:rsid w:val="00E47078"/>
    <w:rsid w:val="00E47084"/>
    <w:rsid w:val="00E47714"/>
    <w:rsid w:val="00E47755"/>
    <w:rsid w:val="00E47C36"/>
    <w:rsid w:val="00E47DA6"/>
    <w:rsid w:val="00E47FE8"/>
    <w:rsid w:val="00E50860"/>
    <w:rsid w:val="00E50AA3"/>
    <w:rsid w:val="00E50BAA"/>
    <w:rsid w:val="00E50CA3"/>
    <w:rsid w:val="00E5113D"/>
    <w:rsid w:val="00E51336"/>
    <w:rsid w:val="00E513F6"/>
    <w:rsid w:val="00E51470"/>
    <w:rsid w:val="00E51B49"/>
    <w:rsid w:val="00E51D5A"/>
    <w:rsid w:val="00E52216"/>
    <w:rsid w:val="00E52796"/>
    <w:rsid w:val="00E52A88"/>
    <w:rsid w:val="00E52B68"/>
    <w:rsid w:val="00E52C16"/>
    <w:rsid w:val="00E52C28"/>
    <w:rsid w:val="00E530E4"/>
    <w:rsid w:val="00E5329D"/>
    <w:rsid w:val="00E539F4"/>
    <w:rsid w:val="00E53BCE"/>
    <w:rsid w:val="00E53C27"/>
    <w:rsid w:val="00E53D3A"/>
    <w:rsid w:val="00E54112"/>
    <w:rsid w:val="00E54129"/>
    <w:rsid w:val="00E544E8"/>
    <w:rsid w:val="00E5468D"/>
    <w:rsid w:val="00E550A0"/>
    <w:rsid w:val="00E550DD"/>
    <w:rsid w:val="00E55149"/>
    <w:rsid w:val="00E55711"/>
    <w:rsid w:val="00E55770"/>
    <w:rsid w:val="00E55BFC"/>
    <w:rsid w:val="00E55D78"/>
    <w:rsid w:val="00E55F14"/>
    <w:rsid w:val="00E56057"/>
    <w:rsid w:val="00E5632A"/>
    <w:rsid w:val="00E564C4"/>
    <w:rsid w:val="00E564FF"/>
    <w:rsid w:val="00E5657C"/>
    <w:rsid w:val="00E56627"/>
    <w:rsid w:val="00E56830"/>
    <w:rsid w:val="00E56A6C"/>
    <w:rsid w:val="00E56BB1"/>
    <w:rsid w:val="00E56D84"/>
    <w:rsid w:val="00E56DD0"/>
    <w:rsid w:val="00E56EB1"/>
    <w:rsid w:val="00E57021"/>
    <w:rsid w:val="00E57365"/>
    <w:rsid w:val="00E574FC"/>
    <w:rsid w:val="00E5769E"/>
    <w:rsid w:val="00E579A5"/>
    <w:rsid w:val="00E57A33"/>
    <w:rsid w:val="00E57A98"/>
    <w:rsid w:val="00E57A9B"/>
    <w:rsid w:val="00E57DA7"/>
    <w:rsid w:val="00E57DF9"/>
    <w:rsid w:val="00E600D3"/>
    <w:rsid w:val="00E602DA"/>
    <w:rsid w:val="00E603D2"/>
    <w:rsid w:val="00E604E4"/>
    <w:rsid w:val="00E606F1"/>
    <w:rsid w:val="00E609E6"/>
    <w:rsid w:val="00E60B12"/>
    <w:rsid w:val="00E60B30"/>
    <w:rsid w:val="00E60C25"/>
    <w:rsid w:val="00E60FF8"/>
    <w:rsid w:val="00E612FF"/>
    <w:rsid w:val="00E618F3"/>
    <w:rsid w:val="00E619AB"/>
    <w:rsid w:val="00E61AEC"/>
    <w:rsid w:val="00E61C46"/>
    <w:rsid w:val="00E61C89"/>
    <w:rsid w:val="00E6205D"/>
    <w:rsid w:val="00E6259B"/>
    <w:rsid w:val="00E6259E"/>
    <w:rsid w:val="00E62720"/>
    <w:rsid w:val="00E62995"/>
    <w:rsid w:val="00E62DB3"/>
    <w:rsid w:val="00E62E76"/>
    <w:rsid w:val="00E62E8D"/>
    <w:rsid w:val="00E62FB4"/>
    <w:rsid w:val="00E62FE4"/>
    <w:rsid w:val="00E6306A"/>
    <w:rsid w:val="00E6327A"/>
    <w:rsid w:val="00E6372F"/>
    <w:rsid w:val="00E64271"/>
    <w:rsid w:val="00E64316"/>
    <w:rsid w:val="00E6451E"/>
    <w:rsid w:val="00E6456F"/>
    <w:rsid w:val="00E64711"/>
    <w:rsid w:val="00E64EA9"/>
    <w:rsid w:val="00E6561E"/>
    <w:rsid w:val="00E6579B"/>
    <w:rsid w:val="00E659C0"/>
    <w:rsid w:val="00E65A19"/>
    <w:rsid w:val="00E65A4D"/>
    <w:rsid w:val="00E65D17"/>
    <w:rsid w:val="00E6636E"/>
    <w:rsid w:val="00E66447"/>
    <w:rsid w:val="00E664EA"/>
    <w:rsid w:val="00E66654"/>
    <w:rsid w:val="00E667CF"/>
    <w:rsid w:val="00E66D31"/>
    <w:rsid w:val="00E67043"/>
    <w:rsid w:val="00E67213"/>
    <w:rsid w:val="00E67591"/>
    <w:rsid w:val="00E67BEF"/>
    <w:rsid w:val="00E67FA2"/>
    <w:rsid w:val="00E70314"/>
    <w:rsid w:val="00E704A5"/>
    <w:rsid w:val="00E70544"/>
    <w:rsid w:val="00E7093D"/>
    <w:rsid w:val="00E70AA1"/>
    <w:rsid w:val="00E70AEB"/>
    <w:rsid w:val="00E70BEB"/>
    <w:rsid w:val="00E70C42"/>
    <w:rsid w:val="00E70E18"/>
    <w:rsid w:val="00E71266"/>
    <w:rsid w:val="00E712BC"/>
    <w:rsid w:val="00E71566"/>
    <w:rsid w:val="00E72027"/>
    <w:rsid w:val="00E723B7"/>
    <w:rsid w:val="00E72516"/>
    <w:rsid w:val="00E7261E"/>
    <w:rsid w:val="00E72723"/>
    <w:rsid w:val="00E727DD"/>
    <w:rsid w:val="00E728AB"/>
    <w:rsid w:val="00E728D4"/>
    <w:rsid w:val="00E72B50"/>
    <w:rsid w:val="00E72DDE"/>
    <w:rsid w:val="00E72EB0"/>
    <w:rsid w:val="00E72EC5"/>
    <w:rsid w:val="00E73236"/>
    <w:rsid w:val="00E732B9"/>
    <w:rsid w:val="00E73330"/>
    <w:rsid w:val="00E733C9"/>
    <w:rsid w:val="00E73698"/>
    <w:rsid w:val="00E73846"/>
    <w:rsid w:val="00E73A52"/>
    <w:rsid w:val="00E73D58"/>
    <w:rsid w:val="00E73D75"/>
    <w:rsid w:val="00E73EEB"/>
    <w:rsid w:val="00E741A2"/>
    <w:rsid w:val="00E74267"/>
    <w:rsid w:val="00E742B3"/>
    <w:rsid w:val="00E7431E"/>
    <w:rsid w:val="00E74808"/>
    <w:rsid w:val="00E7486E"/>
    <w:rsid w:val="00E748DC"/>
    <w:rsid w:val="00E7496D"/>
    <w:rsid w:val="00E74AA9"/>
    <w:rsid w:val="00E74C4B"/>
    <w:rsid w:val="00E74C93"/>
    <w:rsid w:val="00E74E89"/>
    <w:rsid w:val="00E75191"/>
    <w:rsid w:val="00E75232"/>
    <w:rsid w:val="00E75481"/>
    <w:rsid w:val="00E755A8"/>
    <w:rsid w:val="00E755AA"/>
    <w:rsid w:val="00E75706"/>
    <w:rsid w:val="00E75A72"/>
    <w:rsid w:val="00E7636D"/>
    <w:rsid w:val="00E767EF"/>
    <w:rsid w:val="00E7682B"/>
    <w:rsid w:val="00E7685F"/>
    <w:rsid w:val="00E76917"/>
    <w:rsid w:val="00E76AAB"/>
    <w:rsid w:val="00E76BBA"/>
    <w:rsid w:val="00E7722B"/>
    <w:rsid w:val="00E772C3"/>
    <w:rsid w:val="00E773E7"/>
    <w:rsid w:val="00E779BB"/>
    <w:rsid w:val="00E80536"/>
    <w:rsid w:val="00E805D7"/>
    <w:rsid w:val="00E805FB"/>
    <w:rsid w:val="00E806B2"/>
    <w:rsid w:val="00E80705"/>
    <w:rsid w:val="00E80843"/>
    <w:rsid w:val="00E80941"/>
    <w:rsid w:val="00E81049"/>
    <w:rsid w:val="00E8140B"/>
    <w:rsid w:val="00E8160A"/>
    <w:rsid w:val="00E818C7"/>
    <w:rsid w:val="00E81F21"/>
    <w:rsid w:val="00E81F61"/>
    <w:rsid w:val="00E8213D"/>
    <w:rsid w:val="00E821FC"/>
    <w:rsid w:val="00E82288"/>
    <w:rsid w:val="00E82DE1"/>
    <w:rsid w:val="00E82E6B"/>
    <w:rsid w:val="00E83352"/>
    <w:rsid w:val="00E834B0"/>
    <w:rsid w:val="00E834FC"/>
    <w:rsid w:val="00E83586"/>
    <w:rsid w:val="00E836A5"/>
    <w:rsid w:val="00E83C4E"/>
    <w:rsid w:val="00E83E5E"/>
    <w:rsid w:val="00E83E95"/>
    <w:rsid w:val="00E83F18"/>
    <w:rsid w:val="00E8408C"/>
    <w:rsid w:val="00E8420E"/>
    <w:rsid w:val="00E842E7"/>
    <w:rsid w:val="00E8445F"/>
    <w:rsid w:val="00E848F6"/>
    <w:rsid w:val="00E84DEF"/>
    <w:rsid w:val="00E85072"/>
    <w:rsid w:val="00E85294"/>
    <w:rsid w:val="00E8558D"/>
    <w:rsid w:val="00E856D5"/>
    <w:rsid w:val="00E8582C"/>
    <w:rsid w:val="00E85EC1"/>
    <w:rsid w:val="00E8616D"/>
    <w:rsid w:val="00E8632E"/>
    <w:rsid w:val="00E864B0"/>
    <w:rsid w:val="00E86703"/>
    <w:rsid w:val="00E8679D"/>
    <w:rsid w:val="00E86FF1"/>
    <w:rsid w:val="00E87477"/>
    <w:rsid w:val="00E87733"/>
    <w:rsid w:val="00E87879"/>
    <w:rsid w:val="00E87B6C"/>
    <w:rsid w:val="00E90168"/>
    <w:rsid w:val="00E9030B"/>
    <w:rsid w:val="00E903CF"/>
    <w:rsid w:val="00E904D3"/>
    <w:rsid w:val="00E90611"/>
    <w:rsid w:val="00E907B6"/>
    <w:rsid w:val="00E9084F"/>
    <w:rsid w:val="00E90A24"/>
    <w:rsid w:val="00E90A34"/>
    <w:rsid w:val="00E90A77"/>
    <w:rsid w:val="00E90CA8"/>
    <w:rsid w:val="00E90D5C"/>
    <w:rsid w:val="00E90EED"/>
    <w:rsid w:val="00E90FC1"/>
    <w:rsid w:val="00E91587"/>
    <w:rsid w:val="00E915D2"/>
    <w:rsid w:val="00E919E0"/>
    <w:rsid w:val="00E91B13"/>
    <w:rsid w:val="00E91FA4"/>
    <w:rsid w:val="00E92086"/>
    <w:rsid w:val="00E920D8"/>
    <w:rsid w:val="00E92C08"/>
    <w:rsid w:val="00E93067"/>
    <w:rsid w:val="00E93265"/>
    <w:rsid w:val="00E93306"/>
    <w:rsid w:val="00E93556"/>
    <w:rsid w:val="00E936BC"/>
    <w:rsid w:val="00E936E9"/>
    <w:rsid w:val="00E9376B"/>
    <w:rsid w:val="00E9381A"/>
    <w:rsid w:val="00E93880"/>
    <w:rsid w:val="00E93A80"/>
    <w:rsid w:val="00E94059"/>
    <w:rsid w:val="00E94068"/>
    <w:rsid w:val="00E940CC"/>
    <w:rsid w:val="00E94478"/>
    <w:rsid w:val="00E94533"/>
    <w:rsid w:val="00E948B3"/>
    <w:rsid w:val="00E94D08"/>
    <w:rsid w:val="00E95080"/>
    <w:rsid w:val="00E9527A"/>
    <w:rsid w:val="00E95651"/>
    <w:rsid w:val="00E959F8"/>
    <w:rsid w:val="00E95ABB"/>
    <w:rsid w:val="00E95BB4"/>
    <w:rsid w:val="00E962A6"/>
    <w:rsid w:val="00E96CD2"/>
    <w:rsid w:val="00E96CEF"/>
    <w:rsid w:val="00E96F94"/>
    <w:rsid w:val="00E9719C"/>
    <w:rsid w:val="00E974C5"/>
    <w:rsid w:val="00E9755C"/>
    <w:rsid w:val="00E97612"/>
    <w:rsid w:val="00E97837"/>
    <w:rsid w:val="00E97B82"/>
    <w:rsid w:val="00E97BCF"/>
    <w:rsid w:val="00E97C34"/>
    <w:rsid w:val="00E97D83"/>
    <w:rsid w:val="00E97F71"/>
    <w:rsid w:val="00EA0318"/>
    <w:rsid w:val="00EA09B3"/>
    <w:rsid w:val="00EA09FC"/>
    <w:rsid w:val="00EA0AC0"/>
    <w:rsid w:val="00EA0B38"/>
    <w:rsid w:val="00EA0B95"/>
    <w:rsid w:val="00EA0C48"/>
    <w:rsid w:val="00EA0ED8"/>
    <w:rsid w:val="00EA1054"/>
    <w:rsid w:val="00EA1113"/>
    <w:rsid w:val="00EA11F2"/>
    <w:rsid w:val="00EA12F2"/>
    <w:rsid w:val="00EA1A25"/>
    <w:rsid w:val="00EA1C4F"/>
    <w:rsid w:val="00EA1C71"/>
    <w:rsid w:val="00EA1C85"/>
    <w:rsid w:val="00EA2231"/>
    <w:rsid w:val="00EA24BE"/>
    <w:rsid w:val="00EA2877"/>
    <w:rsid w:val="00EA28A7"/>
    <w:rsid w:val="00EA2B3E"/>
    <w:rsid w:val="00EA2B5F"/>
    <w:rsid w:val="00EA2ED8"/>
    <w:rsid w:val="00EA2F2D"/>
    <w:rsid w:val="00EA2F6E"/>
    <w:rsid w:val="00EA3084"/>
    <w:rsid w:val="00EA3180"/>
    <w:rsid w:val="00EA32EC"/>
    <w:rsid w:val="00EA3729"/>
    <w:rsid w:val="00EA40DB"/>
    <w:rsid w:val="00EA4D24"/>
    <w:rsid w:val="00EA5562"/>
    <w:rsid w:val="00EA5909"/>
    <w:rsid w:val="00EA5D68"/>
    <w:rsid w:val="00EA644D"/>
    <w:rsid w:val="00EA663D"/>
    <w:rsid w:val="00EA66A3"/>
    <w:rsid w:val="00EA66F5"/>
    <w:rsid w:val="00EA6A3B"/>
    <w:rsid w:val="00EA6AEA"/>
    <w:rsid w:val="00EA7017"/>
    <w:rsid w:val="00EA7138"/>
    <w:rsid w:val="00EA74C7"/>
    <w:rsid w:val="00EA7651"/>
    <w:rsid w:val="00EA7B44"/>
    <w:rsid w:val="00EA7C99"/>
    <w:rsid w:val="00EA7CD4"/>
    <w:rsid w:val="00EA7E2E"/>
    <w:rsid w:val="00EB019C"/>
    <w:rsid w:val="00EB0769"/>
    <w:rsid w:val="00EB0B5E"/>
    <w:rsid w:val="00EB0D32"/>
    <w:rsid w:val="00EB0D5D"/>
    <w:rsid w:val="00EB0DC9"/>
    <w:rsid w:val="00EB1018"/>
    <w:rsid w:val="00EB120D"/>
    <w:rsid w:val="00EB12FA"/>
    <w:rsid w:val="00EB1536"/>
    <w:rsid w:val="00EB1679"/>
    <w:rsid w:val="00EB18F0"/>
    <w:rsid w:val="00EB1A10"/>
    <w:rsid w:val="00EB1C43"/>
    <w:rsid w:val="00EB1F3C"/>
    <w:rsid w:val="00EB2236"/>
    <w:rsid w:val="00EB2507"/>
    <w:rsid w:val="00EB253C"/>
    <w:rsid w:val="00EB26E2"/>
    <w:rsid w:val="00EB29B7"/>
    <w:rsid w:val="00EB2BA3"/>
    <w:rsid w:val="00EB2FAD"/>
    <w:rsid w:val="00EB2FE2"/>
    <w:rsid w:val="00EB3109"/>
    <w:rsid w:val="00EB338F"/>
    <w:rsid w:val="00EB35D1"/>
    <w:rsid w:val="00EB3736"/>
    <w:rsid w:val="00EB38A4"/>
    <w:rsid w:val="00EB3A60"/>
    <w:rsid w:val="00EB3B8C"/>
    <w:rsid w:val="00EB3BA6"/>
    <w:rsid w:val="00EB3BCD"/>
    <w:rsid w:val="00EB3C44"/>
    <w:rsid w:val="00EB3CA5"/>
    <w:rsid w:val="00EB3D3E"/>
    <w:rsid w:val="00EB3E3C"/>
    <w:rsid w:val="00EB4227"/>
    <w:rsid w:val="00EB484C"/>
    <w:rsid w:val="00EB4E57"/>
    <w:rsid w:val="00EB4E61"/>
    <w:rsid w:val="00EB5091"/>
    <w:rsid w:val="00EB5723"/>
    <w:rsid w:val="00EB5A1D"/>
    <w:rsid w:val="00EB5C08"/>
    <w:rsid w:val="00EB6310"/>
    <w:rsid w:val="00EB63E9"/>
    <w:rsid w:val="00EB6415"/>
    <w:rsid w:val="00EB6457"/>
    <w:rsid w:val="00EB64B7"/>
    <w:rsid w:val="00EB6673"/>
    <w:rsid w:val="00EB67CD"/>
    <w:rsid w:val="00EB68B3"/>
    <w:rsid w:val="00EB6A30"/>
    <w:rsid w:val="00EB6DCA"/>
    <w:rsid w:val="00EB7202"/>
    <w:rsid w:val="00EB7537"/>
    <w:rsid w:val="00EB763E"/>
    <w:rsid w:val="00EB772A"/>
    <w:rsid w:val="00EB7A26"/>
    <w:rsid w:val="00EB7AD3"/>
    <w:rsid w:val="00EB7BB7"/>
    <w:rsid w:val="00EB7CCF"/>
    <w:rsid w:val="00EB7E4E"/>
    <w:rsid w:val="00EC053D"/>
    <w:rsid w:val="00EC068F"/>
    <w:rsid w:val="00EC0860"/>
    <w:rsid w:val="00EC0CE8"/>
    <w:rsid w:val="00EC0D2E"/>
    <w:rsid w:val="00EC0D56"/>
    <w:rsid w:val="00EC1094"/>
    <w:rsid w:val="00EC12CE"/>
    <w:rsid w:val="00EC14BA"/>
    <w:rsid w:val="00EC14D4"/>
    <w:rsid w:val="00EC159A"/>
    <w:rsid w:val="00EC15EB"/>
    <w:rsid w:val="00EC1723"/>
    <w:rsid w:val="00EC1AFD"/>
    <w:rsid w:val="00EC1F42"/>
    <w:rsid w:val="00EC1FF3"/>
    <w:rsid w:val="00EC21E5"/>
    <w:rsid w:val="00EC26CD"/>
    <w:rsid w:val="00EC2984"/>
    <w:rsid w:val="00EC2B01"/>
    <w:rsid w:val="00EC2B68"/>
    <w:rsid w:val="00EC2E62"/>
    <w:rsid w:val="00EC2F3D"/>
    <w:rsid w:val="00EC31B9"/>
    <w:rsid w:val="00EC343F"/>
    <w:rsid w:val="00EC35EA"/>
    <w:rsid w:val="00EC392A"/>
    <w:rsid w:val="00EC3973"/>
    <w:rsid w:val="00EC3AEA"/>
    <w:rsid w:val="00EC3D47"/>
    <w:rsid w:val="00EC3FF9"/>
    <w:rsid w:val="00EC435D"/>
    <w:rsid w:val="00EC46C5"/>
    <w:rsid w:val="00EC470B"/>
    <w:rsid w:val="00EC4860"/>
    <w:rsid w:val="00EC4D07"/>
    <w:rsid w:val="00EC50B3"/>
    <w:rsid w:val="00EC5115"/>
    <w:rsid w:val="00EC55A9"/>
    <w:rsid w:val="00EC5979"/>
    <w:rsid w:val="00EC59E0"/>
    <w:rsid w:val="00EC5A8A"/>
    <w:rsid w:val="00EC5CC9"/>
    <w:rsid w:val="00EC5FC3"/>
    <w:rsid w:val="00EC6193"/>
    <w:rsid w:val="00EC61E7"/>
    <w:rsid w:val="00EC6C6C"/>
    <w:rsid w:val="00EC6CB3"/>
    <w:rsid w:val="00EC6D1F"/>
    <w:rsid w:val="00EC6DE9"/>
    <w:rsid w:val="00EC7004"/>
    <w:rsid w:val="00EC71F5"/>
    <w:rsid w:val="00EC7701"/>
    <w:rsid w:val="00EC7C25"/>
    <w:rsid w:val="00ED011F"/>
    <w:rsid w:val="00ED0889"/>
    <w:rsid w:val="00ED0ACF"/>
    <w:rsid w:val="00ED0C46"/>
    <w:rsid w:val="00ED0D04"/>
    <w:rsid w:val="00ED0EE1"/>
    <w:rsid w:val="00ED1472"/>
    <w:rsid w:val="00ED1963"/>
    <w:rsid w:val="00ED1FD3"/>
    <w:rsid w:val="00ED2012"/>
    <w:rsid w:val="00ED25B9"/>
    <w:rsid w:val="00ED279D"/>
    <w:rsid w:val="00ED28CC"/>
    <w:rsid w:val="00ED2AA0"/>
    <w:rsid w:val="00ED2D0D"/>
    <w:rsid w:val="00ED30D6"/>
    <w:rsid w:val="00ED3368"/>
    <w:rsid w:val="00ED3E4F"/>
    <w:rsid w:val="00ED3FF0"/>
    <w:rsid w:val="00ED40C5"/>
    <w:rsid w:val="00ED41B8"/>
    <w:rsid w:val="00ED453C"/>
    <w:rsid w:val="00ED453D"/>
    <w:rsid w:val="00ED45A8"/>
    <w:rsid w:val="00ED473C"/>
    <w:rsid w:val="00ED47DB"/>
    <w:rsid w:val="00ED4A71"/>
    <w:rsid w:val="00ED4BEE"/>
    <w:rsid w:val="00ED5151"/>
    <w:rsid w:val="00ED523A"/>
    <w:rsid w:val="00ED5915"/>
    <w:rsid w:val="00ED59DA"/>
    <w:rsid w:val="00ED5FB3"/>
    <w:rsid w:val="00ED623D"/>
    <w:rsid w:val="00ED6271"/>
    <w:rsid w:val="00ED6441"/>
    <w:rsid w:val="00ED6452"/>
    <w:rsid w:val="00ED66D6"/>
    <w:rsid w:val="00ED678F"/>
    <w:rsid w:val="00ED68D6"/>
    <w:rsid w:val="00ED70C5"/>
    <w:rsid w:val="00ED70CD"/>
    <w:rsid w:val="00ED72B9"/>
    <w:rsid w:val="00ED79C2"/>
    <w:rsid w:val="00ED79DE"/>
    <w:rsid w:val="00ED7A7A"/>
    <w:rsid w:val="00ED7BC0"/>
    <w:rsid w:val="00ED7C48"/>
    <w:rsid w:val="00ED7D6F"/>
    <w:rsid w:val="00EE022F"/>
    <w:rsid w:val="00EE041A"/>
    <w:rsid w:val="00EE04F7"/>
    <w:rsid w:val="00EE05CD"/>
    <w:rsid w:val="00EE0675"/>
    <w:rsid w:val="00EE06EF"/>
    <w:rsid w:val="00EE0816"/>
    <w:rsid w:val="00EE0833"/>
    <w:rsid w:val="00EE096E"/>
    <w:rsid w:val="00EE152F"/>
    <w:rsid w:val="00EE1A6A"/>
    <w:rsid w:val="00EE1DDB"/>
    <w:rsid w:val="00EE1FFC"/>
    <w:rsid w:val="00EE2511"/>
    <w:rsid w:val="00EE25A7"/>
    <w:rsid w:val="00EE2A7A"/>
    <w:rsid w:val="00EE2ABE"/>
    <w:rsid w:val="00EE2C15"/>
    <w:rsid w:val="00EE2D79"/>
    <w:rsid w:val="00EE2F88"/>
    <w:rsid w:val="00EE305E"/>
    <w:rsid w:val="00EE30C0"/>
    <w:rsid w:val="00EE315F"/>
    <w:rsid w:val="00EE3365"/>
    <w:rsid w:val="00EE340B"/>
    <w:rsid w:val="00EE3DA5"/>
    <w:rsid w:val="00EE3DD6"/>
    <w:rsid w:val="00EE4201"/>
    <w:rsid w:val="00EE420B"/>
    <w:rsid w:val="00EE46F8"/>
    <w:rsid w:val="00EE48DE"/>
    <w:rsid w:val="00EE4D9C"/>
    <w:rsid w:val="00EE4F0E"/>
    <w:rsid w:val="00EE4F33"/>
    <w:rsid w:val="00EE509F"/>
    <w:rsid w:val="00EE52C5"/>
    <w:rsid w:val="00EE52D6"/>
    <w:rsid w:val="00EE5847"/>
    <w:rsid w:val="00EE5BF5"/>
    <w:rsid w:val="00EE5C0B"/>
    <w:rsid w:val="00EE5E77"/>
    <w:rsid w:val="00EE5EF0"/>
    <w:rsid w:val="00EE6029"/>
    <w:rsid w:val="00EE60B0"/>
    <w:rsid w:val="00EE625D"/>
    <w:rsid w:val="00EE6326"/>
    <w:rsid w:val="00EE679E"/>
    <w:rsid w:val="00EE67D7"/>
    <w:rsid w:val="00EE69D1"/>
    <w:rsid w:val="00EE71D8"/>
    <w:rsid w:val="00EE7997"/>
    <w:rsid w:val="00EE79EB"/>
    <w:rsid w:val="00EE7AAE"/>
    <w:rsid w:val="00EF01DD"/>
    <w:rsid w:val="00EF03F6"/>
    <w:rsid w:val="00EF04A3"/>
    <w:rsid w:val="00EF08DC"/>
    <w:rsid w:val="00EF096C"/>
    <w:rsid w:val="00EF0D1A"/>
    <w:rsid w:val="00EF0EA3"/>
    <w:rsid w:val="00EF10B2"/>
    <w:rsid w:val="00EF14D8"/>
    <w:rsid w:val="00EF180A"/>
    <w:rsid w:val="00EF180C"/>
    <w:rsid w:val="00EF18F3"/>
    <w:rsid w:val="00EF1A85"/>
    <w:rsid w:val="00EF1E96"/>
    <w:rsid w:val="00EF2018"/>
    <w:rsid w:val="00EF2273"/>
    <w:rsid w:val="00EF22A6"/>
    <w:rsid w:val="00EF238F"/>
    <w:rsid w:val="00EF26A7"/>
    <w:rsid w:val="00EF28C7"/>
    <w:rsid w:val="00EF2A43"/>
    <w:rsid w:val="00EF3130"/>
    <w:rsid w:val="00EF3278"/>
    <w:rsid w:val="00EF327A"/>
    <w:rsid w:val="00EF348B"/>
    <w:rsid w:val="00EF3564"/>
    <w:rsid w:val="00EF3704"/>
    <w:rsid w:val="00EF384E"/>
    <w:rsid w:val="00EF4A48"/>
    <w:rsid w:val="00EF56A3"/>
    <w:rsid w:val="00EF570E"/>
    <w:rsid w:val="00EF57D1"/>
    <w:rsid w:val="00EF57ED"/>
    <w:rsid w:val="00EF584B"/>
    <w:rsid w:val="00EF5A00"/>
    <w:rsid w:val="00EF5CF4"/>
    <w:rsid w:val="00EF5EDF"/>
    <w:rsid w:val="00EF628F"/>
    <w:rsid w:val="00EF6376"/>
    <w:rsid w:val="00EF63C9"/>
    <w:rsid w:val="00EF67A2"/>
    <w:rsid w:val="00EF68BA"/>
    <w:rsid w:val="00EF693C"/>
    <w:rsid w:val="00EF6980"/>
    <w:rsid w:val="00EF6AA8"/>
    <w:rsid w:val="00EF6D3D"/>
    <w:rsid w:val="00EF6DC5"/>
    <w:rsid w:val="00EF7715"/>
    <w:rsid w:val="00EF7730"/>
    <w:rsid w:val="00EF7825"/>
    <w:rsid w:val="00EF79C2"/>
    <w:rsid w:val="00EF7F46"/>
    <w:rsid w:val="00F00155"/>
    <w:rsid w:val="00F001A6"/>
    <w:rsid w:val="00F00310"/>
    <w:rsid w:val="00F0057A"/>
    <w:rsid w:val="00F007AF"/>
    <w:rsid w:val="00F00B0E"/>
    <w:rsid w:val="00F00BD9"/>
    <w:rsid w:val="00F00DC4"/>
    <w:rsid w:val="00F00E75"/>
    <w:rsid w:val="00F00FD9"/>
    <w:rsid w:val="00F013DD"/>
    <w:rsid w:val="00F013F0"/>
    <w:rsid w:val="00F014E7"/>
    <w:rsid w:val="00F01D15"/>
    <w:rsid w:val="00F02021"/>
    <w:rsid w:val="00F020D6"/>
    <w:rsid w:val="00F02315"/>
    <w:rsid w:val="00F02662"/>
    <w:rsid w:val="00F029D4"/>
    <w:rsid w:val="00F02BDC"/>
    <w:rsid w:val="00F02BDE"/>
    <w:rsid w:val="00F02EF8"/>
    <w:rsid w:val="00F02F84"/>
    <w:rsid w:val="00F02FD1"/>
    <w:rsid w:val="00F02FF4"/>
    <w:rsid w:val="00F0309E"/>
    <w:rsid w:val="00F03566"/>
    <w:rsid w:val="00F03874"/>
    <w:rsid w:val="00F03B15"/>
    <w:rsid w:val="00F03B83"/>
    <w:rsid w:val="00F03CE8"/>
    <w:rsid w:val="00F03D7D"/>
    <w:rsid w:val="00F03E2B"/>
    <w:rsid w:val="00F03F69"/>
    <w:rsid w:val="00F045A6"/>
    <w:rsid w:val="00F045E9"/>
    <w:rsid w:val="00F0473B"/>
    <w:rsid w:val="00F04C33"/>
    <w:rsid w:val="00F04CA8"/>
    <w:rsid w:val="00F0548B"/>
    <w:rsid w:val="00F05508"/>
    <w:rsid w:val="00F05A25"/>
    <w:rsid w:val="00F05C6F"/>
    <w:rsid w:val="00F05C7C"/>
    <w:rsid w:val="00F05DA7"/>
    <w:rsid w:val="00F061F8"/>
    <w:rsid w:val="00F0659C"/>
    <w:rsid w:val="00F06C9F"/>
    <w:rsid w:val="00F07260"/>
    <w:rsid w:val="00F07625"/>
    <w:rsid w:val="00F0798E"/>
    <w:rsid w:val="00F100F2"/>
    <w:rsid w:val="00F10124"/>
    <w:rsid w:val="00F102CC"/>
    <w:rsid w:val="00F10477"/>
    <w:rsid w:val="00F105B6"/>
    <w:rsid w:val="00F106A3"/>
    <w:rsid w:val="00F10AB5"/>
    <w:rsid w:val="00F10CF0"/>
    <w:rsid w:val="00F11032"/>
    <w:rsid w:val="00F1104C"/>
    <w:rsid w:val="00F1105D"/>
    <w:rsid w:val="00F1116A"/>
    <w:rsid w:val="00F11689"/>
    <w:rsid w:val="00F119F0"/>
    <w:rsid w:val="00F11B98"/>
    <w:rsid w:val="00F11BFF"/>
    <w:rsid w:val="00F11C29"/>
    <w:rsid w:val="00F11FD2"/>
    <w:rsid w:val="00F1205C"/>
    <w:rsid w:val="00F12088"/>
    <w:rsid w:val="00F1227A"/>
    <w:rsid w:val="00F12298"/>
    <w:rsid w:val="00F123EA"/>
    <w:rsid w:val="00F12B44"/>
    <w:rsid w:val="00F12E59"/>
    <w:rsid w:val="00F130C1"/>
    <w:rsid w:val="00F131A0"/>
    <w:rsid w:val="00F13325"/>
    <w:rsid w:val="00F134F5"/>
    <w:rsid w:val="00F137E5"/>
    <w:rsid w:val="00F13D06"/>
    <w:rsid w:val="00F14143"/>
    <w:rsid w:val="00F1444A"/>
    <w:rsid w:val="00F14536"/>
    <w:rsid w:val="00F146D6"/>
    <w:rsid w:val="00F148E4"/>
    <w:rsid w:val="00F1490C"/>
    <w:rsid w:val="00F14B06"/>
    <w:rsid w:val="00F14BA0"/>
    <w:rsid w:val="00F14BF9"/>
    <w:rsid w:val="00F14C01"/>
    <w:rsid w:val="00F14D22"/>
    <w:rsid w:val="00F15068"/>
    <w:rsid w:val="00F15194"/>
    <w:rsid w:val="00F15297"/>
    <w:rsid w:val="00F15532"/>
    <w:rsid w:val="00F15540"/>
    <w:rsid w:val="00F1582E"/>
    <w:rsid w:val="00F15884"/>
    <w:rsid w:val="00F158F7"/>
    <w:rsid w:val="00F15C17"/>
    <w:rsid w:val="00F15D92"/>
    <w:rsid w:val="00F16371"/>
    <w:rsid w:val="00F16440"/>
    <w:rsid w:val="00F166FF"/>
    <w:rsid w:val="00F1686D"/>
    <w:rsid w:val="00F16947"/>
    <w:rsid w:val="00F16B59"/>
    <w:rsid w:val="00F16C5C"/>
    <w:rsid w:val="00F16E7A"/>
    <w:rsid w:val="00F16EA5"/>
    <w:rsid w:val="00F16FBA"/>
    <w:rsid w:val="00F178C2"/>
    <w:rsid w:val="00F17CAE"/>
    <w:rsid w:val="00F17CF7"/>
    <w:rsid w:val="00F17E4B"/>
    <w:rsid w:val="00F17FA5"/>
    <w:rsid w:val="00F2014D"/>
    <w:rsid w:val="00F2015E"/>
    <w:rsid w:val="00F208D1"/>
    <w:rsid w:val="00F20945"/>
    <w:rsid w:val="00F20DF3"/>
    <w:rsid w:val="00F20E09"/>
    <w:rsid w:val="00F2101B"/>
    <w:rsid w:val="00F211FB"/>
    <w:rsid w:val="00F212DC"/>
    <w:rsid w:val="00F213C6"/>
    <w:rsid w:val="00F2140F"/>
    <w:rsid w:val="00F21EBF"/>
    <w:rsid w:val="00F22163"/>
    <w:rsid w:val="00F224B4"/>
    <w:rsid w:val="00F226BD"/>
    <w:rsid w:val="00F22AD4"/>
    <w:rsid w:val="00F22CCF"/>
    <w:rsid w:val="00F236E1"/>
    <w:rsid w:val="00F23803"/>
    <w:rsid w:val="00F23903"/>
    <w:rsid w:val="00F23CA2"/>
    <w:rsid w:val="00F23ED4"/>
    <w:rsid w:val="00F2443D"/>
    <w:rsid w:val="00F2450E"/>
    <w:rsid w:val="00F24878"/>
    <w:rsid w:val="00F24B18"/>
    <w:rsid w:val="00F24CFE"/>
    <w:rsid w:val="00F24F3F"/>
    <w:rsid w:val="00F24FD1"/>
    <w:rsid w:val="00F25142"/>
    <w:rsid w:val="00F25394"/>
    <w:rsid w:val="00F254AA"/>
    <w:rsid w:val="00F25904"/>
    <w:rsid w:val="00F25A8D"/>
    <w:rsid w:val="00F25C56"/>
    <w:rsid w:val="00F25E3D"/>
    <w:rsid w:val="00F2631D"/>
    <w:rsid w:val="00F26508"/>
    <w:rsid w:val="00F26551"/>
    <w:rsid w:val="00F2682F"/>
    <w:rsid w:val="00F26A7E"/>
    <w:rsid w:val="00F26BB3"/>
    <w:rsid w:val="00F26EBB"/>
    <w:rsid w:val="00F27000"/>
    <w:rsid w:val="00F27168"/>
    <w:rsid w:val="00F27537"/>
    <w:rsid w:val="00F27539"/>
    <w:rsid w:val="00F277CA"/>
    <w:rsid w:val="00F27845"/>
    <w:rsid w:val="00F27A8E"/>
    <w:rsid w:val="00F27ACE"/>
    <w:rsid w:val="00F27AFE"/>
    <w:rsid w:val="00F27DBD"/>
    <w:rsid w:val="00F27E22"/>
    <w:rsid w:val="00F27E60"/>
    <w:rsid w:val="00F30124"/>
    <w:rsid w:val="00F30149"/>
    <w:rsid w:val="00F3022C"/>
    <w:rsid w:val="00F30301"/>
    <w:rsid w:val="00F30371"/>
    <w:rsid w:val="00F303C8"/>
    <w:rsid w:val="00F30550"/>
    <w:rsid w:val="00F305D0"/>
    <w:rsid w:val="00F3066A"/>
    <w:rsid w:val="00F309ED"/>
    <w:rsid w:val="00F30B01"/>
    <w:rsid w:val="00F30D55"/>
    <w:rsid w:val="00F30F03"/>
    <w:rsid w:val="00F3109E"/>
    <w:rsid w:val="00F311B4"/>
    <w:rsid w:val="00F31477"/>
    <w:rsid w:val="00F31A28"/>
    <w:rsid w:val="00F31BC9"/>
    <w:rsid w:val="00F31FEB"/>
    <w:rsid w:val="00F327DF"/>
    <w:rsid w:val="00F3286B"/>
    <w:rsid w:val="00F32C01"/>
    <w:rsid w:val="00F32CA4"/>
    <w:rsid w:val="00F33060"/>
    <w:rsid w:val="00F33096"/>
    <w:rsid w:val="00F332B2"/>
    <w:rsid w:val="00F33358"/>
    <w:rsid w:val="00F33367"/>
    <w:rsid w:val="00F33492"/>
    <w:rsid w:val="00F3368E"/>
    <w:rsid w:val="00F33A1F"/>
    <w:rsid w:val="00F33AF4"/>
    <w:rsid w:val="00F33D4F"/>
    <w:rsid w:val="00F33E4F"/>
    <w:rsid w:val="00F34058"/>
    <w:rsid w:val="00F34079"/>
    <w:rsid w:val="00F343BB"/>
    <w:rsid w:val="00F34528"/>
    <w:rsid w:val="00F347BD"/>
    <w:rsid w:val="00F349E9"/>
    <w:rsid w:val="00F35036"/>
    <w:rsid w:val="00F3520F"/>
    <w:rsid w:val="00F35375"/>
    <w:rsid w:val="00F35504"/>
    <w:rsid w:val="00F355C3"/>
    <w:rsid w:val="00F35628"/>
    <w:rsid w:val="00F356D0"/>
    <w:rsid w:val="00F3574D"/>
    <w:rsid w:val="00F35888"/>
    <w:rsid w:val="00F358BE"/>
    <w:rsid w:val="00F35CE1"/>
    <w:rsid w:val="00F35FAC"/>
    <w:rsid w:val="00F363C9"/>
    <w:rsid w:val="00F363D2"/>
    <w:rsid w:val="00F3644A"/>
    <w:rsid w:val="00F3644E"/>
    <w:rsid w:val="00F364A5"/>
    <w:rsid w:val="00F364DA"/>
    <w:rsid w:val="00F366A9"/>
    <w:rsid w:val="00F37131"/>
    <w:rsid w:val="00F3713F"/>
    <w:rsid w:val="00F37359"/>
    <w:rsid w:val="00F378F8"/>
    <w:rsid w:val="00F37A53"/>
    <w:rsid w:val="00F37B62"/>
    <w:rsid w:val="00F37BBE"/>
    <w:rsid w:val="00F37E53"/>
    <w:rsid w:val="00F4028A"/>
    <w:rsid w:val="00F403AE"/>
    <w:rsid w:val="00F40584"/>
    <w:rsid w:val="00F409E0"/>
    <w:rsid w:val="00F411A5"/>
    <w:rsid w:val="00F412CA"/>
    <w:rsid w:val="00F41745"/>
    <w:rsid w:val="00F4185E"/>
    <w:rsid w:val="00F41A93"/>
    <w:rsid w:val="00F41B61"/>
    <w:rsid w:val="00F41BFD"/>
    <w:rsid w:val="00F41D97"/>
    <w:rsid w:val="00F41EE9"/>
    <w:rsid w:val="00F420B0"/>
    <w:rsid w:val="00F420CD"/>
    <w:rsid w:val="00F42141"/>
    <w:rsid w:val="00F42C6E"/>
    <w:rsid w:val="00F43123"/>
    <w:rsid w:val="00F434B4"/>
    <w:rsid w:val="00F434BE"/>
    <w:rsid w:val="00F435AF"/>
    <w:rsid w:val="00F43AAD"/>
    <w:rsid w:val="00F43CDC"/>
    <w:rsid w:val="00F43DA6"/>
    <w:rsid w:val="00F43E7C"/>
    <w:rsid w:val="00F44103"/>
    <w:rsid w:val="00F443B6"/>
    <w:rsid w:val="00F4473C"/>
    <w:rsid w:val="00F448A7"/>
    <w:rsid w:val="00F449E2"/>
    <w:rsid w:val="00F44C9A"/>
    <w:rsid w:val="00F44D10"/>
    <w:rsid w:val="00F45073"/>
    <w:rsid w:val="00F45169"/>
    <w:rsid w:val="00F455E4"/>
    <w:rsid w:val="00F45642"/>
    <w:rsid w:val="00F4571F"/>
    <w:rsid w:val="00F45B61"/>
    <w:rsid w:val="00F45BC5"/>
    <w:rsid w:val="00F45F39"/>
    <w:rsid w:val="00F45FF2"/>
    <w:rsid w:val="00F460C7"/>
    <w:rsid w:val="00F460C9"/>
    <w:rsid w:val="00F461AB"/>
    <w:rsid w:val="00F463C3"/>
    <w:rsid w:val="00F4645C"/>
    <w:rsid w:val="00F465E0"/>
    <w:rsid w:val="00F466A4"/>
    <w:rsid w:val="00F467C9"/>
    <w:rsid w:val="00F46B73"/>
    <w:rsid w:val="00F46C8A"/>
    <w:rsid w:val="00F4711B"/>
    <w:rsid w:val="00F47253"/>
    <w:rsid w:val="00F47466"/>
    <w:rsid w:val="00F4750F"/>
    <w:rsid w:val="00F475BB"/>
    <w:rsid w:val="00F475F7"/>
    <w:rsid w:val="00F47730"/>
    <w:rsid w:val="00F478BC"/>
    <w:rsid w:val="00F479B6"/>
    <w:rsid w:val="00F47B37"/>
    <w:rsid w:val="00F47C43"/>
    <w:rsid w:val="00F47D91"/>
    <w:rsid w:val="00F47E43"/>
    <w:rsid w:val="00F50036"/>
    <w:rsid w:val="00F5005E"/>
    <w:rsid w:val="00F50104"/>
    <w:rsid w:val="00F505B1"/>
    <w:rsid w:val="00F5068C"/>
    <w:rsid w:val="00F5076C"/>
    <w:rsid w:val="00F50957"/>
    <w:rsid w:val="00F50F12"/>
    <w:rsid w:val="00F512ED"/>
    <w:rsid w:val="00F513BF"/>
    <w:rsid w:val="00F51C60"/>
    <w:rsid w:val="00F51D6A"/>
    <w:rsid w:val="00F51E0B"/>
    <w:rsid w:val="00F51EEF"/>
    <w:rsid w:val="00F51F80"/>
    <w:rsid w:val="00F52065"/>
    <w:rsid w:val="00F52171"/>
    <w:rsid w:val="00F5235A"/>
    <w:rsid w:val="00F52536"/>
    <w:rsid w:val="00F5280D"/>
    <w:rsid w:val="00F52A0D"/>
    <w:rsid w:val="00F52D1E"/>
    <w:rsid w:val="00F52F84"/>
    <w:rsid w:val="00F52FCA"/>
    <w:rsid w:val="00F53164"/>
    <w:rsid w:val="00F53280"/>
    <w:rsid w:val="00F53370"/>
    <w:rsid w:val="00F53371"/>
    <w:rsid w:val="00F53586"/>
    <w:rsid w:val="00F5398F"/>
    <w:rsid w:val="00F53A8D"/>
    <w:rsid w:val="00F53B9B"/>
    <w:rsid w:val="00F53D6C"/>
    <w:rsid w:val="00F53DF0"/>
    <w:rsid w:val="00F54025"/>
    <w:rsid w:val="00F540A6"/>
    <w:rsid w:val="00F541C6"/>
    <w:rsid w:val="00F541FC"/>
    <w:rsid w:val="00F5429A"/>
    <w:rsid w:val="00F5432A"/>
    <w:rsid w:val="00F544D1"/>
    <w:rsid w:val="00F54A0F"/>
    <w:rsid w:val="00F54AE2"/>
    <w:rsid w:val="00F54B37"/>
    <w:rsid w:val="00F54F56"/>
    <w:rsid w:val="00F551DC"/>
    <w:rsid w:val="00F55691"/>
    <w:rsid w:val="00F55CB0"/>
    <w:rsid w:val="00F55E84"/>
    <w:rsid w:val="00F5603C"/>
    <w:rsid w:val="00F56385"/>
    <w:rsid w:val="00F56497"/>
    <w:rsid w:val="00F56C43"/>
    <w:rsid w:val="00F56D47"/>
    <w:rsid w:val="00F572E7"/>
    <w:rsid w:val="00F574A0"/>
    <w:rsid w:val="00F574EC"/>
    <w:rsid w:val="00F57598"/>
    <w:rsid w:val="00F576B0"/>
    <w:rsid w:val="00F57AD7"/>
    <w:rsid w:val="00F60AE0"/>
    <w:rsid w:val="00F60AF6"/>
    <w:rsid w:val="00F60BBD"/>
    <w:rsid w:val="00F60F16"/>
    <w:rsid w:val="00F61161"/>
    <w:rsid w:val="00F6134D"/>
    <w:rsid w:val="00F6173F"/>
    <w:rsid w:val="00F61910"/>
    <w:rsid w:val="00F61C01"/>
    <w:rsid w:val="00F62431"/>
    <w:rsid w:val="00F62562"/>
    <w:rsid w:val="00F6266B"/>
    <w:rsid w:val="00F62A3D"/>
    <w:rsid w:val="00F62EBE"/>
    <w:rsid w:val="00F62F13"/>
    <w:rsid w:val="00F630C4"/>
    <w:rsid w:val="00F632AD"/>
    <w:rsid w:val="00F63560"/>
    <w:rsid w:val="00F636BE"/>
    <w:rsid w:val="00F636F2"/>
    <w:rsid w:val="00F63896"/>
    <w:rsid w:val="00F63AB3"/>
    <w:rsid w:val="00F63B12"/>
    <w:rsid w:val="00F63BED"/>
    <w:rsid w:val="00F63EB5"/>
    <w:rsid w:val="00F64537"/>
    <w:rsid w:val="00F64D91"/>
    <w:rsid w:val="00F65297"/>
    <w:rsid w:val="00F657BB"/>
    <w:rsid w:val="00F65D99"/>
    <w:rsid w:val="00F65DA4"/>
    <w:rsid w:val="00F65E89"/>
    <w:rsid w:val="00F65EC9"/>
    <w:rsid w:val="00F65F2D"/>
    <w:rsid w:val="00F65F96"/>
    <w:rsid w:val="00F65FCD"/>
    <w:rsid w:val="00F6657D"/>
    <w:rsid w:val="00F66584"/>
    <w:rsid w:val="00F66723"/>
    <w:rsid w:val="00F66B67"/>
    <w:rsid w:val="00F66F06"/>
    <w:rsid w:val="00F670C2"/>
    <w:rsid w:val="00F6717C"/>
    <w:rsid w:val="00F67314"/>
    <w:rsid w:val="00F6750F"/>
    <w:rsid w:val="00F675B3"/>
    <w:rsid w:val="00F675E6"/>
    <w:rsid w:val="00F67886"/>
    <w:rsid w:val="00F6799A"/>
    <w:rsid w:val="00F67C5F"/>
    <w:rsid w:val="00F67D0F"/>
    <w:rsid w:val="00F67D56"/>
    <w:rsid w:val="00F70683"/>
    <w:rsid w:val="00F70768"/>
    <w:rsid w:val="00F70A58"/>
    <w:rsid w:val="00F70B49"/>
    <w:rsid w:val="00F70B8C"/>
    <w:rsid w:val="00F70EB9"/>
    <w:rsid w:val="00F70F48"/>
    <w:rsid w:val="00F70FA1"/>
    <w:rsid w:val="00F70FD7"/>
    <w:rsid w:val="00F71148"/>
    <w:rsid w:val="00F71220"/>
    <w:rsid w:val="00F7130B"/>
    <w:rsid w:val="00F718B1"/>
    <w:rsid w:val="00F718DC"/>
    <w:rsid w:val="00F719D7"/>
    <w:rsid w:val="00F71A1D"/>
    <w:rsid w:val="00F71AE7"/>
    <w:rsid w:val="00F71AED"/>
    <w:rsid w:val="00F72089"/>
    <w:rsid w:val="00F721CD"/>
    <w:rsid w:val="00F72458"/>
    <w:rsid w:val="00F7313A"/>
    <w:rsid w:val="00F73576"/>
    <w:rsid w:val="00F7357D"/>
    <w:rsid w:val="00F738B0"/>
    <w:rsid w:val="00F73B18"/>
    <w:rsid w:val="00F73B33"/>
    <w:rsid w:val="00F73BA4"/>
    <w:rsid w:val="00F73EDC"/>
    <w:rsid w:val="00F73EEA"/>
    <w:rsid w:val="00F7410E"/>
    <w:rsid w:val="00F744C6"/>
    <w:rsid w:val="00F745B3"/>
    <w:rsid w:val="00F74B10"/>
    <w:rsid w:val="00F74D77"/>
    <w:rsid w:val="00F74E01"/>
    <w:rsid w:val="00F75286"/>
    <w:rsid w:val="00F75EF2"/>
    <w:rsid w:val="00F7609F"/>
    <w:rsid w:val="00F760EA"/>
    <w:rsid w:val="00F761FC"/>
    <w:rsid w:val="00F76216"/>
    <w:rsid w:val="00F7636F"/>
    <w:rsid w:val="00F764E3"/>
    <w:rsid w:val="00F7682C"/>
    <w:rsid w:val="00F76D80"/>
    <w:rsid w:val="00F76FB2"/>
    <w:rsid w:val="00F770FC"/>
    <w:rsid w:val="00F77184"/>
    <w:rsid w:val="00F773CC"/>
    <w:rsid w:val="00F775E8"/>
    <w:rsid w:val="00F776E6"/>
    <w:rsid w:val="00F776E7"/>
    <w:rsid w:val="00F776FD"/>
    <w:rsid w:val="00F7777B"/>
    <w:rsid w:val="00F77BC4"/>
    <w:rsid w:val="00F77C21"/>
    <w:rsid w:val="00F77C8D"/>
    <w:rsid w:val="00F77D8D"/>
    <w:rsid w:val="00F77F88"/>
    <w:rsid w:val="00F80C9D"/>
    <w:rsid w:val="00F80FC4"/>
    <w:rsid w:val="00F8136D"/>
    <w:rsid w:val="00F81609"/>
    <w:rsid w:val="00F817B0"/>
    <w:rsid w:val="00F81A6B"/>
    <w:rsid w:val="00F81BC9"/>
    <w:rsid w:val="00F81F8D"/>
    <w:rsid w:val="00F82004"/>
    <w:rsid w:val="00F827E2"/>
    <w:rsid w:val="00F831E9"/>
    <w:rsid w:val="00F83391"/>
    <w:rsid w:val="00F833B5"/>
    <w:rsid w:val="00F839F6"/>
    <w:rsid w:val="00F83A9C"/>
    <w:rsid w:val="00F83BD5"/>
    <w:rsid w:val="00F83C80"/>
    <w:rsid w:val="00F83C82"/>
    <w:rsid w:val="00F83D11"/>
    <w:rsid w:val="00F83E60"/>
    <w:rsid w:val="00F83F2F"/>
    <w:rsid w:val="00F84167"/>
    <w:rsid w:val="00F843A8"/>
    <w:rsid w:val="00F843E9"/>
    <w:rsid w:val="00F84B7C"/>
    <w:rsid w:val="00F84BA4"/>
    <w:rsid w:val="00F84C30"/>
    <w:rsid w:val="00F84D8C"/>
    <w:rsid w:val="00F85388"/>
    <w:rsid w:val="00F85397"/>
    <w:rsid w:val="00F853B1"/>
    <w:rsid w:val="00F85733"/>
    <w:rsid w:val="00F85750"/>
    <w:rsid w:val="00F85783"/>
    <w:rsid w:val="00F8585D"/>
    <w:rsid w:val="00F85AEE"/>
    <w:rsid w:val="00F85D34"/>
    <w:rsid w:val="00F8657B"/>
    <w:rsid w:val="00F868A0"/>
    <w:rsid w:val="00F86B61"/>
    <w:rsid w:val="00F86B69"/>
    <w:rsid w:val="00F86CAB"/>
    <w:rsid w:val="00F8703E"/>
    <w:rsid w:val="00F87059"/>
    <w:rsid w:val="00F8718F"/>
    <w:rsid w:val="00F8719C"/>
    <w:rsid w:val="00F8724E"/>
    <w:rsid w:val="00F879C3"/>
    <w:rsid w:val="00F87A3F"/>
    <w:rsid w:val="00F87B5E"/>
    <w:rsid w:val="00F87C9E"/>
    <w:rsid w:val="00F90003"/>
    <w:rsid w:val="00F90026"/>
    <w:rsid w:val="00F90162"/>
    <w:rsid w:val="00F9027B"/>
    <w:rsid w:val="00F90412"/>
    <w:rsid w:val="00F909E7"/>
    <w:rsid w:val="00F90C0F"/>
    <w:rsid w:val="00F911DD"/>
    <w:rsid w:val="00F911E2"/>
    <w:rsid w:val="00F914EE"/>
    <w:rsid w:val="00F91504"/>
    <w:rsid w:val="00F91639"/>
    <w:rsid w:val="00F91673"/>
    <w:rsid w:val="00F91900"/>
    <w:rsid w:val="00F91943"/>
    <w:rsid w:val="00F91FB2"/>
    <w:rsid w:val="00F9202F"/>
    <w:rsid w:val="00F9255C"/>
    <w:rsid w:val="00F929D4"/>
    <w:rsid w:val="00F92AF1"/>
    <w:rsid w:val="00F92BFD"/>
    <w:rsid w:val="00F93097"/>
    <w:rsid w:val="00F930D0"/>
    <w:rsid w:val="00F931AE"/>
    <w:rsid w:val="00F93313"/>
    <w:rsid w:val="00F936E8"/>
    <w:rsid w:val="00F939B6"/>
    <w:rsid w:val="00F939E7"/>
    <w:rsid w:val="00F93FA7"/>
    <w:rsid w:val="00F941D7"/>
    <w:rsid w:val="00F941DE"/>
    <w:rsid w:val="00F9484B"/>
    <w:rsid w:val="00F948B6"/>
    <w:rsid w:val="00F949DB"/>
    <w:rsid w:val="00F94A65"/>
    <w:rsid w:val="00F94AE6"/>
    <w:rsid w:val="00F94B8D"/>
    <w:rsid w:val="00F94D63"/>
    <w:rsid w:val="00F94D95"/>
    <w:rsid w:val="00F94DF5"/>
    <w:rsid w:val="00F94F0C"/>
    <w:rsid w:val="00F95347"/>
    <w:rsid w:val="00F95383"/>
    <w:rsid w:val="00F95403"/>
    <w:rsid w:val="00F956DF"/>
    <w:rsid w:val="00F9599F"/>
    <w:rsid w:val="00F95C9D"/>
    <w:rsid w:val="00F95EC6"/>
    <w:rsid w:val="00F95F6D"/>
    <w:rsid w:val="00F95F70"/>
    <w:rsid w:val="00F96086"/>
    <w:rsid w:val="00F96874"/>
    <w:rsid w:val="00F9687C"/>
    <w:rsid w:val="00F969E2"/>
    <w:rsid w:val="00F96AAE"/>
    <w:rsid w:val="00F96AE3"/>
    <w:rsid w:val="00F96C70"/>
    <w:rsid w:val="00F96CB5"/>
    <w:rsid w:val="00F96D01"/>
    <w:rsid w:val="00F96D43"/>
    <w:rsid w:val="00F9744C"/>
    <w:rsid w:val="00F976F1"/>
    <w:rsid w:val="00F9772B"/>
    <w:rsid w:val="00F9775F"/>
    <w:rsid w:val="00F979E6"/>
    <w:rsid w:val="00F97F9D"/>
    <w:rsid w:val="00FA0831"/>
    <w:rsid w:val="00FA09AB"/>
    <w:rsid w:val="00FA0F57"/>
    <w:rsid w:val="00FA1092"/>
    <w:rsid w:val="00FA10A8"/>
    <w:rsid w:val="00FA137E"/>
    <w:rsid w:val="00FA13A8"/>
    <w:rsid w:val="00FA1499"/>
    <w:rsid w:val="00FA1771"/>
    <w:rsid w:val="00FA1C06"/>
    <w:rsid w:val="00FA1CE5"/>
    <w:rsid w:val="00FA1E4A"/>
    <w:rsid w:val="00FA1E58"/>
    <w:rsid w:val="00FA1F77"/>
    <w:rsid w:val="00FA1FA1"/>
    <w:rsid w:val="00FA20AF"/>
    <w:rsid w:val="00FA2226"/>
    <w:rsid w:val="00FA2470"/>
    <w:rsid w:val="00FA27EB"/>
    <w:rsid w:val="00FA2866"/>
    <w:rsid w:val="00FA289C"/>
    <w:rsid w:val="00FA29DE"/>
    <w:rsid w:val="00FA2A7D"/>
    <w:rsid w:val="00FA2A98"/>
    <w:rsid w:val="00FA304C"/>
    <w:rsid w:val="00FA3267"/>
    <w:rsid w:val="00FA3715"/>
    <w:rsid w:val="00FA384D"/>
    <w:rsid w:val="00FA3B23"/>
    <w:rsid w:val="00FA3B57"/>
    <w:rsid w:val="00FA3DA4"/>
    <w:rsid w:val="00FA3E14"/>
    <w:rsid w:val="00FA3E5C"/>
    <w:rsid w:val="00FA3EEE"/>
    <w:rsid w:val="00FA415A"/>
    <w:rsid w:val="00FA41BD"/>
    <w:rsid w:val="00FA448E"/>
    <w:rsid w:val="00FA4DE2"/>
    <w:rsid w:val="00FA51DE"/>
    <w:rsid w:val="00FA53D3"/>
    <w:rsid w:val="00FA5443"/>
    <w:rsid w:val="00FA55A9"/>
    <w:rsid w:val="00FA5A5A"/>
    <w:rsid w:val="00FA5BC1"/>
    <w:rsid w:val="00FA5D74"/>
    <w:rsid w:val="00FA61C8"/>
    <w:rsid w:val="00FA61DF"/>
    <w:rsid w:val="00FA6248"/>
    <w:rsid w:val="00FA643B"/>
    <w:rsid w:val="00FA67B6"/>
    <w:rsid w:val="00FA6C5B"/>
    <w:rsid w:val="00FA6D84"/>
    <w:rsid w:val="00FA6E8F"/>
    <w:rsid w:val="00FA6F4D"/>
    <w:rsid w:val="00FA71BD"/>
    <w:rsid w:val="00FA7252"/>
    <w:rsid w:val="00FA750E"/>
    <w:rsid w:val="00FA759D"/>
    <w:rsid w:val="00FA7D7A"/>
    <w:rsid w:val="00FA7FEC"/>
    <w:rsid w:val="00FB04ED"/>
    <w:rsid w:val="00FB053F"/>
    <w:rsid w:val="00FB0856"/>
    <w:rsid w:val="00FB090F"/>
    <w:rsid w:val="00FB099A"/>
    <w:rsid w:val="00FB0A3D"/>
    <w:rsid w:val="00FB0DB4"/>
    <w:rsid w:val="00FB0DC2"/>
    <w:rsid w:val="00FB0E3A"/>
    <w:rsid w:val="00FB0F86"/>
    <w:rsid w:val="00FB11F6"/>
    <w:rsid w:val="00FB132C"/>
    <w:rsid w:val="00FB174C"/>
    <w:rsid w:val="00FB19C4"/>
    <w:rsid w:val="00FB1C8F"/>
    <w:rsid w:val="00FB1D3B"/>
    <w:rsid w:val="00FB1D80"/>
    <w:rsid w:val="00FB1DC9"/>
    <w:rsid w:val="00FB202D"/>
    <w:rsid w:val="00FB20ED"/>
    <w:rsid w:val="00FB22A5"/>
    <w:rsid w:val="00FB2644"/>
    <w:rsid w:val="00FB270E"/>
    <w:rsid w:val="00FB299D"/>
    <w:rsid w:val="00FB2BAF"/>
    <w:rsid w:val="00FB2DAA"/>
    <w:rsid w:val="00FB2EC7"/>
    <w:rsid w:val="00FB2EEF"/>
    <w:rsid w:val="00FB30FE"/>
    <w:rsid w:val="00FB3296"/>
    <w:rsid w:val="00FB32D6"/>
    <w:rsid w:val="00FB32D9"/>
    <w:rsid w:val="00FB33ED"/>
    <w:rsid w:val="00FB3420"/>
    <w:rsid w:val="00FB380C"/>
    <w:rsid w:val="00FB3898"/>
    <w:rsid w:val="00FB3B40"/>
    <w:rsid w:val="00FB3EEC"/>
    <w:rsid w:val="00FB46FE"/>
    <w:rsid w:val="00FB4861"/>
    <w:rsid w:val="00FB48B2"/>
    <w:rsid w:val="00FB4C16"/>
    <w:rsid w:val="00FB4C85"/>
    <w:rsid w:val="00FB4D78"/>
    <w:rsid w:val="00FB4E4F"/>
    <w:rsid w:val="00FB5126"/>
    <w:rsid w:val="00FB5273"/>
    <w:rsid w:val="00FB5506"/>
    <w:rsid w:val="00FB5635"/>
    <w:rsid w:val="00FB564B"/>
    <w:rsid w:val="00FB588E"/>
    <w:rsid w:val="00FB5AA5"/>
    <w:rsid w:val="00FB5AA7"/>
    <w:rsid w:val="00FB5AC2"/>
    <w:rsid w:val="00FB5C7A"/>
    <w:rsid w:val="00FB60FE"/>
    <w:rsid w:val="00FB6359"/>
    <w:rsid w:val="00FB63DF"/>
    <w:rsid w:val="00FB676A"/>
    <w:rsid w:val="00FB6950"/>
    <w:rsid w:val="00FB6996"/>
    <w:rsid w:val="00FB6BB0"/>
    <w:rsid w:val="00FB6C52"/>
    <w:rsid w:val="00FB6F3C"/>
    <w:rsid w:val="00FB708B"/>
    <w:rsid w:val="00FB7190"/>
    <w:rsid w:val="00FB722E"/>
    <w:rsid w:val="00FB740A"/>
    <w:rsid w:val="00FB7770"/>
    <w:rsid w:val="00FB78B0"/>
    <w:rsid w:val="00FB7963"/>
    <w:rsid w:val="00FB7A94"/>
    <w:rsid w:val="00FB7F2E"/>
    <w:rsid w:val="00FC001E"/>
    <w:rsid w:val="00FC03D1"/>
    <w:rsid w:val="00FC089D"/>
    <w:rsid w:val="00FC0B83"/>
    <w:rsid w:val="00FC0CEB"/>
    <w:rsid w:val="00FC1318"/>
    <w:rsid w:val="00FC135F"/>
    <w:rsid w:val="00FC185D"/>
    <w:rsid w:val="00FC1A72"/>
    <w:rsid w:val="00FC1BC2"/>
    <w:rsid w:val="00FC1BDC"/>
    <w:rsid w:val="00FC1E85"/>
    <w:rsid w:val="00FC206D"/>
    <w:rsid w:val="00FC2100"/>
    <w:rsid w:val="00FC2226"/>
    <w:rsid w:val="00FC279E"/>
    <w:rsid w:val="00FC297D"/>
    <w:rsid w:val="00FC2A05"/>
    <w:rsid w:val="00FC2B60"/>
    <w:rsid w:val="00FC2CBC"/>
    <w:rsid w:val="00FC2DD6"/>
    <w:rsid w:val="00FC2E69"/>
    <w:rsid w:val="00FC301A"/>
    <w:rsid w:val="00FC3266"/>
    <w:rsid w:val="00FC380C"/>
    <w:rsid w:val="00FC3A7B"/>
    <w:rsid w:val="00FC3C2E"/>
    <w:rsid w:val="00FC3D96"/>
    <w:rsid w:val="00FC3D9E"/>
    <w:rsid w:val="00FC3E8D"/>
    <w:rsid w:val="00FC3F27"/>
    <w:rsid w:val="00FC3FC9"/>
    <w:rsid w:val="00FC4503"/>
    <w:rsid w:val="00FC4854"/>
    <w:rsid w:val="00FC4A50"/>
    <w:rsid w:val="00FC4A65"/>
    <w:rsid w:val="00FC4AB6"/>
    <w:rsid w:val="00FC4B97"/>
    <w:rsid w:val="00FC4D79"/>
    <w:rsid w:val="00FC4E94"/>
    <w:rsid w:val="00FC53C4"/>
    <w:rsid w:val="00FC54F3"/>
    <w:rsid w:val="00FC552E"/>
    <w:rsid w:val="00FC5623"/>
    <w:rsid w:val="00FC5737"/>
    <w:rsid w:val="00FC582C"/>
    <w:rsid w:val="00FC58ED"/>
    <w:rsid w:val="00FC5973"/>
    <w:rsid w:val="00FC63C4"/>
    <w:rsid w:val="00FC6C6D"/>
    <w:rsid w:val="00FC721F"/>
    <w:rsid w:val="00FC7290"/>
    <w:rsid w:val="00FC72A9"/>
    <w:rsid w:val="00FC74F5"/>
    <w:rsid w:val="00FC751E"/>
    <w:rsid w:val="00FC79EF"/>
    <w:rsid w:val="00FC7B27"/>
    <w:rsid w:val="00FD002C"/>
    <w:rsid w:val="00FD0231"/>
    <w:rsid w:val="00FD04A4"/>
    <w:rsid w:val="00FD0AFC"/>
    <w:rsid w:val="00FD0E28"/>
    <w:rsid w:val="00FD116A"/>
    <w:rsid w:val="00FD12F1"/>
    <w:rsid w:val="00FD13E1"/>
    <w:rsid w:val="00FD13F1"/>
    <w:rsid w:val="00FD1F53"/>
    <w:rsid w:val="00FD1F8F"/>
    <w:rsid w:val="00FD2056"/>
    <w:rsid w:val="00FD20FF"/>
    <w:rsid w:val="00FD25B0"/>
    <w:rsid w:val="00FD2A52"/>
    <w:rsid w:val="00FD2CB7"/>
    <w:rsid w:val="00FD2D11"/>
    <w:rsid w:val="00FD2D99"/>
    <w:rsid w:val="00FD2FBD"/>
    <w:rsid w:val="00FD3134"/>
    <w:rsid w:val="00FD3535"/>
    <w:rsid w:val="00FD359E"/>
    <w:rsid w:val="00FD3B64"/>
    <w:rsid w:val="00FD3BD9"/>
    <w:rsid w:val="00FD4082"/>
    <w:rsid w:val="00FD4303"/>
    <w:rsid w:val="00FD4377"/>
    <w:rsid w:val="00FD466D"/>
    <w:rsid w:val="00FD48BC"/>
    <w:rsid w:val="00FD4B9D"/>
    <w:rsid w:val="00FD4F4A"/>
    <w:rsid w:val="00FD4F97"/>
    <w:rsid w:val="00FD506D"/>
    <w:rsid w:val="00FD5621"/>
    <w:rsid w:val="00FD58DE"/>
    <w:rsid w:val="00FD58FE"/>
    <w:rsid w:val="00FD59A3"/>
    <w:rsid w:val="00FD5A5C"/>
    <w:rsid w:val="00FD5A93"/>
    <w:rsid w:val="00FD5BF3"/>
    <w:rsid w:val="00FD6319"/>
    <w:rsid w:val="00FD63C0"/>
    <w:rsid w:val="00FD6442"/>
    <w:rsid w:val="00FD676F"/>
    <w:rsid w:val="00FD6A89"/>
    <w:rsid w:val="00FD6A8F"/>
    <w:rsid w:val="00FD6D36"/>
    <w:rsid w:val="00FD719F"/>
    <w:rsid w:val="00FD7485"/>
    <w:rsid w:val="00FD7642"/>
    <w:rsid w:val="00FD7845"/>
    <w:rsid w:val="00FD786D"/>
    <w:rsid w:val="00FD7C6C"/>
    <w:rsid w:val="00FD7D6D"/>
    <w:rsid w:val="00FE0358"/>
    <w:rsid w:val="00FE0416"/>
    <w:rsid w:val="00FE0A08"/>
    <w:rsid w:val="00FE0B55"/>
    <w:rsid w:val="00FE0BD6"/>
    <w:rsid w:val="00FE0EC5"/>
    <w:rsid w:val="00FE0EC9"/>
    <w:rsid w:val="00FE129A"/>
    <w:rsid w:val="00FE143A"/>
    <w:rsid w:val="00FE1701"/>
    <w:rsid w:val="00FE1CB1"/>
    <w:rsid w:val="00FE2262"/>
    <w:rsid w:val="00FE2337"/>
    <w:rsid w:val="00FE2884"/>
    <w:rsid w:val="00FE2BE5"/>
    <w:rsid w:val="00FE2C30"/>
    <w:rsid w:val="00FE30DD"/>
    <w:rsid w:val="00FE3283"/>
    <w:rsid w:val="00FE330B"/>
    <w:rsid w:val="00FE33F5"/>
    <w:rsid w:val="00FE34BB"/>
    <w:rsid w:val="00FE34DF"/>
    <w:rsid w:val="00FE351E"/>
    <w:rsid w:val="00FE3554"/>
    <w:rsid w:val="00FE35D9"/>
    <w:rsid w:val="00FE3738"/>
    <w:rsid w:val="00FE37D7"/>
    <w:rsid w:val="00FE3927"/>
    <w:rsid w:val="00FE39DA"/>
    <w:rsid w:val="00FE3A08"/>
    <w:rsid w:val="00FE3B12"/>
    <w:rsid w:val="00FE3B64"/>
    <w:rsid w:val="00FE3C38"/>
    <w:rsid w:val="00FE3C98"/>
    <w:rsid w:val="00FE3E23"/>
    <w:rsid w:val="00FE3FBE"/>
    <w:rsid w:val="00FE418F"/>
    <w:rsid w:val="00FE4280"/>
    <w:rsid w:val="00FE4324"/>
    <w:rsid w:val="00FE4350"/>
    <w:rsid w:val="00FE43E8"/>
    <w:rsid w:val="00FE452B"/>
    <w:rsid w:val="00FE457B"/>
    <w:rsid w:val="00FE4580"/>
    <w:rsid w:val="00FE4586"/>
    <w:rsid w:val="00FE49E4"/>
    <w:rsid w:val="00FE49E9"/>
    <w:rsid w:val="00FE4DE9"/>
    <w:rsid w:val="00FE5293"/>
    <w:rsid w:val="00FE54D0"/>
    <w:rsid w:val="00FE559F"/>
    <w:rsid w:val="00FE5603"/>
    <w:rsid w:val="00FE56DB"/>
    <w:rsid w:val="00FE58F8"/>
    <w:rsid w:val="00FE5922"/>
    <w:rsid w:val="00FE5F85"/>
    <w:rsid w:val="00FE6211"/>
    <w:rsid w:val="00FE6739"/>
    <w:rsid w:val="00FE677A"/>
    <w:rsid w:val="00FE6BF8"/>
    <w:rsid w:val="00FE6DB9"/>
    <w:rsid w:val="00FE6F46"/>
    <w:rsid w:val="00FE6FEE"/>
    <w:rsid w:val="00FE7372"/>
    <w:rsid w:val="00FE783B"/>
    <w:rsid w:val="00FE7B77"/>
    <w:rsid w:val="00FE7E75"/>
    <w:rsid w:val="00FF02C7"/>
    <w:rsid w:val="00FF0690"/>
    <w:rsid w:val="00FF077D"/>
    <w:rsid w:val="00FF09AA"/>
    <w:rsid w:val="00FF0A16"/>
    <w:rsid w:val="00FF0DEA"/>
    <w:rsid w:val="00FF0E70"/>
    <w:rsid w:val="00FF0FD2"/>
    <w:rsid w:val="00FF0FED"/>
    <w:rsid w:val="00FF1218"/>
    <w:rsid w:val="00FF138D"/>
    <w:rsid w:val="00FF1594"/>
    <w:rsid w:val="00FF15C5"/>
    <w:rsid w:val="00FF180D"/>
    <w:rsid w:val="00FF184C"/>
    <w:rsid w:val="00FF19A1"/>
    <w:rsid w:val="00FF1D10"/>
    <w:rsid w:val="00FF1D6A"/>
    <w:rsid w:val="00FF1DB7"/>
    <w:rsid w:val="00FF1EAD"/>
    <w:rsid w:val="00FF20B7"/>
    <w:rsid w:val="00FF2CB1"/>
    <w:rsid w:val="00FF2DCC"/>
    <w:rsid w:val="00FF2EF4"/>
    <w:rsid w:val="00FF314F"/>
    <w:rsid w:val="00FF34C8"/>
    <w:rsid w:val="00FF36C2"/>
    <w:rsid w:val="00FF3944"/>
    <w:rsid w:val="00FF40B5"/>
    <w:rsid w:val="00FF4120"/>
    <w:rsid w:val="00FF4219"/>
    <w:rsid w:val="00FF45F3"/>
    <w:rsid w:val="00FF4952"/>
    <w:rsid w:val="00FF4A17"/>
    <w:rsid w:val="00FF4A6A"/>
    <w:rsid w:val="00FF4D56"/>
    <w:rsid w:val="00FF4E32"/>
    <w:rsid w:val="00FF4E88"/>
    <w:rsid w:val="00FF4FA1"/>
    <w:rsid w:val="00FF529D"/>
    <w:rsid w:val="00FF55C4"/>
    <w:rsid w:val="00FF5F29"/>
    <w:rsid w:val="00FF619A"/>
    <w:rsid w:val="00FF61FF"/>
    <w:rsid w:val="00FF6393"/>
    <w:rsid w:val="00FF63FE"/>
    <w:rsid w:val="00FF6513"/>
    <w:rsid w:val="00FF65D6"/>
    <w:rsid w:val="00FF6B8F"/>
    <w:rsid w:val="00FF72B3"/>
    <w:rsid w:val="00FF7509"/>
    <w:rsid w:val="00FF761B"/>
    <w:rsid w:val="00FF7900"/>
    <w:rsid w:val="00FF7BDA"/>
    <w:rsid w:val="01022950"/>
    <w:rsid w:val="01030406"/>
    <w:rsid w:val="010A478A"/>
    <w:rsid w:val="01115A2F"/>
    <w:rsid w:val="01127020"/>
    <w:rsid w:val="01137068"/>
    <w:rsid w:val="011837C3"/>
    <w:rsid w:val="011B61AB"/>
    <w:rsid w:val="011D21F6"/>
    <w:rsid w:val="012438E5"/>
    <w:rsid w:val="012458B3"/>
    <w:rsid w:val="01266CE7"/>
    <w:rsid w:val="012965DB"/>
    <w:rsid w:val="012B64AF"/>
    <w:rsid w:val="012F41F1"/>
    <w:rsid w:val="012F5BE0"/>
    <w:rsid w:val="01316772"/>
    <w:rsid w:val="0133728C"/>
    <w:rsid w:val="01414214"/>
    <w:rsid w:val="01423F24"/>
    <w:rsid w:val="0145454D"/>
    <w:rsid w:val="0148428A"/>
    <w:rsid w:val="0153693D"/>
    <w:rsid w:val="01545DCE"/>
    <w:rsid w:val="01576781"/>
    <w:rsid w:val="015F0128"/>
    <w:rsid w:val="0160564A"/>
    <w:rsid w:val="016140C6"/>
    <w:rsid w:val="016226ED"/>
    <w:rsid w:val="016376C0"/>
    <w:rsid w:val="016A6204"/>
    <w:rsid w:val="01727C9E"/>
    <w:rsid w:val="017C3D59"/>
    <w:rsid w:val="018460EB"/>
    <w:rsid w:val="01853181"/>
    <w:rsid w:val="01880E09"/>
    <w:rsid w:val="018A0E65"/>
    <w:rsid w:val="018B3650"/>
    <w:rsid w:val="018E4EFB"/>
    <w:rsid w:val="019110AC"/>
    <w:rsid w:val="0193296B"/>
    <w:rsid w:val="01932ABC"/>
    <w:rsid w:val="01984AF0"/>
    <w:rsid w:val="019C3A9C"/>
    <w:rsid w:val="01A01295"/>
    <w:rsid w:val="01A636B8"/>
    <w:rsid w:val="01AA3955"/>
    <w:rsid w:val="01AD7253"/>
    <w:rsid w:val="01B10F29"/>
    <w:rsid w:val="01B258A4"/>
    <w:rsid w:val="01BE0534"/>
    <w:rsid w:val="01BF61E3"/>
    <w:rsid w:val="01C653D3"/>
    <w:rsid w:val="01C75F1A"/>
    <w:rsid w:val="01CA5E81"/>
    <w:rsid w:val="01D149F4"/>
    <w:rsid w:val="01D51380"/>
    <w:rsid w:val="01E52B01"/>
    <w:rsid w:val="01EB1076"/>
    <w:rsid w:val="0200793B"/>
    <w:rsid w:val="02065E2C"/>
    <w:rsid w:val="02074EB9"/>
    <w:rsid w:val="02165FE2"/>
    <w:rsid w:val="021966EA"/>
    <w:rsid w:val="021B6F48"/>
    <w:rsid w:val="021C1D55"/>
    <w:rsid w:val="022330F1"/>
    <w:rsid w:val="022B15B8"/>
    <w:rsid w:val="022C20E9"/>
    <w:rsid w:val="022E5745"/>
    <w:rsid w:val="023410AE"/>
    <w:rsid w:val="0235218E"/>
    <w:rsid w:val="023F2212"/>
    <w:rsid w:val="023F36E7"/>
    <w:rsid w:val="02403681"/>
    <w:rsid w:val="0241458E"/>
    <w:rsid w:val="0242628F"/>
    <w:rsid w:val="024274A1"/>
    <w:rsid w:val="02474D14"/>
    <w:rsid w:val="02481715"/>
    <w:rsid w:val="025676BA"/>
    <w:rsid w:val="02581525"/>
    <w:rsid w:val="02621915"/>
    <w:rsid w:val="026A1647"/>
    <w:rsid w:val="026A47F2"/>
    <w:rsid w:val="02700724"/>
    <w:rsid w:val="02725373"/>
    <w:rsid w:val="02746C15"/>
    <w:rsid w:val="027475EC"/>
    <w:rsid w:val="027520D7"/>
    <w:rsid w:val="0275532E"/>
    <w:rsid w:val="027564D5"/>
    <w:rsid w:val="027C17E2"/>
    <w:rsid w:val="027C3466"/>
    <w:rsid w:val="027E2AC6"/>
    <w:rsid w:val="02814F7F"/>
    <w:rsid w:val="02892085"/>
    <w:rsid w:val="028957D9"/>
    <w:rsid w:val="028C035E"/>
    <w:rsid w:val="028F3D5E"/>
    <w:rsid w:val="02930952"/>
    <w:rsid w:val="0299284C"/>
    <w:rsid w:val="029F027D"/>
    <w:rsid w:val="029F4DE2"/>
    <w:rsid w:val="02A55663"/>
    <w:rsid w:val="02A66C31"/>
    <w:rsid w:val="02AA76E9"/>
    <w:rsid w:val="02AC2110"/>
    <w:rsid w:val="02B06584"/>
    <w:rsid w:val="02B24304"/>
    <w:rsid w:val="02B52155"/>
    <w:rsid w:val="02B524D4"/>
    <w:rsid w:val="02B55A35"/>
    <w:rsid w:val="02B71AB6"/>
    <w:rsid w:val="02B77698"/>
    <w:rsid w:val="02B819A5"/>
    <w:rsid w:val="02BF15A4"/>
    <w:rsid w:val="02C8203A"/>
    <w:rsid w:val="02CC42EB"/>
    <w:rsid w:val="02CC475F"/>
    <w:rsid w:val="02CD79DF"/>
    <w:rsid w:val="02D72A4F"/>
    <w:rsid w:val="02D7793E"/>
    <w:rsid w:val="02E60B5E"/>
    <w:rsid w:val="02ED0384"/>
    <w:rsid w:val="02F15024"/>
    <w:rsid w:val="02F33C8E"/>
    <w:rsid w:val="02F4124E"/>
    <w:rsid w:val="02F51F0C"/>
    <w:rsid w:val="02F83B4E"/>
    <w:rsid w:val="030024D0"/>
    <w:rsid w:val="03014E10"/>
    <w:rsid w:val="03077C7C"/>
    <w:rsid w:val="030B0992"/>
    <w:rsid w:val="030D536F"/>
    <w:rsid w:val="031211BD"/>
    <w:rsid w:val="03165F2D"/>
    <w:rsid w:val="03190CB5"/>
    <w:rsid w:val="031D28D4"/>
    <w:rsid w:val="031E377E"/>
    <w:rsid w:val="0320206D"/>
    <w:rsid w:val="03202E20"/>
    <w:rsid w:val="03212322"/>
    <w:rsid w:val="0328766C"/>
    <w:rsid w:val="032F2286"/>
    <w:rsid w:val="0341549A"/>
    <w:rsid w:val="03460EC0"/>
    <w:rsid w:val="03461E09"/>
    <w:rsid w:val="03467450"/>
    <w:rsid w:val="034F71B9"/>
    <w:rsid w:val="0351750A"/>
    <w:rsid w:val="035644BB"/>
    <w:rsid w:val="035D02BC"/>
    <w:rsid w:val="03696B13"/>
    <w:rsid w:val="03822372"/>
    <w:rsid w:val="03921842"/>
    <w:rsid w:val="03947FBB"/>
    <w:rsid w:val="03950F6D"/>
    <w:rsid w:val="039A11DB"/>
    <w:rsid w:val="039E11BA"/>
    <w:rsid w:val="03A64228"/>
    <w:rsid w:val="03A823C0"/>
    <w:rsid w:val="03A83905"/>
    <w:rsid w:val="03B22EB7"/>
    <w:rsid w:val="03B32A44"/>
    <w:rsid w:val="03B43443"/>
    <w:rsid w:val="03BD3FCA"/>
    <w:rsid w:val="03C14992"/>
    <w:rsid w:val="03C63758"/>
    <w:rsid w:val="03C833D0"/>
    <w:rsid w:val="03C839E2"/>
    <w:rsid w:val="03CD0F3D"/>
    <w:rsid w:val="03CD45EE"/>
    <w:rsid w:val="03CD6E01"/>
    <w:rsid w:val="03D42D07"/>
    <w:rsid w:val="03D60903"/>
    <w:rsid w:val="03D9673B"/>
    <w:rsid w:val="03DC5322"/>
    <w:rsid w:val="03E47515"/>
    <w:rsid w:val="03E5590A"/>
    <w:rsid w:val="03EC5230"/>
    <w:rsid w:val="03EC71AE"/>
    <w:rsid w:val="03ED4D00"/>
    <w:rsid w:val="03F96EA5"/>
    <w:rsid w:val="0402799B"/>
    <w:rsid w:val="04054C55"/>
    <w:rsid w:val="04096F7B"/>
    <w:rsid w:val="040F607C"/>
    <w:rsid w:val="04161698"/>
    <w:rsid w:val="04191820"/>
    <w:rsid w:val="041C7793"/>
    <w:rsid w:val="041F054D"/>
    <w:rsid w:val="04226F9B"/>
    <w:rsid w:val="04261197"/>
    <w:rsid w:val="042973A7"/>
    <w:rsid w:val="04303EEB"/>
    <w:rsid w:val="04305D22"/>
    <w:rsid w:val="043D41C9"/>
    <w:rsid w:val="043F465A"/>
    <w:rsid w:val="04473600"/>
    <w:rsid w:val="044A78B3"/>
    <w:rsid w:val="045213C6"/>
    <w:rsid w:val="04542A71"/>
    <w:rsid w:val="045F5FDC"/>
    <w:rsid w:val="04630F35"/>
    <w:rsid w:val="046441B2"/>
    <w:rsid w:val="04644D0D"/>
    <w:rsid w:val="04645EB0"/>
    <w:rsid w:val="046641F2"/>
    <w:rsid w:val="046B6280"/>
    <w:rsid w:val="046C6C7F"/>
    <w:rsid w:val="046D0A7E"/>
    <w:rsid w:val="047E0D84"/>
    <w:rsid w:val="04815A7F"/>
    <w:rsid w:val="04825E23"/>
    <w:rsid w:val="04844275"/>
    <w:rsid w:val="0485313E"/>
    <w:rsid w:val="04855923"/>
    <w:rsid w:val="04896C64"/>
    <w:rsid w:val="048D31E7"/>
    <w:rsid w:val="04911521"/>
    <w:rsid w:val="04973633"/>
    <w:rsid w:val="04975B54"/>
    <w:rsid w:val="04A60EA4"/>
    <w:rsid w:val="04A770FE"/>
    <w:rsid w:val="04B211F1"/>
    <w:rsid w:val="04B57B90"/>
    <w:rsid w:val="04C01BD4"/>
    <w:rsid w:val="04C42EA2"/>
    <w:rsid w:val="04C536D1"/>
    <w:rsid w:val="04C7219B"/>
    <w:rsid w:val="04C8545F"/>
    <w:rsid w:val="04CC6ED4"/>
    <w:rsid w:val="04D07A99"/>
    <w:rsid w:val="04E45A6A"/>
    <w:rsid w:val="04E8518C"/>
    <w:rsid w:val="04E97BF7"/>
    <w:rsid w:val="04EC5695"/>
    <w:rsid w:val="04ED1679"/>
    <w:rsid w:val="04ED2F59"/>
    <w:rsid w:val="04F83377"/>
    <w:rsid w:val="05080191"/>
    <w:rsid w:val="050D30FE"/>
    <w:rsid w:val="051501C9"/>
    <w:rsid w:val="0517021D"/>
    <w:rsid w:val="05196216"/>
    <w:rsid w:val="051C16B9"/>
    <w:rsid w:val="053167DE"/>
    <w:rsid w:val="05356C4E"/>
    <w:rsid w:val="053719A4"/>
    <w:rsid w:val="053B58B6"/>
    <w:rsid w:val="053F5158"/>
    <w:rsid w:val="05452EAD"/>
    <w:rsid w:val="0547389B"/>
    <w:rsid w:val="054B15AB"/>
    <w:rsid w:val="054E1C36"/>
    <w:rsid w:val="05533546"/>
    <w:rsid w:val="05542861"/>
    <w:rsid w:val="055A44DD"/>
    <w:rsid w:val="055D7977"/>
    <w:rsid w:val="0566197C"/>
    <w:rsid w:val="056652C0"/>
    <w:rsid w:val="056843E2"/>
    <w:rsid w:val="05685F23"/>
    <w:rsid w:val="056B26F3"/>
    <w:rsid w:val="057247B6"/>
    <w:rsid w:val="05731072"/>
    <w:rsid w:val="05791EDF"/>
    <w:rsid w:val="057F0120"/>
    <w:rsid w:val="058274C1"/>
    <w:rsid w:val="058412CB"/>
    <w:rsid w:val="0585037A"/>
    <w:rsid w:val="058759EB"/>
    <w:rsid w:val="059143D7"/>
    <w:rsid w:val="0593004C"/>
    <w:rsid w:val="05A91FCE"/>
    <w:rsid w:val="05B51513"/>
    <w:rsid w:val="05B561EA"/>
    <w:rsid w:val="05BA2775"/>
    <w:rsid w:val="05BA594F"/>
    <w:rsid w:val="05BB5493"/>
    <w:rsid w:val="05C03C5B"/>
    <w:rsid w:val="05C32790"/>
    <w:rsid w:val="05CD0926"/>
    <w:rsid w:val="05D05F97"/>
    <w:rsid w:val="05D8225E"/>
    <w:rsid w:val="05DC638C"/>
    <w:rsid w:val="05DF5C99"/>
    <w:rsid w:val="05E239E4"/>
    <w:rsid w:val="05E331FC"/>
    <w:rsid w:val="05E86439"/>
    <w:rsid w:val="05EC5CFB"/>
    <w:rsid w:val="05EF01F3"/>
    <w:rsid w:val="05F01E32"/>
    <w:rsid w:val="05F06BFC"/>
    <w:rsid w:val="05F628AD"/>
    <w:rsid w:val="05F81055"/>
    <w:rsid w:val="06045D1C"/>
    <w:rsid w:val="060C479B"/>
    <w:rsid w:val="060D49E4"/>
    <w:rsid w:val="060F5146"/>
    <w:rsid w:val="061679EF"/>
    <w:rsid w:val="061C5FE7"/>
    <w:rsid w:val="06262677"/>
    <w:rsid w:val="06277755"/>
    <w:rsid w:val="062E2CC9"/>
    <w:rsid w:val="062F3250"/>
    <w:rsid w:val="06334592"/>
    <w:rsid w:val="063B0EB7"/>
    <w:rsid w:val="063B1ADB"/>
    <w:rsid w:val="063B26FE"/>
    <w:rsid w:val="063F7FC7"/>
    <w:rsid w:val="0644429B"/>
    <w:rsid w:val="0663485B"/>
    <w:rsid w:val="06681E90"/>
    <w:rsid w:val="066842EA"/>
    <w:rsid w:val="066A55A9"/>
    <w:rsid w:val="066F0F20"/>
    <w:rsid w:val="06711284"/>
    <w:rsid w:val="067B3F8C"/>
    <w:rsid w:val="067C2836"/>
    <w:rsid w:val="06860DBC"/>
    <w:rsid w:val="06865733"/>
    <w:rsid w:val="068858C6"/>
    <w:rsid w:val="068C5C42"/>
    <w:rsid w:val="068D43AE"/>
    <w:rsid w:val="068F1527"/>
    <w:rsid w:val="0691130C"/>
    <w:rsid w:val="0692495D"/>
    <w:rsid w:val="0695319D"/>
    <w:rsid w:val="06976EFF"/>
    <w:rsid w:val="069E1362"/>
    <w:rsid w:val="06A40360"/>
    <w:rsid w:val="06AE3D97"/>
    <w:rsid w:val="06B10648"/>
    <w:rsid w:val="06B968CC"/>
    <w:rsid w:val="06BC58BA"/>
    <w:rsid w:val="06C25F5A"/>
    <w:rsid w:val="06C72CF1"/>
    <w:rsid w:val="06C80A70"/>
    <w:rsid w:val="06C8357C"/>
    <w:rsid w:val="06C9610C"/>
    <w:rsid w:val="06CA0B9C"/>
    <w:rsid w:val="06CD5CC9"/>
    <w:rsid w:val="06D07E7E"/>
    <w:rsid w:val="06D27AF8"/>
    <w:rsid w:val="06D7543E"/>
    <w:rsid w:val="06DB485A"/>
    <w:rsid w:val="06E148B6"/>
    <w:rsid w:val="06E31D05"/>
    <w:rsid w:val="06E84943"/>
    <w:rsid w:val="06E960AA"/>
    <w:rsid w:val="06EB7B36"/>
    <w:rsid w:val="06ED4762"/>
    <w:rsid w:val="06F65B1C"/>
    <w:rsid w:val="06FA5CC9"/>
    <w:rsid w:val="06FE19ED"/>
    <w:rsid w:val="06FF01C2"/>
    <w:rsid w:val="070B2CD5"/>
    <w:rsid w:val="070C3AF0"/>
    <w:rsid w:val="070F2A67"/>
    <w:rsid w:val="07146D98"/>
    <w:rsid w:val="071B7372"/>
    <w:rsid w:val="071F0C3F"/>
    <w:rsid w:val="07286DC5"/>
    <w:rsid w:val="0729286A"/>
    <w:rsid w:val="072E6FC0"/>
    <w:rsid w:val="072F4F4B"/>
    <w:rsid w:val="07331A29"/>
    <w:rsid w:val="073836D3"/>
    <w:rsid w:val="07391E8A"/>
    <w:rsid w:val="07421FF0"/>
    <w:rsid w:val="0745644D"/>
    <w:rsid w:val="074F1FF7"/>
    <w:rsid w:val="074F63C0"/>
    <w:rsid w:val="07500389"/>
    <w:rsid w:val="07571DAC"/>
    <w:rsid w:val="075952DC"/>
    <w:rsid w:val="07601A0C"/>
    <w:rsid w:val="076037A1"/>
    <w:rsid w:val="07634AE5"/>
    <w:rsid w:val="07694DC7"/>
    <w:rsid w:val="076B1B65"/>
    <w:rsid w:val="07741847"/>
    <w:rsid w:val="077C578D"/>
    <w:rsid w:val="07971F69"/>
    <w:rsid w:val="079E31F2"/>
    <w:rsid w:val="07A174CB"/>
    <w:rsid w:val="07A272F8"/>
    <w:rsid w:val="07A66248"/>
    <w:rsid w:val="07A74D8A"/>
    <w:rsid w:val="07AA637F"/>
    <w:rsid w:val="07AB2DAC"/>
    <w:rsid w:val="07AF30A6"/>
    <w:rsid w:val="07AF4222"/>
    <w:rsid w:val="07B21B2D"/>
    <w:rsid w:val="07B355E5"/>
    <w:rsid w:val="07B50006"/>
    <w:rsid w:val="07B74CA6"/>
    <w:rsid w:val="07B83A8A"/>
    <w:rsid w:val="07BD6D6B"/>
    <w:rsid w:val="07BE50B1"/>
    <w:rsid w:val="07C515D8"/>
    <w:rsid w:val="07D17F7D"/>
    <w:rsid w:val="07D54785"/>
    <w:rsid w:val="07DA46A3"/>
    <w:rsid w:val="07DC50D9"/>
    <w:rsid w:val="07E40A48"/>
    <w:rsid w:val="07EA4488"/>
    <w:rsid w:val="07EE2AB2"/>
    <w:rsid w:val="07FA7684"/>
    <w:rsid w:val="07FC7E04"/>
    <w:rsid w:val="07FD5ED5"/>
    <w:rsid w:val="080943F0"/>
    <w:rsid w:val="080C2CEA"/>
    <w:rsid w:val="080C31A0"/>
    <w:rsid w:val="080D6E38"/>
    <w:rsid w:val="0812209B"/>
    <w:rsid w:val="08153C1F"/>
    <w:rsid w:val="081754D8"/>
    <w:rsid w:val="081C1983"/>
    <w:rsid w:val="08215C4C"/>
    <w:rsid w:val="0822151D"/>
    <w:rsid w:val="08262C13"/>
    <w:rsid w:val="082F35FA"/>
    <w:rsid w:val="083279E7"/>
    <w:rsid w:val="083420ED"/>
    <w:rsid w:val="08343C51"/>
    <w:rsid w:val="08360872"/>
    <w:rsid w:val="08375C1E"/>
    <w:rsid w:val="083A3EB2"/>
    <w:rsid w:val="084C5A1B"/>
    <w:rsid w:val="085D04D3"/>
    <w:rsid w:val="0861620A"/>
    <w:rsid w:val="086504F8"/>
    <w:rsid w:val="086F168D"/>
    <w:rsid w:val="086F2DF0"/>
    <w:rsid w:val="08734B7A"/>
    <w:rsid w:val="087972AF"/>
    <w:rsid w:val="087D7F38"/>
    <w:rsid w:val="087E208C"/>
    <w:rsid w:val="088A38F9"/>
    <w:rsid w:val="088D76ED"/>
    <w:rsid w:val="08906CFC"/>
    <w:rsid w:val="08997FCA"/>
    <w:rsid w:val="089C6372"/>
    <w:rsid w:val="089F0E7D"/>
    <w:rsid w:val="08A234FA"/>
    <w:rsid w:val="08A63156"/>
    <w:rsid w:val="08A745B7"/>
    <w:rsid w:val="08A74FB5"/>
    <w:rsid w:val="08AD14EA"/>
    <w:rsid w:val="08AD5BDC"/>
    <w:rsid w:val="08AE3092"/>
    <w:rsid w:val="08B03CD9"/>
    <w:rsid w:val="08B51480"/>
    <w:rsid w:val="08B64CB1"/>
    <w:rsid w:val="08B85A97"/>
    <w:rsid w:val="08BF22FE"/>
    <w:rsid w:val="08C34CE7"/>
    <w:rsid w:val="08C47661"/>
    <w:rsid w:val="08CA5385"/>
    <w:rsid w:val="08D64E5D"/>
    <w:rsid w:val="08D663C8"/>
    <w:rsid w:val="08D67FB0"/>
    <w:rsid w:val="08D95CCC"/>
    <w:rsid w:val="08DA5446"/>
    <w:rsid w:val="08DD233C"/>
    <w:rsid w:val="08E04958"/>
    <w:rsid w:val="08E07D65"/>
    <w:rsid w:val="08E12F1C"/>
    <w:rsid w:val="08E92ED7"/>
    <w:rsid w:val="08EA4DFE"/>
    <w:rsid w:val="08EC649A"/>
    <w:rsid w:val="08F63995"/>
    <w:rsid w:val="08F657EC"/>
    <w:rsid w:val="08FB06AD"/>
    <w:rsid w:val="09037767"/>
    <w:rsid w:val="09047824"/>
    <w:rsid w:val="09080044"/>
    <w:rsid w:val="090C37B7"/>
    <w:rsid w:val="0911242E"/>
    <w:rsid w:val="09172FB0"/>
    <w:rsid w:val="091838B9"/>
    <w:rsid w:val="091B7E20"/>
    <w:rsid w:val="091E5433"/>
    <w:rsid w:val="09220554"/>
    <w:rsid w:val="09220EB7"/>
    <w:rsid w:val="092376BD"/>
    <w:rsid w:val="09304F9F"/>
    <w:rsid w:val="09324404"/>
    <w:rsid w:val="0937213C"/>
    <w:rsid w:val="093D78FC"/>
    <w:rsid w:val="09446A0E"/>
    <w:rsid w:val="094543A5"/>
    <w:rsid w:val="09542EDC"/>
    <w:rsid w:val="09550057"/>
    <w:rsid w:val="09571B10"/>
    <w:rsid w:val="09572537"/>
    <w:rsid w:val="09641372"/>
    <w:rsid w:val="096B55C1"/>
    <w:rsid w:val="096D7830"/>
    <w:rsid w:val="096E6279"/>
    <w:rsid w:val="0972053F"/>
    <w:rsid w:val="097213F3"/>
    <w:rsid w:val="09727BA4"/>
    <w:rsid w:val="09736C45"/>
    <w:rsid w:val="097C3526"/>
    <w:rsid w:val="097C4E2D"/>
    <w:rsid w:val="098855AD"/>
    <w:rsid w:val="098D5D0B"/>
    <w:rsid w:val="098F0C97"/>
    <w:rsid w:val="09905089"/>
    <w:rsid w:val="09A3577C"/>
    <w:rsid w:val="09A7786D"/>
    <w:rsid w:val="09AC1E04"/>
    <w:rsid w:val="09AE2CD5"/>
    <w:rsid w:val="09B87968"/>
    <w:rsid w:val="09BF1B9E"/>
    <w:rsid w:val="09C155A5"/>
    <w:rsid w:val="09C17DFA"/>
    <w:rsid w:val="09C23A09"/>
    <w:rsid w:val="09C65292"/>
    <w:rsid w:val="09C95E5D"/>
    <w:rsid w:val="09CE595E"/>
    <w:rsid w:val="09D03715"/>
    <w:rsid w:val="09D37535"/>
    <w:rsid w:val="09D506AC"/>
    <w:rsid w:val="09D5345C"/>
    <w:rsid w:val="09D817FC"/>
    <w:rsid w:val="09DE3D12"/>
    <w:rsid w:val="09E07659"/>
    <w:rsid w:val="09E64164"/>
    <w:rsid w:val="09E813E1"/>
    <w:rsid w:val="09EF276F"/>
    <w:rsid w:val="09F91840"/>
    <w:rsid w:val="09FB3680"/>
    <w:rsid w:val="09FD75F9"/>
    <w:rsid w:val="0A021476"/>
    <w:rsid w:val="0A08213D"/>
    <w:rsid w:val="0A0A4B10"/>
    <w:rsid w:val="0A0B1BA8"/>
    <w:rsid w:val="0A18534B"/>
    <w:rsid w:val="0A1860A5"/>
    <w:rsid w:val="0A254303"/>
    <w:rsid w:val="0A2918D5"/>
    <w:rsid w:val="0A2A37A7"/>
    <w:rsid w:val="0A317994"/>
    <w:rsid w:val="0A322FFA"/>
    <w:rsid w:val="0A377A9A"/>
    <w:rsid w:val="0A42072D"/>
    <w:rsid w:val="0A495BAC"/>
    <w:rsid w:val="0A4A0473"/>
    <w:rsid w:val="0A581F41"/>
    <w:rsid w:val="0A590504"/>
    <w:rsid w:val="0A6009AC"/>
    <w:rsid w:val="0A6553BD"/>
    <w:rsid w:val="0A6D380D"/>
    <w:rsid w:val="0A6E2CA1"/>
    <w:rsid w:val="0A7661C6"/>
    <w:rsid w:val="0A7D1249"/>
    <w:rsid w:val="0A981059"/>
    <w:rsid w:val="0A9B3827"/>
    <w:rsid w:val="0A9E2212"/>
    <w:rsid w:val="0AA15B1E"/>
    <w:rsid w:val="0AA417AC"/>
    <w:rsid w:val="0AA44D6C"/>
    <w:rsid w:val="0AA626E9"/>
    <w:rsid w:val="0AA6596B"/>
    <w:rsid w:val="0AA7161C"/>
    <w:rsid w:val="0AAA55B3"/>
    <w:rsid w:val="0AB219DF"/>
    <w:rsid w:val="0ABC1B74"/>
    <w:rsid w:val="0AC305F6"/>
    <w:rsid w:val="0AC92FC0"/>
    <w:rsid w:val="0ACE2E18"/>
    <w:rsid w:val="0AD90B78"/>
    <w:rsid w:val="0AE46C69"/>
    <w:rsid w:val="0AE53B72"/>
    <w:rsid w:val="0AEF112D"/>
    <w:rsid w:val="0AF54E47"/>
    <w:rsid w:val="0AF80C2F"/>
    <w:rsid w:val="0AF86CE8"/>
    <w:rsid w:val="0AF86F5E"/>
    <w:rsid w:val="0AFD0EBC"/>
    <w:rsid w:val="0AFD710E"/>
    <w:rsid w:val="0AFF64AD"/>
    <w:rsid w:val="0B032273"/>
    <w:rsid w:val="0B066570"/>
    <w:rsid w:val="0B075E16"/>
    <w:rsid w:val="0B0804DA"/>
    <w:rsid w:val="0B0B0223"/>
    <w:rsid w:val="0B0E3F61"/>
    <w:rsid w:val="0B0E46D0"/>
    <w:rsid w:val="0B1256F9"/>
    <w:rsid w:val="0B131869"/>
    <w:rsid w:val="0B196948"/>
    <w:rsid w:val="0B285BD3"/>
    <w:rsid w:val="0B2F34DD"/>
    <w:rsid w:val="0B301C8C"/>
    <w:rsid w:val="0B30303F"/>
    <w:rsid w:val="0B371C67"/>
    <w:rsid w:val="0B3C2F90"/>
    <w:rsid w:val="0B45498C"/>
    <w:rsid w:val="0B495EAF"/>
    <w:rsid w:val="0B4D424C"/>
    <w:rsid w:val="0B4F1EF7"/>
    <w:rsid w:val="0B50788A"/>
    <w:rsid w:val="0B525C59"/>
    <w:rsid w:val="0B5316C2"/>
    <w:rsid w:val="0B575BDD"/>
    <w:rsid w:val="0B5B3D8A"/>
    <w:rsid w:val="0B5E54A2"/>
    <w:rsid w:val="0B6B051B"/>
    <w:rsid w:val="0B6B4275"/>
    <w:rsid w:val="0B6C1F3E"/>
    <w:rsid w:val="0B6E449A"/>
    <w:rsid w:val="0B721771"/>
    <w:rsid w:val="0B770C6E"/>
    <w:rsid w:val="0B794655"/>
    <w:rsid w:val="0B85745E"/>
    <w:rsid w:val="0B8B22CF"/>
    <w:rsid w:val="0B944A05"/>
    <w:rsid w:val="0B995414"/>
    <w:rsid w:val="0B9C1B14"/>
    <w:rsid w:val="0BB23665"/>
    <w:rsid w:val="0BB53FB4"/>
    <w:rsid w:val="0BC37867"/>
    <w:rsid w:val="0BCC62FA"/>
    <w:rsid w:val="0BCD4D32"/>
    <w:rsid w:val="0BD20395"/>
    <w:rsid w:val="0BD55995"/>
    <w:rsid w:val="0BD65634"/>
    <w:rsid w:val="0BDA7E40"/>
    <w:rsid w:val="0BDE7039"/>
    <w:rsid w:val="0BE502CE"/>
    <w:rsid w:val="0BE54A5E"/>
    <w:rsid w:val="0BEA18D1"/>
    <w:rsid w:val="0BEA5E31"/>
    <w:rsid w:val="0BEF048C"/>
    <w:rsid w:val="0BF056CB"/>
    <w:rsid w:val="0BF27DDA"/>
    <w:rsid w:val="0C0844CE"/>
    <w:rsid w:val="0C0E654C"/>
    <w:rsid w:val="0C1870E5"/>
    <w:rsid w:val="0C23653F"/>
    <w:rsid w:val="0C296DC3"/>
    <w:rsid w:val="0C2A20A6"/>
    <w:rsid w:val="0C2F4E7E"/>
    <w:rsid w:val="0C33536B"/>
    <w:rsid w:val="0C355092"/>
    <w:rsid w:val="0C3B04F5"/>
    <w:rsid w:val="0C48260B"/>
    <w:rsid w:val="0C504F19"/>
    <w:rsid w:val="0C577FD0"/>
    <w:rsid w:val="0C60219D"/>
    <w:rsid w:val="0C6311F3"/>
    <w:rsid w:val="0C744466"/>
    <w:rsid w:val="0C7D70DC"/>
    <w:rsid w:val="0C8D7E4F"/>
    <w:rsid w:val="0C924E66"/>
    <w:rsid w:val="0C945C86"/>
    <w:rsid w:val="0C963574"/>
    <w:rsid w:val="0C9F66CF"/>
    <w:rsid w:val="0CA04A7E"/>
    <w:rsid w:val="0CA348C2"/>
    <w:rsid w:val="0CA500B5"/>
    <w:rsid w:val="0CAE43B6"/>
    <w:rsid w:val="0CB16A61"/>
    <w:rsid w:val="0CB17195"/>
    <w:rsid w:val="0CBA3508"/>
    <w:rsid w:val="0CBB26A0"/>
    <w:rsid w:val="0CBF4A67"/>
    <w:rsid w:val="0CC26B10"/>
    <w:rsid w:val="0CC33225"/>
    <w:rsid w:val="0CC5770A"/>
    <w:rsid w:val="0CC82544"/>
    <w:rsid w:val="0CC872A8"/>
    <w:rsid w:val="0CCA1C47"/>
    <w:rsid w:val="0CCC2384"/>
    <w:rsid w:val="0CCC6D98"/>
    <w:rsid w:val="0CD35D24"/>
    <w:rsid w:val="0CD76FA0"/>
    <w:rsid w:val="0CE11CD3"/>
    <w:rsid w:val="0CE256DB"/>
    <w:rsid w:val="0CE41347"/>
    <w:rsid w:val="0CE85C09"/>
    <w:rsid w:val="0CEB1EAC"/>
    <w:rsid w:val="0CF76771"/>
    <w:rsid w:val="0CFC3FA8"/>
    <w:rsid w:val="0CFC5C28"/>
    <w:rsid w:val="0CFD6DD7"/>
    <w:rsid w:val="0D00538B"/>
    <w:rsid w:val="0D0354AF"/>
    <w:rsid w:val="0D0359D7"/>
    <w:rsid w:val="0D052656"/>
    <w:rsid w:val="0D0802C8"/>
    <w:rsid w:val="0D091D9A"/>
    <w:rsid w:val="0D0C53E6"/>
    <w:rsid w:val="0D0F1A79"/>
    <w:rsid w:val="0D102253"/>
    <w:rsid w:val="0D1947D4"/>
    <w:rsid w:val="0D213072"/>
    <w:rsid w:val="0D260E8A"/>
    <w:rsid w:val="0D2734E0"/>
    <w:rsid w:val="0D305579"/>
    <w:rsid w:val="0D3421E8"/>
    <w:rsid w:val="0D3A3D4E"/>
    <w:rsid w:val="0D4E4143"/>
    <w:rsid w:val="0D4F62B1"/>
    <w:rsid w:val="0D513305"/>
    <w:rsid w:val="0D5374B9"/>
    <w:rsid w:val="0D56479B"/>
    <w:rsid w:val="0D59788B"/>
    <w:rsid w:val="0D605732"/>
    <w:rsid w:val="0D676AC1"/>
    <w:rsid w:val="0D6824F0"/>
    <w:rsid w:val="0D6F7B79"/>
    <w:rsid w:val="0D7336B7"/>
    <w:rsid w:val="0D7A4565"/>
    <w:rsid w:val="0D7D192B"/>
    <w:rsid w:val="0D867784"/>
    <w:rsid w:val="0D8B3BB4"/>
    <w:rsid w:val="0D9E3561"/>
    <w:rsid w:val="0DA03CD4"/>
    <w:rsid w:val="0DA11D16"/>
    <w:rsid w:val="0DA25D4B"/>
    <w:rsid w:val="0DA970D9"/>
    <w:rsid w:val="0DAD0D13"/>
    <w:rsid w:val="0DAD4E1B"/>
    <w:rsid w:val="0DBF4B4E"/>
    <w:rsid w:val="0DC2372A"/>
    <w:rsid w:val="0DC30C0E"/>
    <w:rsid w:val="0DC442AF"/>
    <w:rsid w:val="0DC90255"/>
    <w:rsid w:val="0DD26892"/>
    <w:rsid w:val="0DE256A6"/>
    <w:rsid w:val="0DE86B21"/>
    <w:rsid w:val="0DEA73DB"/>
    <w:rsid w:val="0DEC4810"/>
    <w:rsid w:val="0DEE18BD"/>
    <w:rsid w:val="0DF078A8"/>
    <w:rsid w:val="0DFA3D02"/>
    <w:rsid w:val="0E017783"/>
    <w:rsid w:val="0E077CA3"/>
    <w:rsid w:val="0E097B78"/>
    <w:rsid w:val="0E190008"/>
    <w:rsid w:val="0E2230B3"/>
    <w:rsid w:val="0E252C04"/>
    <w:rsid w:val="0E253B2D"/>
    <w:rsid w:val="0E2875BB"/>
    <w:rsid w:val="0E320EDF"/>
    <w:rsid w:val="0E331B95"/>
    <w:rsid w:val="0E334D29"/>
    <w:rsid w:val="0E361387"/>
    <w:rsid w:val="0E3837AB"/>
    <w:rsid w:val="0E3A2A9D"/>
    <w:rsid w:val="0E3E12C3"/>
    <w:rsid w:val="0E432EC3"/>
    <w:rsid w:val="0E442353"/>
    <w:rsid w:val="0E48378E"/>
    <w:rsid w:val="0E4A64A3"/>
    <w:rsid w:val="0E4C4C9F"/>
    <w:rsid w:val="0E534CB5"/>
    <w:rsid w:val="0E535655"/>
    <w:rsid w:val="0E5D24C7"/>
    <w:rsid w:val="0E6130DA"/>
    <w:rsid w:val="0E637F7A"/>
    <w:rsid w:val="0E641AA7"/>
    <w:rsid w:val="0E645F25"/>
    <w:rsid w:val="0E6510CD"/>
    <w:rsid w:val="0E693043"/>
    <w:rsid w:val="0E7012A2"/>
    <w:rsid w:val="0E7058B3"/>
    <w:rsid w:val="0E794CFD"/>
    <w:rsid w:val="0E843A70"/>
    <w:rsid w:val="0E8522F4"/>
    <w:rsid w:val="0E860B88"/>
    <w:rsid w:val="0E8D2557"/>
    <w:rsid w:val="0E8D32D3"/>
    <w:rsid w:val="0E8D53D7"/>
    <w:rsid w:val="0E9345E9"/>
    <w:rsid w:val="0E9353C9"/>
    <w:rsid w:val="0E9366F1"/>
    <w:rsid w:val="0E942A9C"/>
    <w:rsid w:val="0E9654A5"/>
    <w:rsid w:val="0E986CED"/>
    <w:rsid w:val="0E99714E"/>
    <w:rsid w:val="0E9E1CA8"/>
    <w:rsid w:val="0EA36836"/>
    <w:rsid w:val="0EA857AF"/>
    <w:rsid w:val="0EBA5B1C"/>
    <w:rsid w:val="0EC20846"/>
    <w:rsid w:val="0EC251B7"/>
    <w:rsid w:val="0ECA56A3"/>
    <w:rsid w:val="0ECB21EA"/>
    <w:rsid w:val="0ECC307F"/>
    <w:rsid w:val="0ED26512"/>
    <w:rsid w:val="0EDE23EE"/>
    <w:rsid w:val="0EE57212"/>
    <w:rsid w:val="0EE7610B"/>
    <w:rsid w:val="0EEB3FA1"/>
    <w:rsid w:val="0EEF3211"/>
    <w:rsid w:val="0EF45369"/>
    <w:rsid w:val="0EF93080"/>
    <w:rsid w:val="0EFB0303"/>
    <w:rsid w:val="0EFC3704"/>
    <w:rsid w:val="0EFD3479"/>
    <w:rsid w:val="0F011F39"/>
    <w:rsid w:val="0F032FB9"/>
    <w:rsid w:val="0F073103"/>
    <w:rsid w:val="0F0E1587"/>
    <w:rsid w:val="0F0E7B3C"/>
    <w:rsid w:val="0F1B0773"/>
    <w:rsid w:val="0F1C2EBA"/>
    <w:rsid w:val="0F20786F"/>
    <w:rsid w:val="0F2604AF"/>
    <w:rsid w:val="0F293C0A"/>
    <w:rsid w:val="0F2B5B9F"/>
    <w:rsid w:val="0F304D4B"/>
    <w:rsid w:val="0F3474D6"/>
    <w:rsid w:val="0F444F44"/>
    <w:rsid w:val="0F465A31"/>
    <w:rsid w:val="0F481072"/>
    <w:rsid w:val="0F486138"/>
    <w:rsid w:val="0F4B6FA2"/>
    <w:rsid w:val="0F4C6E84"/>
    <w:rsid w:val="0F4F0AB4"/>
    <w:rsid w:val="0F501ECE"/>
    <w:rsid w:val="0F506B63"/>
    <w:rsid w:val="0F53065C"/>
    <w:rsid w:val="0F531BE8"/>
    <w:rsid w:val="0F5512C6"/>
    <w:rsid w:val="0F5520DD"/>
    <w:rsid w:val="0F5C3DDD"/>
    <w:rsid w:val="0F5F6723"/>
    <w:rsid w:val="0F650406"/>
    <w:rsid w:val="0F67724C"/>
    <w:rsid w:val="0F6815DE"/>
    <w:rsid w:val="0F73260B"/>
    <w:rsid w:val="0F735C5D"/>
    <w:rsid w:val="0F7D6388"/>
    <w:rsid w:val="0F84040B"/>
    <w:rsid w:val="0F862AF8"/>
    <w:rsid w:val="0F887092"/>
    <w:rsid w:val="0F894AE5"/>
    <w:rsid w:val="0F8971C2"/>
    <w:rsid w:val="0F8A6A96"/>
    <w:rsid w:val="0F8D1771"/>
    <w:rsid w:val="0F923468"/>
    <w:rsid w:val="0F933B9D"/>
    <w:rsid w:val="0F985657"/>
    <w:rsid w:val="0F995ACA"/>
    <w:rsid w:val="0F9A5BCB"/>
    <w:rsid w:val="0F9E7106"/>
    <w:rsid w:val="0FA57602"/>
    <w:rsid w:val="0FA83AEC"/>
    <w:rsid w:val="0FA83B24"/>
    <w:rsid w:val="0FA91612"/>
    <w:rsid w:val="0FA945A8"/>
    <w:rsid w:val="0FAF0608"/>
    <w:rsid w:val="0FB339AB"/>
    <w:rsid w:val="0FBD0C1A"/>
    <w:rsid w:val="0FC31615"/>
    <w:rsid w:val="0FC51486"/>
    <w:rsid w:val="0FC81A7B"/>
    <w:rsid w:val="0FCF1EA9"/>
    <w:rsid w:val="0FD85FC0"/>
    <w:rsid w:val="0FD87C0B"/>
    <w:rsid w:val="0FDD6DAE"/>
    <w:rsid w:val="0FE70809"/>
    <w:rsid w:val="0FE91A0F"/>
    <w:rsid w:val="0FE92447"/>
    <w:rsid w:val="0FEA23CE"/>
    <w:rsid w:val="0FED3C0E"/>
    <w:rsid w:val="0FF544E3"/>
    <w:rsid w:val="0FF55E7A"/>
    <w:rsid w:val="0FF7412C"/>
    <w:rsid w:val="0FFC6AFC"/>
    <w:rsid w:val="10027266"/>
    <w:rsid w:val="100C7CC8"/>
    <w:rsid w:val="100F31F2"/>
    <w:rsid w:val="100F6284"/>
    <w:rsid w:val="10171463"/>
    <w:rsid w:val="101A5D7C"/>
    <w:rsid w:val="101B6A1A"/>
    <w:rsid w:val="102B3A15"/>
    <w:rsid w:val="102D1358"/>
    <w:rsid w:val="102D5D9F"/>
    <w:rsid w:val="102E36FB"/>
    <w:rsid w:val="10320ABA"/>
    <w:rsid w:val="10342F8F"/>
    <w:rsid w:val="1036329B"/>
    <w:rsid w:val="103F6A8A"/>
    <w:rsid w:val="105477D0"/>
    <w:rsid w:val="10551C83"/>
    <w:rsid w:val="105B3F2C"/>
    <w:rsid w:val="10632586"/>
    <w:rsid w:val="1063645C"/>
    <w:rsid w:val="106C2806"/>
    <w:rsid w:val="106C2876"/>
    <w:rsid w:val="10725EA8"/>
    <w:rsid w:val="107462E2"/>
    <w:rsid w:val="10755FA8"/>
    <w:rsid w:val="107C3286"/>
    <w:rsid w:val="10825E82"/>
    <w:rsid w:val="10895B04"/>
    <w:rsid w:val="108A0C55"/>
    <w:rsid w:val="10914580"/>
    <w:rsid w:val="10954999"/>
    <w:rsid w:val="10983351"/>
    <w:rsid w:val="10A641ED"/>
    <w:rsid w:val="10A75649"/>
    <w:rsid w:val="10A867D5"/>
    <w:rsid w:val="10AD1D63"/>
    <w:rsid w:val="10AD554B"/>
    <w:rsid w:val="10AD6EE0"/>
    <w:rsid w:val="10B857EE"/>
    <w:rsid w:val="10B931D1"/>
    <w:rsid w:val="10B93FD7"/>
    <w:rsid w:val="10BF038B"/>
    <w:rsid w:val="10BF0D8A"/>
    <w:rsid w:val="10CF2447"/>
    <w:rsid w:val="10D21A9C"/>
    <w:rsid w:val="10DC54DD"/>
    <w:rsid w:val="10DC6F2F"/>
    <w:rsid w:val="10E0010E"/>
    <w:rsid w:val="10E33BB6"/>
    <w:rsid w:val="10E809BA"/>
    <w:rsid w:val="10E92721"/>
    <w:rsid w:val="10EA29A8"/>
    <w:rsid w:val="10F007C4"/>
    <w:rsid w:val="10F4112A"/>
    <w:rsid w:val="10FE5F70"/>
    <w:rsid w:val="110427CD"/>
    <w:rsid w:val="1104685A"/>
    <w:rsid w:val="110979A3"/>
    <w:rsid w:val="11120B59"/>
    <w:rsid w:val="11173C02"/>
    <w:rsid w:val="111B209C"/>
    <w:rsid w:val="11232075"/>
    <w:rsid w:val="11276C93"/>
    <w:rsid w:val="11285D91"/>
    <w:rsid w:val="112A3913"/>
    <w:rsid w:val="112B56B0"/>
    <w:rsid w:val="11302E0C"/>
    <w:rsid w:val="11384FE7"/>
    <w:rsid w:val="113901B9"/>
    <w:rsid w:val="11392171"/>
    <w:rsid w:val="11392A00"/>
    <w:rsid w:val="1142587A"/>
    <w:rsid w:val="11466227"/>
    <w:rsid w:val="11501BFB"/>
    <w:rsid w:val="115630D4"/>
    <w:rsid w:val="11583B77"/>
    <w:rsid w:val="115E35DD"/>
    <w:rsid w:val="11606281"/>
    <w:rsid w:val="116219F0"/>
    <w:rsid w:val="11660951"/>
    <w:rsid w:val="11693D65"/>
    <w:rsid w:val="11751FD9"/>
    <w:rsid w:val="11756527"/>
    <w:rsid w:val="117D2D56"/>
    <w:rsid w:val="117E1672"/>
    <w:rsid w:val="11816EEE"/>
    <w:rsid w:val="11845E93"/>
    <w:rsid w:val="118907DE"/>
    <w:rsid w:val="118A4858"/>
    <w:rsid w:val="118E286E"/>
    <w:rsid w:val="118F50EC"/>
    <w:rsid w:val="119105B0"/>
    <w:rsid w:val="1196222A"/>
    <w:rsid w:val="11965BC6"/>
    <w:rsid w:val="11967B73"/>
    <w:rsid w:val="119A3E5F"/>
    <w:rsid w:val="119A7C89"/>
    <w:rsid w:val="11A6504F"/>
    <w:rsid w:val="11A83E77"/>
    <w:rsid w:val="11A90681"/>
    <w:rsid w:val="11B30937"/>
    <w:rsid w:val="11B332B2"/>
    <w:rsid w:val="11BF6ECB"/>
    <w:rsid w:val="11C46970"/>
    <w:rsid w:val="11C974B5"/>
    <w:rsid w:val="11D12348"/>
    <w:rsid w:val="11D504D5"/>
    <w:rsid w:val="11D66E72"/>
    <w:rsid w:val="11D975F5"/>
    <w:rsid w:val="11DC27BF"/>
    <w:rsid w:val="11E00265"/>
    <w:rsid w:val="11E118FC"/>
    <w:rsid w:val="11F315FE"/>
    <w:rsid w:val="11FD00BB"/>
    <w:rsid w:val="11FD6B44"/>
    <w:rsid w:val="12097A31"/>
    <w:rsid w:val="120A1857"/>
    <w:rsid w:val="120B5D34"/>
    <w:rsid w:val="12111C63"/>
    <w:rsid w:val="12156159"/>
    <w:rsid w:val="12193A3A"/>
    <w:rsid w:val="121A1B2D"/>
    <w:rsid w:val="121A6C9D"/>
    <w:rsid w:val="121D74BC"/>
    <w:rsid w:val="121E5D7B"/>
    <w:rsid w:val="12232A9A"/>
    <w:rsid w:val="12322B42"/>
    <w:rsid w:val="12391F53"/>
    <w:rsid w:val="123F24AA"/>
    <w:rsid w:val="12411258"/>
    <w:rsid w:val="12423D8C"/>
    <w:rsid w:val="12437D47"/>
    <w:rsid w:val="1247277C"/>
    <w:rsid w:val="12495CFE"/>
    <w:rsid w:val="124A1AFD"/>
    <w:rsid w:val="124E6D7F"/>
    <w:rsid w:val="12504DEF"/>
    <w:rsid w:val="12547B4C"/>
    <w:rsid w:val="125F44B6"/>
    <w:rsid w:val="12611B8F"/>
    <w:rsid w:val="126403CC"/>
    <w:rsid w:val="126463E5"/>
    <w:rsid w:val="12651E4F"/>
    <w:rsid w:val="126B3D39"/>
    <w:rsid w:val="127251BB"/>
    <w:rsid w:val="12753A40"/>
    <w:rsid w:val="12771554"/>
    <w:rsid w:val="127B4955"/>
    <w:rsid w:val="1286710E"/>
    <w:rsid w:val="128845A3"/>
    <w:rsid w:val="128A0D56"/>
    <w:rsid w:val="128B522F"/>
    <w:rsid w:val="128F2FEB"/>
    <w:rsid w:val="12902616"/>
    <w:rsid w:val="12912E34"/>
    <w:rsid w:val="12931B0E"/>
    <w:rsid w:val="12943641"/>
    <w:rsid w:val="129B6061"/>
    <w:rsid w:val="12A10766"/>
    <w:rsid w:val="12A26615"/>
    <w:rsid w:val="12A33949"/>
    <w:rsid w:val="12A95555"/>
    <w:rsid w:val="12AA005C"/>
    <w:rsid w:val="12AA12B5"/>
    <w:rsid w:val="12AA5306"/>
    <w:rsid w:val="12AE1855"/>
    <w:rsid w:val="12AF089C"/>
    <w:rsid w:val="12AF59BF"/>
    <w:rsid w:val="12B401B6"/>
    <w:rsid w:val="12B82305"/>
    <w:rsid w:val="12BC6158"/>
    <w:rsid w:val="12BD7579"/>
    <w:rsid w:val="12C15E77"/>
    <w:rsid w:val="12C2557C"/>
    <w:rsid w:val="12CB3069"/>
    <w:rsid w:val="12CF3415"/>
    <w:rsid w:val="12D62133"/>
    <w:rsid w:val="12D85C7A"/>
    <w:rsid w:val="12DE27EC"/>
    <w:rsid w:val="12DE7321"/>
    <w:rsid w:val="12E75305"/>
    <w:rsid w:val="12E82687"/>
    <w:rsid w:val="13043059"/>
    <w:rsid w:val="1307039B"/>
    <w:rsid w:val="13071DBF"/>
    <w:rsid w:val="1310226E"/>
    <w:rsid w:val="13105CBE"/>
    <w:rsid w:val="13114098"/>
    <w:rsid w:val="13195DE4"/>
    <w:rsid w:val="1324007D"/>
    <w:rsid w:val="132463A8"/>
    <w:rsid w:val="132776BA"/>
    <w:rsid w:val="132D0AB9"/>
    <w:rsid w:val="13313E49"/>
    <w:rsid w:val="1333188F"/>
    <w:rsid w:val="13345697"/>
    <w:rsid w:val="13346F70"/>
    <w:rsid w:val="13352A2D"/>
    <w:rsid w:val="133944B4"/>
    <w:rsid w:val="13464386"/>
    <w:rsid w:val="134E6555"/>
    <w:rsid w:val="13531FC1"/>
    <w:rsid w:val="13562CEA"/>
    <w:rsid w:val="135A4632"/>
    <w:rsid w:val="135B55CE"/>
    <w:rsid w:val="13670252"/>
    <w:rsid w:val="13687903"/>
    <w:rsid w:val="13760E07"/>
    <w:rsid w:val="137A0A03"/>
    <w:rsid w:val="137E0C88"/>
    <w:rsid w:val="137E11B4"/>
    <w:rsid w:val="138317A1"/>
    <w:rsid w:val="138D1D96"/>
    <w:rsid w:val="13900EDE"/>
    <w:rsid w:val="1392057A"/>
    <w:rsid w:val="13932890"/>
    <w:rsid w:val="13981371"/>
    <w:rsid w:val="139A199E"/>
    <w:rsid w:val="139D445C"/>
    <w:rsid w:val="139E3EE8"/>
    <w:rsid w:val="139F44F0"/>
    <w:rsid w:val="139F5206"/>
    <w:rsid w:val="13A24725"/>
    <w:rsid w:val="13A46184"/>
    <w:rsid w:val="13A64D99"/>
    <w:rsid w:val="13AB1B19"/>
    <w:rsid w:val="13AF4D8D"/>
    <w:rsid w:val="13B567D8"/>
    <w:rsid w:val="13B9324C"/>
    <w:rsid w:val="13B93B5C"/>
    <w:rsid w:val="13BD55DC"/>
    <w:rsid w:val="13C04BA1"/>
    <w:rsid w:val="13C24A51"/>
    <w:rsid w:val="13D02023"/>
    <w:rsid w:val="13D1528B"/>
    <w:rsid w:val="13D62BF8"/>
    <w:rsid w:val="13DE21BF"/>
    <w:rsid w:val="13DF637D"/>
    <w:rsid w:val="13E74C4D"/>
    <w:rsid w:val="13E7556A"/>
    <w:rsid w:val="13E93015"/>
    <w:rsid w:val="13F22DB0"/>
    <w:rsid w:val="13F605DA"/>
    <w:rsid w:val="13F90322"/>
    <w:rsid w:val="13FA11B9"/>
    <w:rsid w:val="13FC0BDE"/>
    <w:rsid w:val="14004E57"/>
    <w:rsid w:val="14067A24"/>
    <w:rsid w:val="140818EC"/>
    <w:rsid w:val="14261483"/>
    <w:rsid w:val="142B3DD2"/>
    <w:rsid w:val="142D79A2"/>
    <w:rsid w:val="142E5135"/>
    <w:rsid w:val="14332BE3"/>
    <w:rsid w:val="143376FC"/>
    <w:rsid w:val="14385731"/>
    <w:rsid w:val="143A37D5"/>
    <w:rsid w:val="14410270"/>
    <w:rsid w:val="144476A6"/>
    <w:rsid w:val="144A74C6"/>
    <w:rsid w:val="144E5403"/>
    <w:rsid w:val="145161F3"/>
    <w:rsid w:val="145422E8"/>
    <w:rsid w:val="1455423A"/>
    <w:rsid w:val="145E673A"/>
    <w:rsid w:val="146A192C"/>
    <w:rsid w:val="146C0CA3"/>
    <w:rsid w:val="146D1138"/>
    <w:rsid w:val="14701E59"/>
    <w:rsid w:val="147409B1"/>
    <w:rsid w:val="14743E65"/>
    <w:rsid w:val="147A2F75"/>
    <w:rsid w:val="147A6014"/>
    <w:rsid w:val="147C18B5"/>
    <w:rsid w:val="147C72F5"/>
    <w:rsid w:val="148117F5"/>
    <w:rsid w:val="14837F7C"/>
    <w:rsid w:val="148C4B9C"/>
    <w:rsid w:val="149208C7"/>
    <w:rsid w:val="14927E49"/>
    <w:rsid w:val="14A250C9"/>
    <w:rsid w:val="14A44207"/>
    <w:rsid w:val="14A44EB1"/>
    <w:rsid w:val="14A932AB"/>
    <w:rsid w:val="14AE02DD"/>
    <w:rsid w:val="14B0090B"/>
    <w:rsid w:val="14B72092"/>
    <w:rsid w:val="14B848C0"/>
    <w:rsid w:val="14BF0043"/>
    <w:rsid w:val="14BF5370"/>
    <w:rsid w:val="14BF5CF1"/>
    <w:rsid w:val="14C238EF"/>
    <w:rsid w:val="14C43586"/>
    <w:rsid w:val="14CC1B88"/>
    <w:rsid w:val="14D100E0"/>
    <w:rsid w:val="14D7452C"/>
    <w:rsid w:val="14D9451A"/>
    <w:rsid w:val="14DC551C"/>
    <w:rsid w:val="14E44F5D"/>
    <w:rsid w:val="14E45150"/>
    <w:rsid w:val="14E6205C"/>
    <w:rsid w:val="14E943BA"/>
    <w:rsid w:val="14EA413B"/>
    <w:rsid w:val="14EF5154"/>
    <w:rsid w:val="14F20A38"/>
    <w:rsid w:val="14F910D4"/>
    <w:rsid w:val="14FC1468"/>
    <w:rsid w:val="150177FB"/>
    <w:rsid w:val="15023C9F"/>
    <w:rsid w:val="150A256E"/>
    <w:rsid w:val="150E3CE4"/>
    <w:rsid w:val="151267AE"/>
    <w:rsid w:val="15206202"/>
    <w:rsid w:val="15213D69"/>
    <w:rsid w:val="152959BA"/>
    <w:rsid w:val="152A12F9"/>
    <w:rsid w:val="152D05F0"/>
    <w:rsid w:val="152F1786"/>
    <w:rsid w:val="15435E39"/>
    <w:rsid w:val="154537CD"/>
    <w:rsid w:val="154B007F"/>
    <w:rsid w:val="154C6CC8"/>
    <w:rsid w:val="154D7E1F"/>
    <w:rsid w:val="15522F42"/>
    <w:rsid w:val="155D4978"/>
    <w:rsid w:val="155E4C7A"/>
    <w:rsid w:val="155E7E67"/>
    <w:rsid w:val="15611DDC"/>
    <w:rsid w:val="15634437"/>
    <w:rsid w:val="15644BBD"/>
    <w:rsid w:val="15646E13"/>
    <w:rsid w:val="156F29B6"/>
    <w:rsid w:val="15701AE5"/>
    <w:rsid w:val="15746899"/>
    <w:rsid w:val="15766853"/>
    <w:rsid w:val="15794922"/>
    <w:rsid w:val="158B2AC0"/>
    <w:rsid w:val="159917A5"/>
    <w:rsid w:val="15B17473"/>
    <w:rsid w:val="15B5291C"/>
    <w:rsid w:val="15B74A18"/>
    <w:rsid w:val="15BE10D3"/>
    <w:rsid w:val="15C86EDB"/>
    <w:rsid w:val="15D00506"/>
    <w:rsid w:val="15D13E54"/>
    <w:rsid w:val="15D92785"/>
    <w:rsid w:val="15DE6610"/>
    <w:rsid w:val="15E14A6B"/>
    <w:rsid w:val="15E57D80"/>
    <w:rsid w:val="15E658D6"/>
    <w:rsid w:val="15E93766"/>
    <w:rsid w:val="15ED76B8"/>
    <w:rsid w:val="15EF55BD"/>
    <w:rsid w:val="15F70C46"/>
    <w:rsid w:val="15FC258B"/>
    <w:rsid w:val="16005D04"/>
    <w:rsid w:val="16081B40"/>
    <w:rsid w:val="160937DE"/>
    <w:rsid w:val="16094704"/>
    <w:rsid w:val="16096967"/>
    <w:rsid w:val="160C28FB"/>
    <w:rsid w:val="1612688B"/>
    <w:rsid w:val="161D1E70"/>
    <w:rsid w:val="162714E3"/>
    <w:rsid w:val="162D644C"/>
    <w:rsid w:val="163069CD"/>
    <w:rsid w:val="16337F9D"/>
    <w:rsid w:val="1638114C"/>
    <w:rsid w:val="16397B78"/>
    <w:rsid w:val="163C496D"/>
    <w:rsid w:val="16444D32"/>
    <w:rsid w:val="164675FA"/>
    <w:rsid w:val="164D3DCB"/>
    <w:rsid w:val="164E7E80"/>
    <w:rsid w:val="16522C10"/>
    <w:rsid w:val="165247B2"/>
    <w:rsid w:val="165338FE"/>
    <w:rsid w:val="16534086"/>
    <w:rsid w:val="16534FAD"/>
    <w:rsid w:val="165A712C"/>
    <w:rsid w:val="165C1A47"/>
    <w:rsid w:val="16612AC2"/>
    <w:rsid w:val="16640EAE"/>
    <w:rsid w:val="166C4C31"/>
    <w:rsid w:val="166E0EC0"/>
    <w:rsid w:val="16775FC6"/>
    <w:rsid w:val="16784251"/>
    <w:rsid w:val="167A3D95"/>
    <w:rsid w:val="167B07F6"/>
    <w:rsid w:val="16826A74"/>
    <w:rsid w:val="16860A02"/>
    <w:rsid w:val="16897AA8"/>
    <w:rsid w:val="168A294D"/>
    <w:rsid w:val="1690657C"/>
    <w:rsid w:val="169222D2"/>
    <w:rsid w:val="16944547"/>
    <w:rsid w:val="169554A5"/>
    <w:rsid w:val="169B3D7C"/>
    <w:rsid w:val="16A7514A"/>
    <w:rsid w:val="16AB24F1"/>
    <w:rsid w:val="16AF1306"/>
    <w:rsid w:val="16B0774D"/>
    <w:rsid w:val="16B1393D"/>
    <w:rsid w:val="16B41D43"/>
    <w:rsid w:val="16BB1E16"/>
    <w:rsid w:val="16BC78F4"/>
    <w:rsid w:val="16BE2E80"/>
    <w:rsid w:val="16C44484"/>
    <w:rsid w:val="16CC29AD"/>
    <w:rsid w:val="16D34CDF"/>
    <w:rsid w:val="16D52C07"/>
    <w:rsid w:val="16D63E48"/>
    <w:rsid w:val="16D72F09"/>
    <w:rsid w:val="16DA0493"/>
    <w:rsid w:val="16DD4F4A"/>
    <w:rsid w:val="16DF6FD5"/>
    <w:rsid w:val="16E43624"/>
    <w:rsid w:val="16EB0762"/>
    <w:rsid w:val="16EB4628"/>
    <w:rsid w:val="16EC0D2F"/>
    <w:rsid w:val="16EE34AD"/>
    <w:rsid w:val="16FC5D73"/>
    <w:rsid w:val="16FD7459"/>
    <w:rsid w:val="170830C2"/>
    <w:rsid w:val="17087C79"/>
    <w:rsid w:val="170949E9"/>
    <w:rsid w:val="170F4451"/>
    <w:rsid w:val="171157DD"/>
    <w:rsid w:val="17144413"/>
    <w:rsid w:val="17176526"/>
    <w:rsid w:val="171D7DE9"/>
    <w:rsid w:val="172137CC"/>
    <w:rsid w:val="172249FA"/>
    <w:rsid w:val="172A040E"/>
    <w:rsid w:val="172C01F6"/>
    <w:rsid w:val="172D035F"/>
    <w:rsid w:val="17310D4E"/>
    <w:rsid w:val="1733050F"/>
    <w:rsid w:val="17364679"/>
    <w:rsid w:val="17371406"/>
    <w:rsid w:val="173A7CF3"/>
    <w:rsid w:val="173D0A08"/>
    <w:rsid w:val="173D4AED"/>
    <w:rsid w:val="17422768"/>
    <w:rsid w:val="1744245F"/>
    <w:rsid w:val="17451C21"/>
    <w:rsid w:val="174B1D9B"/>
    <w:rsid w:val="174C3818"/>
    <w:rsid w:val="174D4F79"/>
    <w:rsid w:val="174F6F43"/>
    <w:rsid w:val="17537DC3"/>
    <w:rsid w:val="177237ED"/>
    <w:rsid w:val="17791786"/>
    <w:rsid w:val="178017EC"/>
    <w:rsid w:val="17822E75"/>
    <w:rsid w:val="17872239"/>
    <w:rsid w:val="178D6B6D"/>
    <w:rsid w:val="178F2076"/>
    <w:rsid w:val="17942BA8"/>
    <w:rsid w:val="17956DDE"/>
    <w:rsid w:val="179A64BF"/>
    <w:rsid w:val="179C080A"/>
    <w:rsid w:val="179F6746"/>
    <w:rsid w:val="17AB16AF"/>
    <w:rsid w:val="17BC1FA7"/>
    <w:rsid w:val="17C65467"/>
    <w:rsid w:val="17C70888"/>
    <w:rsid w:val="17C80C71"/>
    <w:rsid w:val="17CA0378"/>
    <w:rsid w:val="17CC205D"/>
    <w:rsid w:val="17CE1CB8"/>
    <w:rsid w:val="17D76A21"/>
    <w:rsid w:val="17DB0844"/>
    <w:rsid w:val="17DE3E23"/>
    <w:rsid w:val="17E5636A"/>
    <w:rsid w:val="17E811D7"/>
    <w:rsid w:val="17EA379C"/>
    <w:rsid w:val="17EC4493"/>
    <w:rsid w:val="17ED08D5"/>
    <w:rsid w:val="17F0126D"/>
    <w:rsid w:val="17F52882"/>
    <w:rsid w:val="17F831BB"/>
    <w:rsid w:val="17F84EE5"/>
    <w:rsid w:val="17FF599A"/>
    <w:rsid w:val="1800362D"/>
    <w:rsid w:val="180105D8"/>
    <w:rsid w:val="18095344"/>
    <w:rsid w:val="180D05E1"/>
    <w:rsid w:val="18164305"/>
    <w:rsid w:val="1824303E"/>
    <w:rsid w:val="18296D41"/>
    <w:rsid w:val="182A7C38"/>
    <w:rsid w:val="182F1539"/>
    <w:rsid w:val="183526B5"/>
    <w:rsid w:val="18356E18"/>
    <w:rsid w:val="183D05E8"/>
    <w:rsid w:val="1841541F"/>
    <w:rsid w:val="18417618"/>
    <w:rsid w:val="184716EB"/>
    <w:rsid w:val="18506A75"/>
    <w:rsid w:val="18547E0B"/>
    <w:rsid w:val="18555AB7"/>
    <w:rsid w:val="1855658C"/>
    <w:rsid w:val="185873EF"/>
    <w:rsid w:val="18652B72"/>
    <w:rsid w:val="18690EFD"/>
    <w:rsid w:val="186C1E21"/>
    <w:rsid w:val="18725DC3"/>
    <w:rsid w:val="18767282"/>
    <w:rsid w:val="187A2AF7"/>
    <w:rsid w:val="187A71CB"/>
    <w:rsid w:val="187E29D0"/>
    <w:rsid w:val="188444F7"/>
    <w:rsid w:val="18871048"/>
    <w:rsid w:val="18872F95"/>
    <w:rsid w:val="18890233"/>
    <w:rsid w:val="188D36DD"/>
    <w:rsid w:val="189118CC"/>
    <w:rsid w:val="189310B2"/>
    <w:rsid w:val="189C2FC1"/>
    <w:rsid w:val="189C3B32"/>
    <w:rsid w:val="18A15353"/>
    <w:rsid w:val="18A46415"/>
    <w:rsid w:val="18A468F0"/>
    <w:rsid w:val="18A63AB4"/>
    <w:rsid w:val="18A70A60"/>
    <w:rsid w:val="18A87221"/>
    <w:rsid w:val="18A920E9"/>
    <w:rsid w:val="18AC0922"/>
    <w:rsid w:val="18AD3745"/>
    <w:rsid w:val="18B117B0"/>
    <w:rsid w:val="18B35C53"/>
    <w:rsid w:val="18B54021"/>
    <w:rsid w:val="18C14D71"/>
    <w:rsid w:val="18C23B5C"/>
    <w:rsid w:val="18DC4CD4"/>
    <w:rsid w:val="18DD7D30"/>
    <w:rsid w:val="18E325D3"/>
    <w:rsid w:val="18E44426"/>
    <w:rsid w:val="18E65983"/>
    <w:rsid w:val="18E67433"/>
    <w:rsid w:val="18ED4079"/>
    <w:rsid w:val="18F11128"/>
    <w:rsid w:val="18F36E6F"/>
    <w:rsid w:val="18F37FFC"/>
    <w:rsid w:val="18F5652D"/>
    <w:rsid w:val="18F735E8"/>
    <w:rsid w:val="18F97F4B"/>
    <w:rsid w:val="18FC6BB6"/>
    <w:rsid w:val="1901426D"/>
    <w:rsid w:val="190206B8"/>
    <w:rsid w:val="1902246B"/>
    <w:rsid w:val="19032BB4"/>
    <w:rsid w:val="1903630A"/>
    <w:rsid w:val="19045B0B"/>
    <w:rsid w:val="19067AD5"/>
    <w:rsid w:val="19085DD3"/>
    <w:rsid w:val="19141A06"/>
    <w:rsid w:val="191726F1"/>
    <w:rsid w:val="191B220D"/>
    <w:rsid w:val="191E1E99"/>
    <w:rsid w:val="19251B81"/>
    <w:rsid w:val="192B00AB"/>
    <w:rsid w:val="1938233D"/>
    <w:rsid w:val="194402ED"/>
    <w:rsid w:val="19443BF0"/>
    <w:rsid w:val="19452632"/>
    <w:rsid w:val="19475458"/>
    <w:rsid w:val="19491A4A"/>
    <w:rsid w:val="194F5513"/>
    <w:rsid w:val="195547AB"/>
    <w:rsid w:val="19596FC9"/>
    <w:rsid w:val="195B17A3"/>
    <w:rsid w:val="195E16BF"/>
    <w:rsid w:val="19622F5E"/>
    <w:rsid w:val="1967555C"/>
    <w:rsid w:val="1968700C"/>
    <w:rsid w:val="196B7938"/>
    <w:rsid w:val="196E3837"/>
    <w:rsid w:val="19724B92"/>
    <w:rsid w:val="19731192"/>
    <w:rsid w:val="1976371A"/>
    <w:rsid w:val="19766A09"/>
    <w:rsid w:val="198844A7"/>
    <w:rsid w:val="19896559"/>
    <w:rsid w:val="198A7DBF"/>
    <w:rsid w:val="198B4C3C"/>
    <w:rsid w:val="199924A0"/>
    <w:rsid w:val="199D0190"/>
    <w:rsid w:val="199D1B29"/>
    <w:rsid w:val="199E2ED8"/>
    <w:rsid w:val="19A07853"/>
    <w:rsid w:val="19A80EBA"/>
    <w:rsid w:val="19AB63E9"/>
    <w:rsid w:val="19AD1C87"/>
    <w:rsid w:val="19B117EF"/>
    <w:rsid w:val="19B80F6E"/>
    <w:rsid w:val="19C16ACD"/>
    <w:rsid w:val="19C5529B"/>
    <w:rsid w:val="19CB75F2"/>
    <w:rsid w:val="19CE32A9"/>
    <w:rsid w:val="19D646B9"/>
    <w:rsid w:val="19E65BEC"/>
    <w:rsid w:val="19E778DA"/>
    <w:rsid w:val="19ED42A1"/>
    <w:rsid w:val="19EE43E7"/>
    <w:rsid w:val="19F02505"/>
    <w:rsid w:val="19F53EC5"/>
    <w:rsid w:val="19F55772"/>
    <w:rsid w:val="19F97A9D"/>
    <w:rsid w:val="1A0B266A"/>
    <w:rsid w:val="1A13397C"/>
    <w:rsid w:val="1A1370E6"/>
    <w:rsid w:val="1A176B88"/>
    <w:rsid w:val="1A1C1C43"/>
    <w:rsid w:val="1A1C4D11"/>
    <w:rsid w:val="1A1D352B"/>
    <w:rsid w:val="1A1D65E2"/>
    <w:rsid w:val="1A277086"/>
    <w:rsid w:val="1A294CEC"/>
    <w:rsid w:val="1A295829"/>
    <w:rsid w:val="1A30178C"/>
    <w:rsid w:val="1A312E6E"/>
    <w:rsid w:val="1A362739"/>
    <w:rsid w:val="1A39118F"/>
    <w:rsid w:val="1A41365D"/>
    <w:rsid w:val="1A442548"/>
    <w:rsid w:val="1A4B7457"/>
    <w:rsid w:val="1A4C2A37"/>
    <w:rsid w:val="1A4E2C7F"/>
    <w:rsid w:val="1A4E34E2"/>
    <w:rsid w:val="1A51591C"/>
    <w:rsid w:val="1A524B32"/>
    <w:rsid w:val="1A58610F"/>
    <w:rsid w:val="1A6055AF"/>
    <w:rsid w:val="1A6E647A"/>
    <w:rsid w:val="1A6E79B9"/>
    <w:rsid w:val="1A710F7F"/>
    <w:rsid w:val="1A7372AF"/>
    <w:rsid w:val="1A745F8A"/>
    <w:rsid w:val="1A7B3BAB"/>
    <w:rsid w:val="1A7D44BD"/>
    <w:rsid w:val="1A7F369B"/>
    <w:rsid w:val="1A814BE0"/>
    <w:rsid w:val="1A8803DC"/>
    <w:rsid w:val="1A8C400A"/>
    <w:rsid w:val="1A8E70EB"/>
    <w:rsid w:val="1A945A68"/>
    <w:rsid w:val="1A9845D5"/>
    <w:rsid w:val="1A98478E"/>
    <w:rsid w:val="1A99741A"/>
    <w:rsid w:val="1A997708"/>
    <w:rsid w:val="1AA65CA0"/>
    <w:rsid w:val="1AA90718"/>
    <w:rsid w:val="1AAB161D"/>
    <w:rsid w:val="1AAE3F81"/>
    <w:rsid w:val="1AB10FBD"/>
    <w:rsid w:val="1AB764EA"/>
    <w:rsid w:val="1ABE5BCD"/>
    <w:rsid w:val="1ABE7BD7"/>
    <w:rsid w:val="1AC01D51"/>
    <w:rsid w:val="1AC020E9"/>
    <w:rsid w:val="1AC13CB4"/>
    <w:rsid w:val="1AC405B5"/>
    <w:rsid w:val="1AC52DB1"/>
    <w:rsid w:val="1AC67CAC"/>
    <w:rsid w:val="1AC72999"/>
    <w:rsid w:val="1AD3690E"/>
    <w:rsid w:val="1AD64441"/>
    <w:rsid w:val="1AD81DBA"/>
    <w:rsid w:val="1AE01BFB"/>
    <w:rsid w:val="1AE1442F"/>
    <w:rsid w:val="1AE509D3"/>
    <w:rsid w:val="1AE71241"/>
    <w:rsid w:val="1AF30D99"/>
    <w:rsid w:val="1AF34AE2"/>
    <w:rsid w:val="1AF47561"/>
    <w:rsid w:val="1B07426E"/>
    <w:rsid w:val="1B086E06"/>
    <w:rsid w:val="1B0B7B8D"/>
    <w:rsid w:val="1B0E5F4A"/>
    <w:rsid w:val="1B0F4095"/>
    <w:rsid w:val="1B133038"/>
    <w:rsid w:val="1B141D21"/>
    <w:rsid w:val="1B145AD1"/>
    <w:rsid w:val="1B1868FB"/>
    <w:rsid w:val="1B235FBD"/>
    <w:rsid w:val="1B2F2203"/>
    <w:rsid w:val="1B300412"/>
    <w:rsid w:val="1B300E3A"/>
    <w:rsid w:val="1B3061E5"/>
    <w:rsid w:val="1B316CF3"/>
    <w:rsid w:val="1B3546EB"/>
    <w:rsid w:val="1B357564"/>
    <w:rsid w:val="1B3748FD"/>
    <w:rsid w:val="1B3757A7"/>
    <w:rsid w:val="1B3B12E6"/>
    <w:rsid w:val="1B487518"/>
    <w:rsid w:val="1B49414F"/>
    <w:rsid w:val="1B4D379A"/>
    <w:rsid w:val="1B511169"/>
    <w:rsid w:val="1B55264E"/>
    <w:rsid w:val="1B59696D"/>
    <w:rsid w:val="1B5D1E8A"/>
    <w:rsid w:val="1B657AAA"/>
    <w:rsid w:val="1B687433"/>
    <w:rsid w:val="1B6D1AD6"/>
    <w:rsid w:val="1B7D382D"/>
    <w:rsid w:val="1B8028D0"/>
    <w:rsid w:val="1B8C09AE"/>
    <w:rsid w:val="1B99253B"/>
    <w:rsid w:val="1B992A5A"/>
    <w:rsid w:val="1B99660A"/>
    <w:rsid w:val="1B9B4FF0"/>
    <w:rsid w:val="1BA06E8C"/>
    <w:rsid w:val="1BA12039"/>
    <w:rsid w:val="1BA173AE"/>
    <w:rsid w:val="1BA46DD6"/>
    <w:rsid w:val="1BA934DD"/>
    <w:rsid w:val="1BAE6718"/>
    <w:rsid w:val="1BB128B1"/>
    <w:rsid w:val="1BB13D28"/>
    <w:rsid w:val="1BB60381"/>
    <w:rsid w:val="1BB60BB1"/>
    <w:rsid w:val="1BB94F54"/>
    <w:rsid w:val="1BBE727B"/>
    <w:rsid w:val="1BC03276"/>
    <w:rsid w:val="1BC11A92"/>
    <w:rsid w:val="1BC3243E"/>
    <w:rsid w:val="1BCB0F2F"/>
    <w:rsid w:val="1BCC24D9"/>
    <w:rsid w:val="1BD23C9F"/>
    <w:rsid w:val="1BDA702C"/>
    <w:rsid w:val="1BDD3F75"/>
    <w:rsid w:val="1BE0016A"/>
    <w:rsid w:val="1BE54039"/>
    <w:rsid w:val="1BEA0D29"/>
    <w:rsid w:val="1BEA4F4C"/>
    <w:rsid w:val="1BEC6B0F"/>
    <w:rsid w:val="1BED0AD9"/>
    <w:rsid w:val="1BF14E41"/>
    <w:rsid w:val="1BF45915"/>
    <w:rsid w:val="1C046E7D"/>
    <w:rsid w:val="1C097A3B"/>
    <w:rsid w:val="1C0E4591"/>
    <w:rsid w:val="1C116B25"/>
    <w:rsid w:val="1C194FD6"/>
    <w:rsid w:val="1C1E6EE4"/>
    <w:rsid w:val="1C236C3E"/>
    <w:rsid w:val="1C28730E"/>
    <w:rsid w:val="1C2942AF"/>
    <w:rsid w:val="1C2F06C6"/>
    <w:rsid w:val="1C42298D"/>
    <w:rsid w:val="1C4D315A"/>
    <w:rsid w:val="1C4D76B9"/>
    <w:rsid w:val="1C56042C"/>
    <w:rsid w:val="1C572BD3"/>
    <w:rsid w:val="1C5B5FA8"/>
    <w:rsid w:val="1C5D3828"/>
    <w:rsid w:val="1C5D6587"/>
    <w:rsid w:val="1C616521"/>
    <w:rsid w:val="1C64294F"/>
    <w:rsid w:val="1C715F75"/>
    <w:rsid w:val="1C733010"/>
    <w:rsid w:val="1C7563AB"/>
    <w:rsid w:val="1C775E92"/>
    <w:rsid w:val="1C787B9A"/>
    <w:rsid w:val="1C7F0ACA"/>
    <w:rsid w:val="1C89307D"/>
    <w:rsid w:val="1C89308C"/>
    <w:rsid w:val="1C8A6D4D"/>
    <w:rsid w:val="1C8F7FF4"/>
    <w:rsid w:val="1C915908"/>
    <w:rsid w:val="1C950892"/>
    <w:rsid w:val="1C99052B"/>
    <w:rsid w:val="1C9C6787"/>
    <w:rsid w:val="1C9E2B77"/>
    <w:rsid w:val="1CA153F0"/>
    <w:rsid w:val="1CA63A34"/>
    <w:rsid w:val="1CA90EA4"/>
    <w:rsid w:val="1CBD66FD"/>
    <w:rsid w:val="1CC52A8A"/>
    <w:rsid w:val="1CC71586"/>
    <w:rsid w:val="1CCB6A6B"/>
    <w:rsid w:val="1CD512F2"/>
    <w:rsid w:val="1CD979A4"/>
    <w:rsid w:val="1CDF2ED4"/>
    <w:rsid w:val="1CDF44E2"/>
    <w:rsid w:val="1CE02090"/>
    <w:rsid w:val="1CE22FB4"/>
    <w:rsid w:val="1CE97F95"/>
    <w:rsid w:val="1CEB4382"/>
    <w:rsid w:val="1CF71C0F"/>
    <w:rsid w:val="1CF76C5B"/>
    <w:rsid w:val="1CF92E9A"/>
    <w:rsid w:val="1CFF0AC4"/>
    <w:rsid w:val="1D047A8E"/>
    <w:rsid w:val="1D08284B"/>
    <w:rsid w:val="1D08480C"/>
    <w:rsid w:val="1D0B0A10"/>
    <w:rsid w:val="1D125CB7"/>
    <w:rsid w:val="1D182ECB"/>
    <w:rsid w:val="1D1B23AC"/>
    <w:rsid w:val="1D1F7181"/>
    <w:rsid w:val="1D216C8C"/>
    <w:rsid w:val="1D246914"/>
    <w:rsid w:val="1D277AD6"/>
    <w:rsid w:val="1D2B18B9"/>
    <w:rsid w:val="1D3119C4"/>
    <w:rsid w:val="1D3564DC"/>
    <w:rsid w:val="1D3D7008"/>
    <w:rsid w:val="1D4138AC"/>
    <w:rsid w:val="1D44297A"/>
    <w:rsid w:val="1D470009"/>
    <w:rsid w:val="1D59311E"/>
    <w:rsid w:val="1D603276"/>
    <w:rsid w:val="1D621D8D"/>
    <w:rsid w:val="1D641268"/>
    <w:rsid w:val="1D655E4B"/>
    <w:rsid w:val="1D660B43"/>
    <w:rsid w:val="1D665076"/>
    <w:rsid w:val="1D67661D"/>
    <w:rsid w:val="1D694675"/>
    <w:rsid w:val="1D6E0DA0"/>
    <w:rsid w:val="1D6F53B0"/>
    <w:rsid w:val="1D726A71"/>
    <w:rsid w:val="1D823B84"/>
    <w:rsid w:val="1D8415AD"/>
    <w:rsid w:val="1D8C29FC"/>
    <w:rsid w:val="1DA130A0"/>
    <w:rsid w:val="1DA13929"/>
    <w:rsid w:val="1DA45C29"/>
    <w:rsid w:val="1DA578BD"/>
    <w:rsid w:val="1DAB1A89"/>
    <w:rsid w:val="1DB3691F"/>
    <w:rsid w:val="1DB82819"/>
    <w:rsid w:val="1DBB5971"/>
    <w:rsid w:val="1DBD2DA2"/>
    <w:rsid w:val="1DBD3CD6"/>
    <w:rsid w:val="1DBF21FA"/>
    <w:rsid w:val="1DC02C18"/>
    <w:rsid w:val="1DC07338"/>
    <w:rsid w:val="1DC51CF1"/>
    <w:rsid w:val="1DCA747A"/>
    <w:rsid w:val="1DCD418D"/>
    <w:rsid w:val="1DCE319A"/>
    <w:rsid w:val="1DCF09BE"/>
    <w:rsid w:val="1DD033F2"/>
    <w:rsid w:val="1DDA3528"/>
    <w:rsid w:val="1DDF2F07"/>
    <w:rsid w:val="1DE00B78"/>
    <w:rsid w:val="1DE619D4"/>
    <w:rsid w:val="1DE6621B"/>
    <w:rsid w:val="1DE856B5"/>
    <w:rsid w:val="1DF170F4"/>
    <w:rsid w:val="1DFD08AD"/>
    <w:rsid w:val="1E0043C3"/>
    <w:rsid w:val="1E021E04"/>
    <w:rsid w:val="1E05210A"/>
    <w:rsid w:val="1E0C0080"/>
    <w:rsid w:val="1E153025"/>
    <w:rsid w:val="1E1572F5"/>
    <w:rsid w:val="1E18008F"/>
    <w:rsid w:val="1E18301F"/>
    <w:rsid w:val="1E192BF1"/>
    <w:rsid w:val="1E1C6DCE"/>
    <w:rsid w:val="1E1E141D"/>
    <w:rsid w:val="1E233730"/>
    <w:rsid w:val="1E24378F"/>
    <w:rsid w:val="1E286F71"/>
    <w:rsid w:val="1E2E1F24"/>
    <w:rsid w:val="1E314A47"/>
    <w:rsid w:val="1E384DEF"/>
    <w:rsid w:val="1E391DB3"/>
    <w:rsid w:val="1E3A11A3"/>
    <w:rsid w:val="1E3B3CED"/>
    <w:rsid w:val="1E3B5065"/>
    <w:rsid w:val="1E3E47F2"/>
    <w:rsid w:val="1E41418D"/>
    <w:rsid w:val="1E42556E"/>
    <w:rsid w:val="1E46405D"/>
    <w:rsid w:val="1E4E1FB0"/>
    <w:rsid w:val="1E545A36"/>
    <w:rsid w:val="1E5F7313"/>
    <w:rsid w:val="1E6A6384"/>
    <w:rsid w:val="1E702CF9"/>
    <w:rsid w:val="1E703F8B"/>
    <w:rsid w:val="1E720CBE"/>
    <w:rsid w:val="1E770E85"/>
    <w:rsid w:val="1E845724"/>
    <w:rsid w:val="1E884421"/>
    <w:rsid w:val="1E8A6B5B"/>
    <w:rsid w:val="1E8F76B6"/>
    <w:rsid w:val="1E934E45"/>
    <w:rsid w:val="1E952C15"/>
    <w:rsid w:val="1E9545A8"/>
    <w:rsid w:val="1E9746B2"/>
    <w:rsid w:val="1E996652"/>
    <w:rsid w:val="1E9B38BD"/>
    <w:rsid w:val="1EA33DF1"/>
    <w:rsid w:val="1EA47E66"/>
    <w:rsid w:val="1EA53F38"/>
    <w:rsid w:val="1EAB630B"/>
    <w:rsid w:val="1EAD2E73"/>
    <w:rsid w:val="1EAF02C7"/>
    <w:rsid w:val="1EAF0B77"/>
    <w:rsid w:val="1EB1403F"/>
    <w:rsid w:val="1EB663BA"/>
    <w:rsid w:val="1EB66A20"/>
    <w:rsid w:val="1EB8252B"/>
    <w:rsid w:val="1EB96BD1"/>
    <w:rsid w:val="1EBC4F5A"/>
    <w:rsid w:val="1EBC5B59"/>
    <w:rsid w:val="1EC60AFD"/>
    <w:rsid w:val="1EC82C55"/>
    <w:rsid w:val="1ED25855"/>
    <w:rsid w:val="1ED51267"/>
    <w:rsid w:val="1ED63153"/>
    <w:rsid w:val="1ED91DA3"/>
    <w:rsid w:val="1EDB099F"/>
    <w:rsid w:val="1EDF0CE8"/>
    <w:rsid w:val="1EE43CDE"/>
    <w:rsid w:val="1EED1A95"/>
    <w:rsid w:val="1EF17BC3"/>
    <w:rsid w:val="1EF70DE9"/>
    <w:rsid w:val="1EFA7794"/>
    <w:rsid w:val="1EFD7285"/>
    <w:rsid w:val="1EFF7282"/>
    <w:rsid w:val="1F05061F"/>
    <w:rsid w:val="1F0667EA"/>
    <w:rsid w:val="1F112126"/>
    <w:rsid w:val="1F116AE3"/>
    <w:rsid w:val="1F152675"/>
    <w:rsid w:val="1F1B61AF"/>
    <w:rsid w:val="1F1D3ABD"/>
    <w:rsid w:val="1F206259"/>
    <w:rsid w:val="1F2107B9"/>
    <w:rsid w:val="1F21208C"/>
    <w:rsid w:val="1F242A63"/>
    <w:rsid w:val="1F260048"/>
    <w:rsid w:val="1F2913A9"/>
    <w:rsid w:val="1F2A0578"/>
    <w:rsid w:val="1F2A0BCD"/>
    <w:rsid w:val="1F2B07B2"/>
    <w:rsid w:val="1F2B3EFC"/>
    <w:rsid w:val="1F3831CA"/>
    <w:rsid w:val="1F384CA6"/>
    <w:rsid w:val="1F387C51"/>
    <w:rsid w:val="1F3C1B5B"/>
    <w:rsid w:val="1F45252C"/>
    <w:rsid w:val="1F491D3C"/>
    <w:rsid w:val="1F4C00F7"/>
    <w:rsid w:val="1F4E44EE"/>
    <w:rsid w:val="1F4F18D9"/>
    <w:rsid w:val="1F5275D0"/>
    <w:rsid w:val="1F575082"/>
    <w:rsid w:val="1F5C47B7"/>
    <w:rsid w:val="1F5D72C8"/>
    <w:rsid w:val="1F5D7408"/>
    <w:rsid w:val="1F605325"/>
    <w:rsid w:val="1F635523"/>
    <w:rsid w:val="1F6735AF"/>
    <w:rsid w:val="1F6759AB"/>
    <w:rsid w:val="1F693A25"/>
    <w:rsid w:val="1F713200"/>
    <w:rsid w:val="1F7144C0"/>
    <w:rsid w:val="1F726C2D"/>
    <w:rsid w:val="1F73730C"/>
    <w:rsid w:val="1F7374DC"/>
    <w:rsid w:val="1F816D32"/>
    <w:rsid w:val="1F831FE9"/>
    <w:rsid w:val="1F83596E"/>
    <w:rsid w:val="1F875B07"/>
    <w:rsid w:val="1F893BAC"/>
    <w:rsid w:val="1F8C72B0"/>
    <w:rsid w:val="1F8F351A"/>
    <w:rsid w:val="1F91756E"/>
    <w:rsid w:val="1F985CC1"/>
    <w:rsid w:val="1F996FAD"/>
    <w:rsid w:val="1F9A0F77"/>
    <w:rsid w:val="1F9D7A66"/>
    <w:rsid w:val="1F9E3083"/>
    <w:rsid w:val="1F9F17A8"/>
    <w:rsid w:val="1FA1239C"/>
    <w:rsid w:val="1FA139FC"/>
    <w:rsid w:val="1FA238EF"/>
    <w:rsid w:val="1FA5433C"/>
    <w:rsid w:val="1FAC139E"/>
    <w:rsid w:val="1FAC3A79"/>
    <w:rsid w:val="1FAE2E99"/>
    <w:rsid w:val="1FB05366"/>
    <w:rsid w:val="1FB262C1"/>
    <w:rsid w:val="1FB47603"/>
    <w:rsid w:val="1FB67E9B"/>
    <w:rsid w:val="1FB760ED"/>
    <w:rsid w:val="1FBC514A"/>
    <w:rsid w:val="1FD051E8"/>
    <w:rsid w:val="1FD12871"/>
    <w:rsid w:val="1FD62422"/>
    <w:rsid w:val="1FDF6409"/>
    <w:rsid w:val="1FE052B3"/>
    <w:rsid w:val="1FE1689C"/>
    <w:rsid w:val="1FE219A2"/>
    <w:rsid w:val="1FE4066F"/>
    <w:rsid w:val="1FE5225E"/>
    <w:rsid w:val="1FEA7809"/>
    <w:rsid w:val="1FED2A60"/>
    <w:rsid w:val="1FF04AF5"/>
    <w:rsid w:val="1FF8379E"/>
    <w:rsid w:val="1FFF389A"/>
    <w:rsid w:val="200051AB"/>
    <w:rsid w:val="20046AA5"/>
    <w:rsid w:val="20052895"/>
    <w:rsid w:val="20136438"/>
    <w:rsid w:val="20174C20"/>
    <w:rsid w:val="201C373B"/>
    <w:rsid w:val="201D2EC4"/>
    <w:rsid w:val="201E2D71"/>
    <w:rsid w:val="20230F6D"/>
    <w:rsid w:val="20242C72"/>
    <w:rsid w:val="203302B4"/>
    <w:rsid w:val="203A6210"/>
    <w:rsid w:val="203B62B7"/>
    <w:rsid w:val="20496575"/>
    <w:rsid w:val="204C4020"/>
    <w:rsid w:val="20570DB0"/>
    <w:rsid w:val="205E1FAB"/>
    <w:rsid w:val="205F28E5"/>
    <w:rsid w:val="206A514A"/>
    <w:rsid w:val="206C6A87"/>
    <w:rsid w:val="20713A86"/>
    <w:rsid w:val="2078529B"/>
    <w:rsid w:val="207C0EDB"/>
    <w:rsid w:val="207F2E87"/>
    <w:rsid w:val="20850BC5"/>
    <w:rsid w:val="20851D0B"/>
    <w:rsid w:val="208B0F50"/>
    <w:rsid w:val="208D2404"/>
    <w:rsid w:val="208D653E"/>
    <w:rsid w:val="20924ACB"/>
    <w:rsid w:val="20924B87"/>
    <w:rsid w:val="20924C7B"/>
    <w:rsid w:val="20935DBC"/>
    <w:rsid w:val="2094740C"/>
    <w:rsid w:val="209C4826"/>
    <w:rsid w:val="209E7A53"/>
    <w:rsid w:val="20A00DD5"/>
    <w:rsid w:val="20A262E8"/>
    <w:rsid w:val="20A54700"/>
    <w:rsid w:val="20A774A8"/>
    <w:rsid w:val="20A976C4"/>
    <w:rsid w:val="20AA7075"/>
    <w:rsid w:val="20B438CA"/>
    <w:rsid w:val="20B7490F"/>
    <w:rsid w:val="20B83463"/>
    <w:rsid w:val="20B91875"/>
    <w:rsid w:val="20C00EB0"/>
    <w:rsid w:val="20CD1665"/>
    <w:rsid w:val="20D34AB1"/>
    <w:rsid w:val="20E22BD6"/>
    <w:rsid w:val="20E71F9A"/>
    <w:rsid w:val="20EE157B"/>
    <w:rsid w:val="20F97DF8"/>
    <w:rsid w:val="20FA112E"/>
    <w:rsid w:val="2100305C"/>
    <w:rsid w:val="21004E0A"/>
    <w:rsid w:val="21007405"/>
    <w:rsid w:val="21022930"/>
    <w:rsid w:val="21042A56"/>
    <w:rsid w:val="21091F11"/>
    <w:rsid w:val="210B4839"/>
    <w:rsid w:val="210C2ED1"/>
    <w:rsid w:val="210D48A9"/>
    <w:rsid w:val="210E39CB"/>
    <w:rsid w:val="21143EE5"/>
    <w:rsid w:val="21180B73"/>
    <w:rsid w:val="2121100E"/>
    <w:rsid w:val="212270F6"/>
    <w:rsid w:val="212735D1"/>
    <w:rsid w:val="212B34F7"/>
    <w:rsid w:val="212E1607"/>
    <w:rsid w:val="213A4563"/>
    <w:rsid w:val="213E37D9"/>
    <w:rsid w:val="21457C57"/>
    <w:rsid w:val="21480168"/>
    <w:rsid w:val="214F147B"/>
    <w:rsid w:val="2152200F"/>
    <w:rsid w:val="215238B8"/>
    <w:rsid w:val="2154487F"/>
    <w:rsid w:val="21545BE4"/>
    <w:rsid w:val="215723B3"/>
    <w:rsid w:val="215725C0"/>
    <w:rsid w:val="21590687"/>
    <w:rsid w:val="215D168E"/>
    <w:rsid w:val="215E32D6"/>
    <w:rsid w:val="21643C21"/>
    <w:rsid w:val="216E2094"/>
    <w:rsid w:val="216F75C6"/>
    <w:rsid w:val="217E4766"/>
    <w:rsid w:val="21863E10"/>
    <w:rsid w:val="21881CE4"/>
    <w:rsid w:val="218D51B0"/>
    <w:rsid w:val="21922A08"/>
    <w:rsid w:val="219519F6"/>
    <w:rsid w:val="21993D87"/>
    <w:rsid w:val="219C4B33"/>
    <w:rsid w:val="21A70722"/>
    <w:rsid w:val="21AA2451"/>
    <w:rsid w:val="21AD46AA"/>
    <w:rsid w:val="21AE54C0"/>
    <w:rsid w:val="21B7404D"/>
    <w:rsid w:val="21B75CA3"/>
    <w:rsid w:val="21BD19B0"/>
    <w:rsid w:val="21C85B1A"/>
    <w:rsid w:val="21CB305B"/>
    <w:rsid w:val="21D03C92"/>
    <w:rsid w:val="21D511B3"/>
    <w:rsid w:val="21D70261"/>
    <w:rsid w:val="21D86594"/>
    <w:rsid w:val="21DB1413"/>
    <w:rsid w:val="21DD63A5"/>
    <w:rsid w:val="21E82D1F"/>
    <w:rsid w:val="21E83FC1"/>
    <w:rsid w:val="21ED13A9"/>
    <w:rsid w:val="21F10022"/>
    <w:rsid w:val="21F450B1"/>
    <w:rsid w:val="21F56CE4"/>
    <w:rsid w:val="22012302"/>
    <w:rsid w:val="22067572"/>
    <w:rsid w:val="220927F1"/>
    <w:rsid w:val="22093928"/>
    <w:rsid w:val="22194069"/>
    <w:rsid w:val="22194171"/>
    <w:rsid w:val="221A1EFC"/>
    <w:rsid w:val="222D75F2"/>
    <w:rsid w:val="2230667E"/>
    <w:rsid w:val="22316BFF"/>
    <w:rsid w:val="223B25A8"/>
    <w:rsid w:val="223C67F4"/>
    <w:rsid w:val="223F323C"/>
    <w:rsid w:val="224029DA"/>
    <w:rsid w:val="2245341D"/>
    <w:rsid w:val="22455F03"/>
    <w:rsid w:val="224A57FC"/>
    <w:rsid w:val="224C62C5"/>
    <w:rsid w:val="22544370"/>
    <w:rsid w:val="22547E7D"/>
    <w:rsid w:val="22562288"/>
    <w:rsid w:val="22573150"/>
    <w:rsid w:val="22586AAC"/>
    <w:rsid w:val="225E323A"/>
    <w:rsid w:val="225E370A"/>
    <w:rsid w:val="225E4836"/>
    <w:rsid w:val="2266488E"/>
    <w:rsid w:val="226E1CB6"/>
    <w:rsid w:val="22711954"/>
    <w:rsid w:val="22717BDD"/>
    <w:rsid w:val="22723AAE"/>
    <w:rsid w:val="227312C4"/>
    <w:rsid w:val="22737F8A"/>
    <w:rsid w:val="22786FC7"/>
    <w:rsid w:val="227B74E9"/>
    <w:rsid w:val="22841FC2"/>
    <w:rsid w:val="228817B3"/>
    <w:rsid w:val="228B7D11"/>
    <w:rsid w:val="2294262E"/>
    <w:rsid w:val="22996E04"/>
    <w:rsid w:val="229A3C77"/>
    <w:rsid w:val="229D6DB5"/>
    <w:rsid w:val="22A1529F"/>
    <w:rsid w:val="22A2455C"/>
    <w:rsid w:val="22B5788D"/>
    <w:rsid w:val="22B82743"/>
    <w:rsid w:val="22B849AA"/>
    <w:rsid w:val="22B96452"/>
    <w:rsid w:val="22BA23F0"/>
    <w:rsid w:val="22BE666C"/>
    <w:rsid w:val="22C24A6D"/>
    <w:rsid w:val="22C26CEE"/>
    <w:rsid w:val="22C80936"/>
    <w:rsid w:val="22CA7187"/>
    <w:rsid w:val="22CE1550"/>
    <w:rsid w:val="22D5479A"/>
    <w:rsid w:val="22D64075"/>
    <w:rsid w:val="22D73DE6"/>
    <w:rsid w:val="22D868D3"/>
    <w:rsid w:val="22D87D6C"/>
    <w:rsid w:val="22E1444A"/>
    <w:rsid w:val="22E2621C"/>
    <w:rsid w:val="22E542B8"/>
    <w:rsid w:val="22E64FE4"/>
    <w:rsid w:val="22F035E2"/>
    <w:rsid w:val="22F46702"/>
    <w:rsid w:val="23033B66"/>
    <w:rsid w:val="2311750C"/>
    <w:rsid w:val="23146523"/>
    <w:rsid w:val="2317348D"/>
    <w:rsid w:val="23224442"/>
    <w:rsid w:val="232610F0"/>
    <w:rsid w:val="23283F46"/>
    <w:rsid w:val="232B4B18"/>
    <w:rsid w:val="232B7357"/>
    <w:rsid w:val="232C1EE7"/>
    <w:rsid w:val="23327738"/>
    <w:rsid w:val="23352DB5"/>
    <w:rsid w:val="233A483F"/>
    <w:rsid w:val="233E609C"/>
    <w:rsid w:val="234D1024"/>
    <w:rsid w:val="23584ABB"/>
    <w:rsid w:val="235A6A54"/>
    <w:rsid w:val="235D3039"/>
    <w:rsid w:val="23643272"/>
    <w:rsid w:val="236817F3"/>
    <w:rsid w:val="236E4FBD"/>
    <w:rsid w:val="237B27A4"/>
    <w:rsid w:val="237B5274"/>
    <w:rsid w:val="238365D1"/>
    <w:rsid w:val="23865695"/>
    <w:rsid w:val="238C519F"/>
    <w:rsid w:val="238F3E16"/>
    <w:rsid w:val="239043DF"/>
    <w:rsid w:val="23915349"/>
    <w:rsid w:val="23961786"/>
    <w:rsid w:val="23966EB9"/>
    <w:rsid w:val="2398619C"/>
    <w:rsid w:val="23A2646D"/>
    <w:rsid w:val="23A423C5"/>
    <w:rsid w:val="23AF14AC"/>
    <w:rsid w:val="23B50D21"/>
    <w:rsid w:val="23C142AF"/>
    <w:rsid w:val="23C93BD9"/>
    <w:rsid w:val="23C95718"/>
    <w:rsid w:val="23CC381F"/>
    <w:rsid w:val="23D12D6F"/>
    <w:rsid w:val="23D43508"/>
    <w:rsid w:val="23D877EB"/>
    <w:rsid w:val="23DE7685"/>
    <w:rsid w:val="23EC3B38"/>
    <w:rsid w:val="23F70B0A"/>
    <w:rsid w:val="23FA2194"/>
    <w:rsid w:val="23FA556A"/>
    <w:rsid w:val="23FD0015"/>
    <w:rsid w:val="23FF09DB"/>
    <w:rsid w:val="240C5A30"/>
    <w:rsid w:val="241156D5"/>
    <w:rsid w:val="241C63FF"/>
    <w:rsid w:val="241D5C4D"/>
    <w:rsid w:val="24212293"/>
    <w:rsid w:val="24214518"/>
    <w:rsid w:val="24244CFC"/>
    <w:rsid w:val="24244D6C"/>
    <w:rsid w:val="24331291"/>
    <w:rsid w:val="2434791C"/>
    <w:rsid w:val="243C49AC"/>
    <w:rsid w:val="24433035"/>
    <w:rsid w:val="24454D19"/>
    <w:rsid w:val="244B4DDA"/>
    <w:rsid w:val="244D65B8"/>
    <w:rsid w:val="244F2331"/>
    <w:rsid w:val="245E07C6"/>
    <w:rsid w:val="2460497C"/>
    <w:rsid w:val="24646C29"/>
    <w:rsid w:val="246C3C96"/>
    <w:rsid w:val="248B7965"/>
    <w:rsid w:val="24976373"/>
    <w:rsid w:val="249A12EC"/>
    <w:rsid w:val="24A13EFA"/>
    <w:rsid w:val="24A44138"/>
    <w:rsid w:val="24A81BC2"/>
    <w:rsid w:val="24B47746"/>
    <w:rsid w:val="24B86A4C"/>
    <w:rsid w:val="24BB31B1"/>
    <w:rsid w:val="24BD7338"/>
    <w:rsid w:val="24C230C2"/>
    <w:rsid w:val="24C7754F"/>
    <w:rsid w:val="24C7785F"/>
    <w:rsid w:val="24C93605"/>
    <w:rsid w:val="24CA533C"/>
    <w:rsid w:val="24CB7930"/>
    <w:rsid w:val="24D14FAC"/>
    <w:rsid w:val="24D306B6"/>
    <w:rsid w:val="24D34F6E"/>
    <w:rsid w:val="24D9609E"/>
    <w:rsid w:val="24E101A2"/>
    <w:rsid w:val="24E35BFC"/>
    <w:rsid w:val="24E4247E"/>
    <w:rsid w:val="24E51D1A"/>
    <w:rsid w:val="24EA4173"/>
    <w:rsid w:val="24EC4D28"/>
    <w:rsid w:val="24ED1C2F"/>
    <w:rsid w:val="24F070B2"/>
    <w:rsid w:val="24F13EE5"/>
    <w:rsid w:val="24F440E6"/>
    <w:rsid w:val="24F56777"/>
    <w:rsid w:val="24FB7DC2"/>
    <w:rsid w:val="25021AEE"/>
    <w:rsid w:val="250247D9"/>
    <w:rsid w:val="2503564D"/>
    <w:rsid w:val="25040A24"/>
    <w:rsid w:val="25082A35"/>
    <w:rsid w:val="25090E5E"/>
    <w:rsid w:val="2509175C"/>
    <w:rsid w:val="25097F64"/>
    <w:rsid w:val="250C1FD0"/>
    <w:rsid w:val="2515745C"/>
    <w:rsid w:val="251A0B90"/>
    <w:rsid w:val="25207829"/>
    <w:rsid w:val="252136A5"/>
    <w:rsid w:val="252437BD"/>
    <w:rsid w:val="25247AC6"/>
    <w:rsid w:val="25256B46"/>
    <w:rsid w:val="25262DB9"/>
    <w:rsid w:val="252719A9"/>
    <w:rsid w:val="252B1263"/>
    <w:rsid w:val="252D7737"/>
    <w:rsid w:val="252D7B95"/>
    <w:rsid w:val="25327D57"/>
    <w:rsid w:val="25387E2E"/>
    <w:rsid w:val="253E5015"/>
    <w:rsid w:val="253F23A5"/>
    <w:rsid w:val="25483FDA"/>
    <w:rsid w:val="25506B71"/>
    <w:rsid w:val="255319AC"/>
    <w:rsid w:val="25543D35"/>
    <w:rsid w:val="25587DE6"/>
    <w:rsid w:val="2560231B"/>
    <w:rsid w:val="256242E5"/>
    <w:rsid w:val="2566235C"/>
    <w:rsid w:val="256F17CE"/>
    <w:rsid w:val="25702E0F"/>
    <w:rsid w:val="257E5554"/>
    <w:rsid w:val="25822292"/>
    <w:rsid w:val="258F3F22"/>
    <w:rsid w:val="25954530"/>
    <w:rsid w:val="25992F1E"/>
    <w:rsid w:val="259957D0"/>
    <w:rsid w:val="259A07DC"/>
    <w:rsid w:val="259A5877"/>
    <w:rsid w:val="259D0438"/>
    <w:rsid w:val="25A03FF7"/>
    <w:rsid w:val="25A20B86"/>
    <w:rsid w:val="25A22F91"/>
    <w:rsid w:val="25A658D3"/>
    <w:rsid w:val="25A87965"/>
    <w:rsid w:val="25AB3597"/>
    <w:rsid w:val="25BD76A6"/>
    <w:rsid w:val="25C6667B"/>
    <w:rsid w:val="25CA6E09"/>
    <w:rsid w:val="25CB59E7"/>
    <w:rsid w:val="25CE7E9E"/>
    <w:rsid w:val="25D64848"/>
    <w:rsid w:val="25D81287"/>
    <w:rsid w:val="25E1520A"/>
    <w:rsid w:val="25E25630"/>
    <w:rsid w:val="25E36A75"/>
    <w:rsid w:val="25E62821"/>
    <w:rsid w:val="25E97BEA"/>
    <w:rsid w:val="25EA0057"/>
    <w:rsid w:val="25EC3BAF"/>
    <w:rsid w:val="25F005BB"/>
    <w:rsid w:val="25F05314"/>
    <w:rsid w:val="25F93317"/>
    <w:rsid w:val="25FA451E"/>
    <w:rsid w:val="25FC2409"/>
    <w:rsid w:val="25FF7BB1"/>
    <w:rsid w:val="26085F51"/>
    <w:rsid w:val="26091CA6"/>
    <w:rsid w:val="26146A45"/>
    <w:rsid w:val="261778DB"/>
    <w:rsid w:val="26195D00"/>
    <w:rsid w:val="261C7128"/>
    <w:rsid w:val="261E5451"/>
    <w:rsid w:val="2620783C"/>
    <w:rsid w:val="262A17FF"/>
    <w:rsid w:val="262D4E7A"/>
    <w:rsid w:val="262F265C"/>
    <w:rsid w:val="263078A5"/>
    <w:rsid w:val="26396809"/>
    <w:rsid w:val="263B2526"/>
    <w:rsid w:val="26513CF5"/>
    <w:rsid w:val="265771B1"/>
    <w:rsid w:val="265978AB"/>
    <w:rsid w:val="265C69A7"/>
    <w:rsid w:val="265E627C"/>
    <w:rsid w:val="26603243"/>
    <w:rsid w:val="266858B0"/>
    <w:rsid w:val="26721F14"/>
    <w:rsid w:val="2675293A"/>
    <w:rsid w:val="26780AF4"/>
    <w:rsid w:val="26792AF5"/>
    <w:rsid w:val="267D4FAC"/>
    <w:rsid w:val="267E47AB"/>
    <w:rsid w:val="268275B8"/>
    <w:rsid w:val="26871982"/>
    <w:rsid w:val="268A1C48"/>
    <w:rsid w:val="2692136F"/>
    <w:rsid w:val="2693654D"/>
    <w:rsid w:val="26996DAE"/>
    <w:rsid w:val="269C5FB5"/>
    <w:rsid w:val="269E30FB"/>
    <w:rsid w:val="269F1C2E"/>
    <w:rsid w:val="26A0178E"/>
    <w:rsid w:val="26A37A59"/>
    <w:rsid w:val="26A57F23"/>
    <w:rsid w:val="26A97B73"/>
    <w:rsid w:val="26BB5A5B"/>
    <w:rsid w:val="26BD5C77"/>
    <w:rsid w:val="26BE3B0C"/>
    <w:rsid w:val="26BF0015"/>
    <w:rsid w:val="26C012C4"/>
    <w:rsid w:val="26C31CF7"/>
    <w:rsid w:val="26CB3438"/>
    <w:rsid w:val="26D0702D"/>
    <w:rsid w:val="26D223A2"/>
    <w:rsid w:val="26D82637"/>
    <w:rsid w:val="26DF7C14"/>
    <w:rsid w:val="26E01C71"/>
    <w:rsid w:val="26E154C3"/>
    <w:rsid w:val="26E74873"/>
    <w:rsid w:val="26E8572C"/>
    <w:rsid w:val="26EB4ACF"/>
    <w:rsid w:val="26EE03F8"/>
    <w:rsid w:val="26EF1BA9"/>
    <w:rsid w:val="26EF2245"/>
    <w:rsid w:val="26EF7DFB"/>
    <w:rsid w:val="26F615DD"/>
    <w:rsid w:val="26FD374B"/>
    <w:rsid w:val="27035654"/>
    <w:rsid w:val="27075144"/>
    <w:rsid w:val="270D0281"/>
    <w:rsid w:val="2710233C"/>
    <w:rsid w:val="271027C9"/>
    <w:rsid w:val="27116E80"/>
    <w:rsid w:val="27133AE9"/>
    <w:rsid w:val="271E09F9"/>
    <w:rsid w:val="272045F6"/>
    <w:rsid w:val="27277331"/>
    <w:rsid w:val="27283316"/>
    <w:rsid w:val="272D25FF"/>
    <w:rsid w:val="272E26D1"/>
    <w:rsid w:val="273D0B66"/>
    <w:rsid w:val="27406E6F"/>
    <w:rsid w:val="27497346"/>
    <w:rsid w:val="275E5EB1"/>
    <w:rsid w:val="276460F3"/>
    <w:rsid w:val="27667509"/>
    <w:rsid w:val="27681809"/>
    <w:rsid w:val="276A5E9A"/>
    <w:rsid w:val="276F7798"/>
    <w:rsid w:val="277349C2"/>
    <w:rsid w:val="27745479"/>
    <w:rsid w:val="27787DF0"/>
    <w:rsid w:val="27806CA5"/>
    <w:rsid w:val="27816C71"/>
    <w:rsid w:val="278316C8"/>
    <w:rsid w:val="278462E3"/>
    <w:rsid w:val="27872002"/>
    <w:rsid w:val="278A009D"/>
    <w:rsid w:val="278D2658"/>
    <w:rsid w:val="278E3554"/>
    <w:rsid w:val="27907B87"/>
    <w:rsid w:val="279305AE"/>
    <w:rsid w:val="27957B98"/>
    <w:rsid w:val="2797346E"/>
    <w:rsid w:val="27982240"/>
    <w:rsid w:val="27A931C5"/>
    <w:rsid w:val="27AD617E"/>
    <w:rsid w:val="27BA7CA3"/>
    <w:rsid w:val="27BD5803"/>
    <w:rsid w:val="27D0129C"/>
    <w:rsid w:val="27D86DAA"/>
    <w:rsid w:val="27E51C1A"/>
    <w:rsid w:val="27EA0F8B"/>
    <w:rsid w:val="27EE3B4B"/>
    <w:rsid w:val="27F218A3"/>
    <w:rsid w:val="27FA0805"/>
    <w:rsid w:val="27FC48A1"/>
    <w:rsid w:val="27FE58EC"/>
    <w:rsid w:val="28017DE6"/>
    <w:rsid w:val="280671AA"/>
    <w:rsid w:val="280B1269"/>
    <w:rsid w:val="280C3010"/>
    <w:rsid w:val="280F7047"/>
    <w:rsid w:val="28107E0D"/>
    <w:rsid w:val="28142030"/>
    <w:rsid w:val="281775CE"/>
    <w:rsid w:val="28185F06"/>
    <w:rsid w:val="281B530B"/>
    <w:rsid w:val="281D3E77"/>
    <w:rsid w:val="281F0F54"/>
    <w:rsid w:val="28202540"/>
    <w:rsid w:val="28285159"/>
    <w:rsid w:val="28306FBE"/>
    <w:rsid w:val="28311D49"/>
    <w:rsid w:val="283179B8"/>
    <w:rsid w:val="283562A0"/>
    <w:rsid w:val="283650EF"/>
    <w:rsid w:val="283D6944"/>
    <w:rsid w:val="283E3104"/>
    <w:rsid w:val="28403F79"/>
    <w:rsid w:val="28534D45"/>
    <w:rsid w:val="28564D32"/>
    <w:rsid w:val="28595F30"/>
    <w:rsid w:val="285A5B5B"/>
    <w:rsid w:val="285B5EC7"/>
    <w:rsid w:val="28610884"/>
    <w:rsid w:val="286430B4"/>
    <w:rsid w:val="28673A57"/>
    <w:rsid w:val="2872315D"/>
    <w:rsid w:val="287A712B"/>
    <w:rsid w:val="287F6243"/>
    <w:rsid w:val="288217D0"/>
    <w:rsid w:val="288B5901"/>
    <w:rsid w:val="288F0E6A"/>
    <w:rsid w:val="288F7A15"/>
    <w:rsid w:val="28973FD2"/>
    <w:rsid w:val="28986D67"/>
    <w:rsid w:val="289A33D0"/>
    <w:rsid w:val="289B61D5"/>
    <w:rsid w:val="289C1AC0"/>
    <w:rsid w:val="289F74FC"/>
    <w:rsid w:val="28A75EB2"/>
    <w:rsid w:val="28A857C9"/>
    <w:rsid w:val="28AC2DE2"/>
    <w:rsid w:val="28AD2BD7"/>
    <w:rsid w:val="28B057FA"/>
    <w:rsid w:val="28B61FB8"/>
    <w:rsid w:val="28C229C4"/>
    <w:rsid w:val="28C942A1"/>
    <w:rsid w:val="28D21782"/>
    <w:rsid w:val="28D72A03"/>
    <w:rsid w:val="28D77F90"/>
    <w:rsid w:val="28DB0637"/>
    <w:rsid w:val="28DD6DAD"/>
    <w:rsid w:val="28E05B40"/>
    <w:rsid w:val="28E43569"/>
    <w:rsid w:val="28E92A77"/>
    <w:rsid w:val="28EA49FD"/>
    <w:rsid w:val="28F1728F"/>
    <w:rsid w:val="28F61A62"/>
    <w:rsid w:val="28FD468F"/>
    <w:rsid w:val="2903531E"/>
    <w:rsid w:val="29073217"/>
    <w:rsid w:val="29086876"/>
    <w:rsid w:val="291161A5"/>
    <w:rsid w:val="29180290"/>
    <w:rsid w:val="291D5A5E"/>
    <w:rsid w:val="291E4123"/>
    <w:rsid w:val="291E63F4"/>
    <w:rsid w:val="291F4379"/>
    <w:rsid w:val="29211080"/>
    <w:rsid w:val="292875F4"/>
    <w:rsid w:val="292A511A"/>
    <w:rsid w:val="292B5169"/>
    <w:rsid w:val="292C21F4"/>
    <w:rsid w:val="293374F6"/>
    <w:rsid w:val="293472BF"/>
    <w:rsid w:val="29392739"/>
    <w:rsid w:val="2939580A"/>
    <w:rsid w:val="29412E8E"/>
    <w:rsid w:val="294343DE"/>
    <w:rsid w:val="29451F54"/>
    <w:rsid w:val="29484A97"/>
    <w:rsid w:val="294B459F"/>
    <w:rsid w:val="294E66FD"/>
    <w:rsid w:val="29533BC4"/>
    <w:rsid w:val="29560197"/>
    <w:rsid w:val="29577B1E"/>
    <w:rsid w:val="295B6F73"/>
    <w:rsid w:val="295C768E"/>
    <w:rsid w:val="295E6B72"/>
    <w:rsid w:val="29600B3C"/>
    <w:rsid w:val="2964062C"/>
    <w:rsid w:val="29651004"/>
    <w:rsid w:val="296714B7"/>
    <w:rsid w:val="29673C78"/>
    <w:rsid w:val="29741E0E"/>
    <w:rsid w:val="29763EBB"/>
    <w:rsid w:val="29777C08"/>
    <w:rsid w:val="297C0BEE"/>
    <w:rsid w:val="297D25A4"/>
    <w:rsid w:val="2982060B"/>
    <w:rsid w:val="298736A5"/>
    <w:rsid w:val="298E2054"/>
    <w:rsid w:val="298E4BFD"/>
    <w:rsid w:val="299045CD"/>
    <w:rsid w:val="2997573E"/>
    <w:rsid w:val="29993832"/>
    <w:rsid w:val="2999739E"/>
    <w:rsid w:val="299C4A65"/>
    <w:rsid w:val="299D6000"/>
    <w:rsid w:val="299F2C66"/>
    <w:rsid w:val="29A038D3"/>
    <w:rsid w:val="29A20FDC"/>
    <w:rsid w:val="29A53D33"/>
    <w:rsid w:val="29A615B1"/>
    <w:rsid w:val="29A71810"/>
    <w:rsid w:val="29A97E6C"/>
    <w:rsid w:val="29AC55DD"/>
    <w:rsid w:val="29AD6C59"/>
    <w:rsid w:val="29B052DA"/>
    <w:rsid w:val="29B43C2A"/>
    <w:rsid w:val="29B775B4"/>
    <w:rsid w:val="29BF3AB4"/>
    <w:rsid w:val="29C00BBB"/>
    <w:rsid w:val="29C54E43"/>
    <w:rsid w:val="29C83B1F"/>
    <w:rsid w:val="29CA5CAE"/>
    <w:rsid w:val="29D13752"/>
    <w:rsid w:val="29D92FF7"/>
    <w:rsid w:val="29DA40D8"/>
    <w:rsid w:val="29DF1BDF"/>
    <w:rsid w:val="29E23D99"/>
    <w:rsid w:val="29E51041"/>
    <w:rsid w:val="29EB1204"/>
    <w:rsid w:val="29EF26BD"/>
    <w:rsid w:val="29F72A90"/>
    <w:rsid w:val="29F946AB"/>
    <w:rsid w:val="2A0140CD"/>
    <w:rsid w:val="2A015918"/>
    <w:rsid w:val="2A052C11"/>
    <w:rsid w:val="2A081FB9"/>
    <w:rsid w:val="2A086987"/>
    <w:rsid w:val="2A1577E3"/>
    <w:rsid w:val="2A1814F5"/>
    <w:rsid w:val="2A1C0F07"/>
    <w:rsid w:val="2A1C3F0A"/>
    <w:rsid w:val="2A1C442B"/>
    <w:rsid w:val="2A1E5C2A"/>
    <w:rsid w:val="2A225B7B"/>
    <w:rsid w:val="2A2530C5"/>
    <w:rsid w:val="2A3224D8"/>
    <w:rsid w:val="2A372261"/>
    <w:rsid w:val="2A385BE6"/>
    <w:rsid w:val="2A395837"/>
    <w:rsid w:val="2A3B7000"/>
    <w:rsid w:val="2A3F14CA"/>
    <w:rsid w:val="2A3F319D"/>
    <w:rsid w:val="2A450B36"/>
    <w:rsid w:val="2A48718E"/>
    <w:rsid w:val="2A5213D8"/>
    <w:rsid w:val="2A5225F6"/>
    <w:rsid w:val="2A591747"/>
    <w:rsid w:val="2A663F30"/>
    <w:rsid w:val="2A6B4FC7"/>
    <w:rsid w:val="2A6E24FB"/>
    <w:rsid w:val="2A6F1145"/>
    <w:rsid w:val="2A7000F8"/>
    <w:rsid w:val="2A706CFE"/>
    <w:rsid w:val="2A707A61"/>
    <w:rsid w:val="2A7101ED"/>
    <w:rsid w:val="2A73664D"/>
    <w:rsid w:val="2A7C78CC"/>
    <w:rsid w:val="2A837488"/>
    <w:rsid w:val="2A8874CB"/>
    <w:rsid w:val="2A916C90"/>
    <w:rsid w:val="2A956F4F"/>
    <w:rsid w:val="2A9A26D1"/>
    <w:rsid w:val="2A9A6728"/>
    <w:rsid w:val="2A9D0A0A"/>
    <w:rsid w:val="2A9E7ACF"/>
    <w:rsid w:val="2AA67D27"/>
    <w:rsid w:val="2AA778D4"/>
    <w:rsid w:val="2AAA396B"/>
    <w:rsid w:val="2ABC535A"/>
    <w:rsid w:val="2AC70B7D"/>
    <w:rsid w:val="2AC74132"/>
    <w:rsid w:val="2ACF6763"/>
    <w:rsid w:val="2AD545A6"/>
    <w:rsid w:val="2AD61031"/>
    <w:rsid w:val="2AD94AE7"/>
    <w:rsid w:val="2AD967E3"/>
    <w:rsid w:val="2ADB491E"/>
    <w:rsid w:val="2ADB49DF"/>
    <w:rsid w:val="2ADB7BB4"/>
    <w:rsid w:val="2AE14C8D"/>
    <w:rsid w:val="2AEB09DE"/>
    <w:rsid w:val="2AF163C6"/>
    <w:rsid w:val="2AF77F91"/>
    <w:rsid w:val="2AFB05C0"/>
    <w:rsid w:val="2B000FC3"/>
    <w:rsid w:val="2B014903"/>
    <w:rsid w:val="2B026391"/>
    <w:rsid w:val="2B033E75"/>
    <w:rsid w:val="2B0E58B3"/>
    <w:rsid w:val="2B1122B4"/>
    <w:rsid w:val="2B1240B8"/>
    <w:rsid w:val="2B2845E2"/>
    <w:rsid w:val="2B285D1E"/>
    <w:rsid w:val="2B2C6567"/>
    <w:rsid w:val="2B2F6A18"/>
    <w:rsid w:val="2B380E05"/>
    <w:rsid w:val="2B3C5FA6"/>
    <w:rsid w:val="2B406E77"/>
    <w:rsid w:val="2B421E23"/>
    <w:rsid w:val="2B435C33"/>
    <w:rsid w:val="2B462DCC"/>
    <w:rsid w:val="2B4728B9"/>
    <w:rsid w:val="2B4B7150"/>
    <w:rsid w:val="2B4E4C9C"/>
    <w:rsid w:val="2B512FE4"/>
    <w:rsid w:val="2B516B3B"/>
    <w:rsid w:val="2B555426"/>
    <w:rsid w:val="2B566AF5"/>
    <w:rsid w:val="2B626052"/>
    <w:rsid w:val="2B6B3D0A"/>
    <w:rsid w:val="2B6D2315"/>
    <w:rsid w:val="2B731CA4"/>
    <w:rsid w:val="2B7A1D63"/>
    <w:rsid w:val="2B7B7EAF"/>
    <w:rsid w:val="2B7D2627"/>
    <w:rsid w:val="2B8419BB"/>
    <w:rsid w:val="2B8F395A"/>
    <w:rsid w:val="2B9653CB"/>
    <w:rsid w:val="2B9772D5"/>
    <w:rsid w:val="2B9F65E3"/>
    <w:rsid w:val="2BA053B9"/>
    <w:rsid w:val="2BA333D8"/>
    <w:rsid w:val="2BA50693"/>
    <w:rsid w:val="2BA6648F"/>
    <w:rsid w:val="2BA80578"/>
    <w:rsid w:val="2BAC62BA"/>
    <w:rsid w:val="2BAE2033"/>
    <w:rsid w:val="2BB055D7"/>
    <w:rsid w:val="2BBC1488"/>
    <w:rsid w:val="2BBF168D"/>
    <w:rsid w:val="2BBF5FEE"/>
    <w:rsid w:val="2BC5112A"/>
    <w:rsid w:val="2BCA4992"/>
    <w:rsid w:val="2BCB686C"/>
    <w:rsid w:val="2BD61589"/>
    <w:rsid w:val="2BDB74AD"/>
    <w:rsid w:val="2BDE7C37"/>
    <w:rsid w:val="2BE03D68"/>
    <w:rsid w:val="2BE63586"/>
    <w:rsid w:val="2BEE77ED"/>
    <w:rsid w:val="2BF14D65"/>
    <w:rsid w:val="2BF5104E"/>
    <w:rsid w:val="2BF61DD6"/>
    <w:rsid w:val="2BFC502E"/>
    <w:rsid w:val="2C01464C"/>
    <w:rsid w:val="2C016BF2"/>
    <w:rsid w:val="2C063C1D"/>
    <w:rsid w:val="2C06763B"/>
    <w:rsid w:val="2C0D515F"/>
    <w:rsid w:val="2C100F39"/>
    <w:rsid w:val="2C176492"/>
    <w:rsid w:val="2C187C02"/>
    <w:rsid w:val="2C1A3B43"/>
    <w:rsid w:val="2C1E1CFD"/>
    <w:rsid w:val="2C2422F5"/>
    <w:rsid w:val="2C38793F"/>
    <w:rsid w:val="2C487FD5"/>
    <w:rsid w:val="2C4A141C"/>
    <w:rsid w:val="2C563E99"/>
    <w:rsid w:val="2C58072E"/>
    <w:rsid w:val="2C58086E"/>
    <w:rsid w:val="2C5A220A"/>
    <w:rsid w:val="2C602C01"/>
    <w:rsid w:val="2C624271"/>
    <w:rsid w:val="2C665D4F"/>
    <w:rsid w:val="2C673F8F"/>
    <w:rsid w:val="2C6E080E"/>
    <w:rsid w:val="2C74376C"/>
    <w:rsid w:val="2C756321"/>
    <w:rsid w:val="2C76065F"/>
    <w:rsid w:val="2C79158F"/>
    <w:rsid w:val="2C806734"/>
    <w:rsid w:val="2C8135EE"/>
    <w:rsid w:val="2C8331B5"/>
    <w:rsid w:val="2C8336BD"/>
    <w:rsid w:val="2C8678F0"/>
    <w:rsid w:val="2C8D4484"/>
    <w:rsid w:val="2C8E1404"/>
    <w:rsid w:val="2C946E53"/>
    <w:rsid w:val="2C9A4365"/>
    <w:rsid w:val="2C9B7ADD"/>
    <w:rsid w:val="2C9D61C0"/>
    <w:rsid w:val="2CA13945"/>
    <w:rsid w:val="2CA22032"/>
    <w:rsid w:val="2CA30A94"/>
    <w:rsid w:val="2CAE1DFF"/>
    <w:rsid w:val="2CBE62A5"/>
    <w:rsid w:val="2CD30128"/>
    <w:rsid w:val="2CD409F1"/>
    <w:rsid w:val="2CD84A93"/>
    <w:rsid w:val="2CD90E53"/>
    <w:rsid w:val="2CD96A90"/>
    <w:rsid w:val="2CE51D4D"/>
    <w:rsid w:val="2CE5724D"/>
    <w:rsid w:val="2CF40CE2"/>
    <w:rsid w:val="2CF5070F"/>
    <w:rsid w:val="2D067C4C"/>
    <w:rsid w:val="2D0B0E95"/>
    <w:rsid w:val="2D104D7E"/>
    <w:rsid w:val="2D1972E8"/>
    <w:rsid w:val="2D1C355A"/>
    <w:rsid w:val="2D2535C6"/>
    <w:rsid w:val="2D265A0A"/>
    <w:rsid w:val="2D32425D"/>
    <w:rsid w:val="2D382F2D"/>
    <w:rsid w:val="2D3E6CB6"/>
    <w:rsid w:val="2D3E7E16"/>
    <w:rsid w:val="2D3F26B3"/>
    <w:rsid w:val="2D401716"/>
    <w:rsid w:val="2D444396"/>
    <w:rsid w:val="2D4700DA"/>
    <w:rsid w:val="2D57032A"/>
    <w:rsid w:val="2D5A30FD"/>
    <w:rsid w:val="2D600851"/>
    <w:rsid w:val="2D6860FF"/>
    <w:rsid w:val="2D696EB4"/>
    <w:rsid w:val="2D7527CD"/>
    <w:rsid w:val="2D756933"/>
    <w:rsid w:val="2D7D6B19"/>
    <w:rsid w:val="2D80214C"/>
    <w:rsid w:val="2D820DFF"/>
    <w:rsid w:val="2D856392"/>
    <w:rsid w:val="2D877507"/>
    <w:rsid w:val="2D884A94"/>
    <w:rsid w:val="2D8C19AF"/>
    <w:rsid w:val="2D972FEB"/>
    <w:rsid w:val="2D984ED9"/>
    <w:rsid w:val="2D9F05E4"/>
    <w:rsid w:val="2D9F7218"/>
    <w:rsid w:val="2DAD32F9"/>
    <w:rsid w:val="2DB031BE"/>
    <w:rsid w:val="2DB057BD"/>
    <w:rsid w:val="2DB17BB8"/>
    <w:rsid w:val="2DB44996"/>
    <w:rsid w:val="2DB74470"/>
    <w:rsid w:val="2DBE000D"/>
    <w:rsid w:val="2DBE4083"/>
    <w:rsid w:val="2DBF1492"/>
    <w:rsid w:val="2DC21DC5"/>
    <w:rsid w:val="2DC37C3C"/>
    <w:rsid w:val="2DC52FA8"/>
    <w:rsid w:val="2DCC2C44"/>
    <w:rsid w:val="2DCF2226"/>
    <w:rsid w:val="2DD77A18"/>
    <w:rsid w:val="2DE018AE"/>
    <w:rsid w:val="2DE01FEF"/>
    <w:rsid w:val="2DF16CE5"/>
    <w:rsid w:val="2DF6182E"/>
    <w:rsid w:val="2DF61F25"/>
    <w:rsid w:val="2DF72807"/>
    <w:rsid w:val="2DFE6127"/>
    <w:rsid w:val="2E075A2A"/>
    <w:rsid w:val="2E0A7CEF"/>
    <w:rsid w:val="2E16100E"/>
    <w:rsid w:val="2E1660EB"/>
    <w:rsid w:val="2E176326"/>
    <w:rsid w:val="2E1A0219"/>
    <w:rsid w:val="2E1C074C"/>
    <w:rsid w:val="2E1D3A94"/>
    <w:rsid w:val="2E27591C"/>
    <w:rsid w:val="2E344345"/>
    <w:rsid w:val="2E384BC8"/>
    <w:rsid w:val="2E3E4A46"/>
    <w:rsid w:val="2E3F4A16"/>
    <w:rsid w:val="2E400DA5"/>
    <w:rsid w:val="2E47051C"/>
    <w:rsid w:val="2E4836F6"/>
    <w:rsid w:val="2E4949A2"/>
    <w:rsid w:val="2E4B15C3"/>
    <w:rsid w:val="2E4C7B77"/>
    <w:rsid w:val="2E553C28"/>
    <w:rsid w:val="2E555E95"/>
    <w:rsid w:val="2E56250D"/>
    <w:rsid w:val="2E5938B7"/>
    <w:rsid w:val="2E5D564A"/>
    <w:rsid w:val="2E5F13C2"/>
    <w:rsid w:val="2E637353"/>
    <w:rsid w:val="2E6852E2"/>
    <w:rsid w:val="2E714C2A"/>
    <w:rsid w:val="2E71718F"/>
    <w:rsid w:val="2E7425EC"/>
    <w:rsid w:val="2E7D55C6"/>
    <w:rsid w:val="2E8846CB"/>
    <w:rsid w:val="2E8A241A"/>
    <w:rsid w:val="2E8A2E93"/>
    <w:rsid w:val="2E8A67CE"/>
    <w:rsid w:val="2E8A7A54"/>
    <w:rsid w:val="2E8D047B"/>
    <w:rsid w:val="2E8D3FCA"/>
    <w:rsid w:val="2E8D4B93"/>
    <w:rsid w:val="2E9549AE"/>
    <w:rsid w:val="2E9818BC"/>
    <w:rsid w:val="2E9869EE"/>
    <w:rsid w:val="2E9B3506"/>
    <w:rsid w:val="2EA91005"/>
    <w:rsid w:val="2EAD549F"/>
    <w:rsid w:val="2EAE6C4B"/>
    <w:rsid w:val="2EB5143F"/>
    <w:rsid w:val="2EB537C1"/>
    <w:rsid w:val="2EB746A1"/>
    <w:rsid w:val="2EB830B3"/>
    <w:rsid w:val="2EB93863"/>
    <w:rsid w:val="2EC04BED"/>
    <w:rsid w:val="2EC20A38"/>
    <w:rsid w:val="2EC37DC5"/>
    <w:rsid w:val="2EC64F0D"/>
    <w:rsid w:val="2EC80548"/>
    <w:rsid w:val="2EC80E9A"/>
    <w:rsid w:val="2ECC3790"/>
    <w:rsid w:val="2ECF2785"/>
    <w:rsid w:val="2EDC3096"/>
    <w:rsid w:val="2EE26091"/>
    <w:rsid w:val="2EE2703D"/>
    <w:rsid w:val="2EE7658A"/>
    <w:rsid w:val="2EEA688C"/>
    <w:rsid w:val="2EED2E72"/>
    <w:rsid w:val="2EEE2746"/>
    <w:rsid w:val="2EEE63BB"/>
    <w:rsid w:val="2EEF554E"/>
    <w:rsid w:val="2EF04732"/>
    <w:rsid w:val="2EF53AD4"/>
    <w:rsid w:val="2EF64AAC"/>
    <w:rsid w:val="2EF92C88"/>
    <w:rsid w:val="2F0C6FE0"/>
    <w:rsid w:val="2F133481"/>
    <w:rsid w:val="2F141D6B"/>
    <w:rsid w:val="2F184679"/>
    <w:rsid w:val="2F2736CD"/>
    <w:rsid w:val="2F292A94"/>
    <w:rsid w:val="2F2A700B"/>
    <w:rsid w:val="2F2C018A"/>
    <w:rsid w:val="2F364819"/>
    <w:rsid w:val="2F387ADE"/>
    <w:rsid w:val="2F394AE9"/>
    <w:rsid w:val="2F424DBE"/>
    <w:rsid w:val="2F4504F1"/>
    <w:rsid w:val="2F4C5299"/>
    <w:rsid w:val="2F4D0784"/>
    <w:rsid w:val="2F4F1EA8"/>
    <w:rsid w:val="2F542EF1"/>
    <w:rsid w:val="2F562335"/>
    <w:rsid w:val="2F5816BA"/>
    <w:rsid w:val="2F5E2951"/>
    <w:rsid w:val="2F603644"/>
    <w:rsid w:val="2F786B12"/>
    <w:rsid w:val="2F7C1E6F"/>
    <w:rsid w:val="2F7F4032"/>
    <w:rsid w:val="2F84561C"/>
    <w:rsid w:val="2F8866DB"/>
    <w:rsid w:val="2F8D1F5F"/>
    <w:rsid w:val="2F8D6403"/>
    <w:rsid w:val="2F942940"/>
    <w:rsid w:val="2F944970"/>
    <w:rsid w:val="2F9506C7"/>
    <w:rsid w:val="2F95451C"/>
    <w:rsid w:val="2F976D21"/>
    <w:rsid w:val="2FA462C9"/>
    <w:rsid w:val="2FA92857"/>
    <w:rsid w:val="2FAA018F"/>
    <w:rsid w:val="2FB0795B"/>
    <w:rsid w:val="2FBA669F"/>
    <w:rsid w:val="2FBB2F70"/>
    <w:rsid w:val="2FBD4D02"/>
    <w:rsid w:val="2FC433F6"/>
    <w:rsid w:val="2FC54288"/>
    <w:rsid w:val="2FC766A9"/>
    <w:rsid w:val="2FCC3367"/>
    <w:rsid w:val="2FCD13DA"/>
    <w:rsid w:val="2FCD58A2"/>
    <w:rsid w:val="2FD03ECC"/>
    <w:rsid w:val="2FD951A4"/>
    <w:rsid w:val="2FD960EE"/>
    <w:rsid w:val="2FDE1F8A"/>
    <w:rsid w:val="2FE253A0"/>
    <w:rsid w:val="2FE809C3"/>
    <w:rsid w:val="2FE853E7"/>
    <w:rsid w:val="2FE94AE6"/>
    <w:rsid w:val="2FEC55CA"/>
    <w:rsid w:val="2FF90215"/>
    <w:rsid w:val="2FFD448D"/>
    <w:rsid w:val="2FFF0C6D"/>
    <w:rsid w:val="30046763"/>
    <w:rsid w:val="3004782D"/>
    <w:rsid w:val="30095747"/>
    <w:rsid w:val="300F24CD"/>
    <w:rsid w:val="301216BA"/>
    <w:rsid w:val="301323E4"/>
    <w:rsid w:val="30136908"/>
    <w:rsid w:val="301A3A66"/>
    <w:rsid w:val="301B0ECA"/>
    <w:rsid w:val="301C5E13"/>
    <w:rsid w:val="301D44AA"/>
    <w:rsid w:val="301E4FFC"/>
    <w:rsid w:val="30201025"/>
    <w:rsid w:val="30265D63"/>
    <w:rsid w:val="30292001"/>
    <w:rsid w:val="302A67CD"/>
    <w:rsid w:val="303464B4"/>
    <w:rsid w:val="304F36B8"/>
    <w:rsid w:val="30506842"/>
    <w:rsid w:val="30550CCF"/>
    <w:rsid w:val="305E46DB"/>
    <w:rsid w:val="30627D62"/>
    <w:rsid w:val="30693238"/>
    <w:rsid w:val="306E4EE1"/>
    <w:rsid w:val="30710C9C"/>
    <w:rsid w:val="3071156C"/>
    <w:rsid w:val="3075353C"/>
    <w:rsid w:val="30795312"/>
    <w:rsid w:val="307D1FD3"/>
    <w:rsid w:val="3085186C"/>
    <w:rsid w:val="30871D32"/>
    <w:rsid w:val="30894D74"/>
    <w:rsid w:val="308C256E"/>
    <w:rsid w:val="308D164B"/>
    <w:rsid w:val="309E2EE2"/>
    <w:rsid w:val="30A01421"/>
    <w:rsid w:val="30A310D8"/>
    <w:rsid w:val="30AA495D"/>
    <w:rsid w:val="30AB1564"/>
    <w:rsid w:val="30B044DD"/>
    <w:rsid w:val="30B60B6B"/>
    <w:rsid w:val="30B71989"/>
    <w:rsid w:val="30B73FBF"/>
    <w:rsid w:val="30D0735E"/>
    <w:rsid w:val="30DF67EA"/>
    <w:rsid w:val="30E21F7C"/>
    <w:rsid w:val="30EB518F"/>
    <w:rsid w:val="30F027A5"/>
    <w:rsid w:val="30F63AA6"/>
    <w:rsid w:val="30FB7D0C"/>
    <w:rsid w:val="31027AA2"/>
    <w:rsid w:val="31096052"/>
    <w:rsid w:val="310B4935"/>
    <w:rsid w:val="31124E12"/>
    <w:rsid w:val="31184ED1"/>
    <w:rsid w:val="311A57AA"/>
    <w:rsid w:val="312D58DE"/>
    <w:rsid w:val="31357CC0"/>
    <w:rsid w:val="31387621"/>
    <w:rsid w:val="313B156A"/>
    <w:rsid w:val="314044F2"/>
    <w:rsid w:val="31440FA5"/>
    <w:rsid w:val="31471E23"/>
    <w:rsid w:val="314B7DDD"/>
    <w:rsid w:val="31544543"/>
    <w:rsid w:val="31587F11"/>
    <w:rsid w:val="315C1316"/>
    <w:rsid w:val="31670983"/>
    <w:rsid w:val="3167268D"/>
    <w:rsid w:val="316832D9"/>
    <w:rsid w:val="31707DDD"/>
    <w:rsid w:val="31736551"/>
    <w:rsid w:val="3174565B"/>
    <w:rsid w:val="31774461"/>
    <w:rsid w:val="317F63E6"/>
    <w:rsid w:val="318D4356"/>
    <w:rsid w:val="318F479A"/>
    <w:rsid w:val="319677F1"/>
    <w:rsid w:val="31A0108C"/>
    <w:rsid w:val="31A12A9B"/>
    <w:rsid w:val="31B646F4"/>
    <w:rsid w:val="31BA0AAC"/>
    <w:rsid w:val="31BD221C"/>
    <w:rsid w:val="31BE1A9A"/>
    <w:rsid w:val="31BF3648"/>
    <w:rsid w:val="31BF6A53"/>
    <w:rsid w:val="31C0661C"/>
    <w:rsid w:val="31C205E6"/>
    <w:rsid w:val="31C45A64"/>
    <w:rsid w:val="31C81974"/>
    <w:rsid w:val="31C854D0"/>
    <w:rsid w:val="31CB763F"/>
    <w:rsid w:val="31CE2C3D"/>
    <w:rsid w:val="31CF303A"/>
    <w:rsid w:val="31D21985"/>
    <w:rsid w:val="31D25707"/>
    <w:rsid w:val="31DA2ABB"/>
    <w:rsid w:val="31DD4104"/>
    <w:rsid w:val="31E247E4"/>
    <w:rsid w:val="31E975E9"/>
    <w:rsid w:val="31EA6F2B"/>
    <w:rsid w:val="31F30A35"/>
    <w:rsid w:val="31F52043"/>
    <w:rsid w:val="31F82498"/>
    <w:rsid w:val="31FB540E"/>
    <w:rsid w:val="320242DB"/>
    <w:rsid w:val="32071509"/>
    <w:rsid w:val="320A3D3B"/>
    <w:rsid w:val="320D506E"/>
    <w:rsid w:val="320E466C"/>
    <w:rsid w:val="32104786"/>
    <w:rsid w:val="32164007"/>
    <w:rsid w:val="3218343C"/>
    <w:rsid w:val="321E3342"/>
    <w:rsid w:val="321F4ACB"/>
    <w:rsid w:val="322150A3"/>
    <w:rsid w:val="3226536B"/>
    <w:rsid w:val="3228645B"/>
    <w:rsid w:val="322873BD"/>
    <w:rsid w:val="322A52C5"/>
    <w:rsid w:val="322C5A5F"/>
    <w:rsid w:val="323731A8"/>
    <w:rsid w:val="32396775"/>
    <w:rsid w:val="323D694A"/>
    <w:rsid w:val="32432DA9"/>
    <w:rsid w:val="32470124"/>
    <w:rsid w:val="324A71CB"/>
    <w:rsid w:val="324C55A8"/>
    <w:rsid w:val="324C7B84"/>
    <w:rsid w:val="324F4B2E"/>
    <w:rsid w:val="3251196A"/>
    <w:rsid w:val="32536380"/>
    <w:rsid w:val="32537BFF"/>
    <w:rsid w:val="325460CA"/>
    <w:rsid w:val="32570832"/>
    <w:rsid w:val="32594F8C"/>
    <w:rsid w:val="32674CE9"/>
    <w:rsid w:val="326D211E"/>
    <w:rsid w:val="326E06BF"/>
    <w:rsid w:val="326E6078"/>
    <w:rsid w:val="327112A8"/>
    <w:rsid w:val="32717916"/>
    <w:rsid w:val="3278254A"/>
    <w:rsid w:val="327864CE"/>
    <w:rsid w:val="327955C6"/>
    <w:rsid w:val="327A60D9"/>
    <w:rsid w:val="327C1D79"/>
    <w:rsid w:val="327D776A"/>
    <w:rsid w:val="327F4174"/>
    <w:rsid w:val="32803FFD"/>
    <w:rsid w:val="3284301D"/>
    <w:rsid w:val="328F50DD"/>
    <w:rsid w:val="32933D30"/>
    <w:rsid w:val="329559D9"/>
    <w:rsid w:val="32A253B4"/>
    <w:rsid w:val="32A711EF"/>
    <w:rsid w:val="32B617CD"/>
    <w:rsid w:val="32B82438"/>
    <w:rsid w:val="32BB196D"/>
    <w:rsid w:val="32BD0DAD"/>
    <w:rsid w:val="32BE5735"/>
    <w:rsid w:val="32BE6D77"/>
    <w:rsid w:val="32C04EBC"/>
    <w:rsid w:val="32D25FE9"/>
    <w:rsid w:val="32D560F7"/>
    <w:rsid w:val="32D61E6F"/>
    <w:rsid w:val="32DA3E99"/>
    <w:rsid w:val="32E07A34"/>
    <w:rsid w:val="32E14A9C"/>
    <w:rsid w:val="32E1603D"/>
    <w:rsid w:val="32E465A7"/>
    <w:rsid w:val="32F33F0A"/>
    <w:rsid w:val="32F5633D"/>
    <w:rsid w:val="32F72511"/>
    <w:rsid w:val="32FD630E"/>
    <w:rsid w:val="330615ED"/>
    <w:rsid w:val="33081FD0"/>
    <w:rsid w:val="33084AF6"/>
    <w:rsid w:val="330A76DF"/>
    <w:rsid w:val="33144F9D"/>
    <w:rsid w:val="33162E27"/>
    <w:rsid w:val="33194D3D"/>
    <w:rsid w:val="331C574B"/>
    <w:rsid w:val="33202DCF"/>
    <w:rsid w:val="332903BC"/>
    <w:rsid w:val="332C7BFB"/>
    <w:rsid w:val="3333342A"/>
    <w:rsid w:val="333604F0"/>
    <w:rsid w:val="33380E0F"/>
    <w:rsid w:val="333B6885"/>
    <w:rsid w:val="333F3E87"/>
    <w:rsid w:val="33421230"/>
    <w:rsid w:val="33437E45"/>
    <w:rsid w:val="334574F7"/>
    <w:rsid w:val="33463C80"/>
    <w:rsid w:val="33475C2C"/>
    <w:rsid w:val="33510801"/>
    <w:rsid w:val="33572001"/>
    <w:rsid w:val="335B366F"/>
    <w:rsid w:val="336C0228"/>
    <w:rsid w:val="336F4E4B"/>
    <w:rsid w:val="33717C35"/>
    <w:rsid w:val="337249A0"/>
    <w:rsid w:val="337A2CF7"/>
    <w:rsid w:val="337E245C"/>
    <w:rsid w:val="3384600A"/>
    <w:rsid w:val="33973E93"/>
    <w:rsid w:val="33994FD7"/>
    <w:rsid w:val="339D187F"/>
    <w:rsid w:val="33B327A0"/>
    <w:rsid w:val="33B74164"/>
    <w:rsid w:val="33BC56DC"/>
    <w:rsid w:val="33C060AC"/>
    <w:rsid w:val="33C06DA7"/>
    <w:rsid w:val="33C15FE1"/>
    <w:rsid w:val="33C17D51"/>
    <w:rsid w:val="33C2297E"/>
    <w:rsid w:val="33C2508E"/>
    <w:rsid w:val="33C323F3"/>
    <w:rsid w:val="33CD7D5C"/>
    <w:rsid w:val="33D425ED"/>
    <w:rsid w:val="33D47975"/>
    <w:rsid w:val="33DE722D"/>
    <w:rsid w:val="33E16D1D"/>
    <w:rsid w:val="33E31994"/>
    <w:rsid w:val="33EA6597"/>
    <w:rsid w:val="33EE4D61"/>
    <w:rsid w:val="33F5303F"/>
    <w:rsid w:val="33F6479C"/>
    <w:rsid w:val="33F67FDB"/>
    <w:rsid w:val="33F8190D"/>
    <w:rsid w:val="33FA63D8"/>
    <w:rsid w:val="33FC7983"/>
    <w:rsid w:val="33FE52B9"/>
    <w:rsid w:val="3402760A"/>
    <w:rsid w:val="34050C5E"/>
    <w:rsid w:val="340622E0"/>
    <w:rsid w:val="34093F0C"/>
    <w:rsid w:val="34103CFB"/>
    <w:rsid w:val="341072EC"/>
    <w:rsid w:val="34114322"/>
    <w:rsid w:val="341D0BAF"/>
    <w:rsid w:val="341E587B"/>
    <w:rsid w:val="34210A10"/>
    <w:rsid w:val="34211D1B"/>
    <w:rsid w:val="34243328"/>
    <w:rsid w:val="34246C6E"/>
    <w:rsid w:val="34256C0A"/>
    <w:rsid w:val="343038E6"/>
    <w:rsid w:val="34304EAA"/>
    <w:rsid w:val="3436357F"/>
    <w:rsid w:val="343706EB"/>
    <w:rsid w:val="343A5C36"/>
    <w:rsid w:val="343B642D"/>
    <w:rsid w:val="343C0283"/>
    <w:rsid w:val="34420E78"/>
    <w:rsid w:val="34455F38"/>
    <w:rsid w:val="344E216C"/>
    <w:rsid w:val="34565511"/>
    <w:rsid w:val="34573026"/>
    <w:rsid w:val="345A7984"/>
    <w:rsid w:val="34615EA1"/>
    <w:rsid w:val="34625FE3"/>
    <w:rsid w:val="346A0DA9"/>
    <w:rsid w:val="346C630D"/>
    <w:rsid w:val="346E419B"/>
    <w:rsid w:val="34737195"/>
    <w:rsid w:val="347941EC"/>
    <w:rsid w:val="347A42F3"/>
    <w:rsid w:val="34864FE8"/>
    <w:rsid w:val="34945B3E"/>
    <w:rsid w:val="34961C33"/>
    <w:rsid w:val="34993154"/>
    <w:rsid w:val="34A932FF"/>
    <w:rsid w:val="34B44B53"/>
    <w:rsid w:val="34B55708"/>
    <w:rsid w:val="34B61F58"/>
    <w:rsid w:val="34BC5779"/>
    <w:rsid w:val="34C00A1B"/>
    <w:rsid w:val="34C1147D"/>
    <w:rsid w:val="34C17280"/>
    <w:rsid w:val="34C2174B"/>
    <w:rsid w:val="34C610D2"/>
    <w:rsid w:val="34C90DAB"/>
    <w:rsid w:val="34CA4F44"/>
    <w:rsid w:val="34CB6A33"/>
    <w:rsid w:val="34CB6E3C"/>
    <w:rsid w:val="34D5171A"/>
    <w:rsid w:val="34D753F0"/>
    <w:rsid w:val="34DB6019"/>
    <w:rsid w:val="34DE68A1"/>
    <w:rsid w:val="34E26B88"/>
    <w:rsid w:val="34EA7899"/>
    <w:rsid w:val="34ED47D6"/>
    <w:rsid w:val="34F34F5A"/>
    <w:rsid w:val="34F36FC1"/>
    <w:rsid w:val="34F8431E"/>
    <w:rsid w:val="35010F95"/>
    <w:rsid w:val="35054CFD"/>
    <w:rsid w:val="35077DFC"/>
    <w:rsid w:val="35113350"/>
    <w:rsid w:val="351705A2"/>
    <w:rsid w:val="3518170D"/>
    <w:rsid w:val="351E2CD3"/>
    <w:rsid w:val="3524019F"/>
    <w:rsid w:val="352819EC"/>
    <w:rsid w:val="35301D0A"/>
    <w:rsid w:val="353A66E5"/>
    <w:rsid w:val="353D2A57"/>
    <w:rsid w:val="353F3CFB"/>
    <w:rsid w:val="35402BED"/>
    <w:rsid w:val="35444D73"/>
    <w:rsid w:val="35496928"/>
    <w:rsid w:val="354E2190"/>
    <w:rsid w:val="3551172D"/>
    <w:rsid w:val="355D3E83"/>
    <w:rsid w:val="356541A1"/>
    <w:rsid w:val="35661288"/>
    <w:rsid w:val="35665BA0"/>
    <w:rsid w:val="35684F0E"/>
    <w:rsid w:val="356B5993"/>
    <w:rsid w:val="356B7981"/>
    <w:rsid w:val="357145D6"/>
    <w:rsid w:val="357339A5"/>
    <w:rsid w:val="35743583"/>
    <w:rsid w:val="357A1882"/>
    <w:rsid w:val="357C52AD"/>
    <w:rsid w:val="357D45CC"/>
    <w:rsid w:val="357F4ED7"/>
    <w:rsid w:val="357F7F4A"/>
    <w:rsid w:val="3583585A"/>
    <w:rsid w:val="358C68A7"/>
    <w:rsid w:val="35902B8D"/>
    <w:rsid w:val="35965FC3"/>
    <w:rsid w:val="35994470"/>
    <w:rsid w:val="35994CE9"/>
    <w:rsid w:val="35A404E5"/>
    <w:rsid w:val="35AD33E8"/>
    <w:rsid w:val="35AE4745"/>
    <w:rsid w:val="35B34FEF"/>
    <w:rsid w:val="35B54174"/>
    <w:rsid w:val="35B73D9C"/>
    <w:rsid w:val="35B93AAE"/>
    <w:rsid w:val="35BA15D4"/>
    <w:rsid w:val="35BE589B"/>
    <w:rsid w:val="35C557C9"/>
    <w:rsid w:val="35C80195"/>
    <w:rsid w:val="35CF6C68"/>
    <w:rsid w:val="35D36543"/>
    <w:rsid w:val="35D4488A"/>
    <w:rsid w:val="35D933E2"/>
    <w:rsid w:val="35DB7EC8"/>
    <w:rsid w:val="35DE3514"/>
    <w:rsid w:val="35E0242F"/>
    <w:rsid w:val="35E47CE8"/>
    <w:rsid w:val="35E6061B"/>
    <w:rsid w:val="35EB2319"/>
    <w:rsid w:val="35EF3357"/>
    <w:rsid w:val="360016DD"/>
    <w:rsid w:val="36001AA9"/>
    <w:rsid w:val="36037515"/>
    <w:rsid w:val="360711C1"/>
    <w:rsid w:val="360D312F"/>
    <w:rsid w:val="360D743A"/>
    <w:rsid w:val="360E074F"/>
    <w:rsid w:val="36126734"/>
    <w:rsid w:val="361651B9"/>
    <w:rsid w:val="361D4671"/>
    <w:rsid w:val="36251CCA"/>
    <w:rsid w:val="36257DAA"/>
    <w:rsid w:val="36273249"/>
    <w:rsid w:val="36323860"/>
    <w:rsid w:val="36323BDD"/>
    <w:rsid w:val="363B0967"/>
    <w:rsid w:val="363F196B"/>
    <w:rsid w:val="36433C2F"/>
    <w:rsid w:val="36483084"/>
    <w:rsid w:val="36496982"/>
    <w:rsid w:val="364C16CE"/>
    <w:rsid w:val="364D41F6"/>
    <w:rsid w:val="364E0A18"/>
    <w:rsid w:val="3651249E"/>
    <w:rsid w:val="36535DF8"/>
    <w:rsid w:val="36557D57"/>
    <w:rsid w:val="3663302B"/>
    <w:rsid w:val="36665D36"/>
    <w:rsid w:val="366A106C"/>
    <w:rsid w:val="366B28CE"/>
    <w:rsid w:val="366E6E57"/>
    <w:rsid w:val="367324D4"/>
    <w:rsid w:val="36733395"/>
    <w:rsid w:val="36736ACF"/>
    <w:rsid w:val="36743AFA"/>
    <w:rsid w:val="36763189"/>
    <w:rsid w:val="36772681"/>
    <w:rsid w:val="367E60DF"/>
    <w:rsid w:val="367F10AE"/>
    <w:rsid w:val="36800034"/>
    <w:rsid w:val="36806379"/>
    <w:rsid w:val="368D5206"/>
    <w:rsid w:val="368D581C"/>
    <w:rsid w:val="369E658C"/>
    <w:rsid w:val="369F5689"/>
    <w:rsid w:val="36A165F4"/>
    <w:rsid w:val="36A31DCE"/>
    <w:rsid w:val="36A74218"/>
    <w:rsid w:val="36A81A04"/>
    <w:rsid w:val="36A96651"/>
    <w:rsid w:val="36BF6F41"/>
    <w:rsid w:val="36C074C4"/>
    <w:rsid w:val="36C24CBE"/>
    <w:rsid w:val="36C53298"/>
    <w:rsid w:val="36CE7245"/>
    <w:rsid w:val="36D0097D"/>
    <w:rsid w:val="36D5394A"/>
    <w:rsid w:val="36DB7A54"/>
    <w:rsid w:val="36DF4330"/>
    <w:rsid w:val="36DF7544"/>
    <w:rsid w:val="36E67476"/>
    <w:rsid w:val="36EF397F"/>
    <w:rsid w:val="36F62AE0"/>
    <w:rsid w:val="37023232"/>
    <w:rsid w:val="37070849"/>
    <w:rsid w:val="3707794F"/>
    <w:rsid w:val="37096EFE"/>
    <w:rsid w:val="370D2B5C"/>
    <w:rsid w:val="37105528"/>
    <w:rsid w:val="37136968"/>
    <w:rsid w:val="371C7AB8"/>
    <w:rsid w:val="372431A9"/>
    <w:rsid w:val="37294FB3"/>
    <w:rsid w:val="372A1F5E"/>
    <w:rsid w:val="373B67AE"/>
    <w:rsid w:val="374238C9"/>
    <w:rsid w:val="374A117F"/>
    <w:rsid w:val="374B183B"/>
    <w:rsid w:val="374F663D"/>
    <w:rsid w:val="375B40A3"/>
    <w:rsid w:val="375E2A17"/>
    <w:rsid w:val="375F7915"/>
    <w:rsid w:val="37640908"/>
    <w:rsid w:val="3765532A"/>
    <w:rsid w:val="376D66D2"/>
    <w:rsid w:val="37716A4E"/>
    <w:rsid w:val="37750EE1"/>
    <w:rsid w:val="377E7401"/>
    <w:rsid w:val="377F3B3C"/>
    <w:rsid w:val="37840664"/>
    <w:rsid w:val="37846691"/>
    <w:rsid w:val="37915FEB"/>
    <w:rsid w:val="379245B6"/>
    <w:rsid w:val="379C3687"/>
    <w:rsid w:val="379F04AB"/>
    <w:rsid w:val="37A33DEB"/>
    <w:rsid w:val="37A47C0A"/>
    <w:rsid w:val="37A75B88"/>
    <w:rsid w:val="37AB1AB6"/>
    <w:rsid w:val="37AE5871"/>
    <w:rsid w:val="37B3277F"/>
    <w:rsid w:val="37B572BB"/>
    <w:rsid w:val="37BA4AB0"/>
    <w:rsid w:val="37C30C14"/>
    <w:rsid w:val="37C316D3"/>
    <w:rsid w:val="37C417AA"/>
    <w:rsid w:val="37CA3683"/>
    <w:rsid w:val="37D207B5"/>
    <w:rsid w:val="37D22ED3"/>
    <w:rsid w:val="37D300C0"/>
    <w:rsid w:val="37D46668"/>
    <w:rsid w:val="37E6203A"/>
    <w:rsid w:val="37E92CFD"/>
    <w:rsid w:val="37EB5754"/>
    <w:rsid w:val="37F261A2"/>
    <w:rsid w:val="37F343F6"/>
    <w:rsid w:val="37F92887"/>
    <w:rsid w:val="37FD09F1"/>
    <w:rsid w:val="37FE7050"/>
    <w:rsid w:val="38003C16"/>
    <w:rsid w:val="38042125"/>
    <w:rsid w:val="380A0C7A"/>
    <w:rsid w:val="380E3B8D"/>
    <w:rsid w:val="380F3590"/>
    <w:rsid w:val="380F37D7"/>
    <w:rsid w:val="38166099"/>
    <w:rsid w:val="38241E7D"/>
    <w:rsid w:val="38243FD7"/>
    <w:rsid w:val="382701F5"/>
    <w:rsid w:val="382B1DE8"/>
    <w:rsid w:val="3834303F"/>
    <w:rsid w:val="383452C0"/>
    <w:rsid w:val="383507AB"/>
    <w:rsid w:val="383B019C"/>
    <w:rsid w:val="383C6CC7"/>
    <w:rsid w:val="38426591"/>
    <w:rsid w:val="38494CA3"/>
    <w:rsid w:val="385008F5"/>
    <w:rsid w:val="38511F24"/>
    <w:rsid w:val="38547FDF"/>
    <w:rsid w:val="385D5C4D"/>
    <w:rsid w:val="386832A6"/>
    <w:rsid w:val="386B727B"/>
    <w:rsid w:val="386C2BC6"/>
    <w:rsid w:val="386C4014"/>
    <w:rsid w:val="386D4F37"/>
    <w:rsid w:val="387A7688"/>
    <w:rsid w:val="387B1840"/>
    <w:rsid w:val="387D5266"/>
    <w:rsid w:val="38892804"/>
    <w:rsid w:val="388B0172"/>
    <w:rsid w:val="38941822"/>
    <w:rsid w:val="389F7C3A"/>
    <w:rsid w:val="38A81375"/>
    <w:rsid w:val="38AB713F"/>
    <w:rsid w:val="38B03B00"/>
    <w:rsid w:val="38B64CC2"/>
    <w:rsid w:val="38BD3C65"/>
    <w:rsid w:val="38C075B5"/>
    <w:rsid w:val="38C435DA"/>
    <w:rsid w:val="38C54AA3"/>
    <w:rsid w:val="38C56F28"/>
    <w:rsid w:val="38D429AD"/>
    <w:rsid w:val="38DE5E5B"/>
    <w:rsid w:val="38E04A9F"/>
    <w:rsid w:val="38E373F7"/>
    <w:rsid w:val="38E928FC"/>
    <w:rsid w:val="38EB045F"/>
    <w:rsid w:val="38EE1497"/>
    <w:rsid w:val="38F40928"/>
    <w:rsid w:val="38F71927"/>
    <w:rsid w:val="38F80D91"/>
    <w:rsid w:val="38F914AE"/>
    <w:rsid w:val="390342E6"/>
    <w:rsid w:val="390D48A5"/>
    <w:rsid w:val="39134161"/>
    <w:rsid w:val="392456E2"/>
    <w:rsid w:val="39276F80"/>
    <w:rsid w:val="39294987"/>
    <w:rsid w:val="39297D6D"/>
    <w:rsid w:val="392A6947"/>
    <w:rsid w:val="392E2DE3"/>
    <w:rsid w:val="393B0601"/>
    <w:rsid w:val="393C3A93"/>
    <w:rsid w:val="393D55D6"/>
    <w:rsid w:val="39414D1E"/>
    <w:rsid w:val="394577CD"/>
    <w:rsid w:val="394A4DFF"/>
    <w:rsid w:val="394F632C"/>
    <w:rsid w:val="39553AED"/>
    <w:rsid w:val="3959656F"/>
    <w:rsid w:val="395C4132"/>
    <w:rsid w:val="39611474"/>
    <w:rsid w:val="3962620A"/>
    <w:rsid w:val="39676BED"/>
    <w:rsid w:val="39693679"/>
    <w:rsid w:val="396E4BAF"/>
    <w:rsid w:val="39756FD5"/>
    <w:rsid w:val="397D344A"/>
    <w:rsid w:val="397D40ED"/>
    <w:rsid w:val="398064B0"/>
    <w:rsid w:val="398A2E42"/>
    <w:rsid w:val="39932C48"/>
    <w:rsid w:val="39973FDB"/>
    <w:rsid w:val="39A13B2E"/>
    <w:rsid w:val="39A721DA"/>
    <w:rsid w:val="39A81897"/>
    <w:rsid w:val="39AD08EF"/>
    <w:rsid w:val="39AD0CE5"/>
    <w:rsid w:val="39B050B0"/>
    <w:rsid w:val="39B527E6"/>
    <w:rsid w:val="39B60304"/>
    <w:rsid w:val="39B62251"/>
    <w:rsid w:val="39B93563"/>
    <w:rsid w:val="39BA4298"/>
    <w:rsid w:val="39C42CF3"/>
    <w:rsid w:val="39D117A4"/>
    <w:rsid w:val="39D45F4C"/>
    <w:rsid w:val="39D53986"/>
    <w:rsid w:val="39DA2245"/>
    <w:rsid w:val="39DA7FF2"/>
    <w:rsid w:val="39DB4D3F"/>
    <w:rsid w:val="39DD11A6"/>
    <w:rsid w:val="39DD26CE"/>
    <w:rsid w:val="39DE0DF1"/>
    <w:rsid w:val="39E33A55"/>
    <w:rsid w:val="39ED3F47"/>
    <w:rsid w:val="39EF477B"/>
    <w:rsid w:val="39FA4695"/>
    <w:rsid w:val="39FD5710"/>
    <w:rsid w:val="3A03179B"/>
    <w:rsid w:val="3A045864"/>
    <w:rsid w:val="3A08550A"/>
    <w:rsid w:val="3A092B2A"/>
    <w:rsid w:val="3A11136A"/>
    <w:rsid w:val="3A1209FF"/>
    <w:rsid w:val="3A1413DB"/>
    <w:rsid w:val="3A146B76"/>
    <w:rsid w:val="3A181B3D"/>
    <w:rsid w:val="3A2160C5"/>
    <w:rsid w:val="3A257964"/>
    <w:rsid w:val="3A267B91"/>
    <w:rsid w:val="3A2711FA"/>
    <w:rsid w:val="3A2A5325"/>
    <w:rsid w:val="3A2C2DD7"/>
    <w:rsid w:val="3A2D0989"/>
    <w:rsid w:val="3A2E2884"/>
    <w:rsid w:val="3A2E513D"/>
    <w:rsid w:val="3A2E6789"/>
    <w:rsid w:val="3A317479"/>
    <w:rsid w:val="3A331955"/>
    <w:rsid w:val="3A3455FA"/>
    <w:rsid w:val="3A4144F3"/>
    <w:rsid w:val="3A436EC2"/>
    <w:rsid w:val="3A4C35D7"/>
    <w:rsid w:val="3A5706CA"/>
    <w:rsid w:val="3A576258"/>
    <w:rsid w:val="3A5B49CF"/>
    <w:rsid w:val="3A614714"/>
    <w:rsid w:val="3A620E69"/>
    <w:rsid w:val="3A643C09"/>
    <w:rsid w:val="3A676BB4"/>
    <w:rsid w:val="3A6D3797"/>
    <w:rsid w:val="3A6E2963"/>
    <w:rsid w:val="3A775BC4"/>
    <w:rsid w:val="3A7812A0"/>
    <w:rsid w:val="3A7E1B0F"/>
    <w:rsid w:val="3A7E4AF1"/>
    <w:rsid w:val="3A833CEA"/>
    <w:rsid w:val="3A8409A3"/>
    <w:rsid w:val="3A8A77C7"/>
    <w:rsid w:val="3A907DCF"/>
    <w:rsid w:val="3A992100"/>
    <w:rsid w:val="3A9B7C32"/>
    <w:rsid w:val="3AA13620"/>
    <w:rsid w:val="3AA24E77"/>
    <w:rsid w:val="3AA54160"/>
    <w:rsid w:val="3AAB7081"/>
    <w:rsid w:val="3AAD7959"/>
    <w:rsid w:val="3AB12502"/>
    <w:rsid w:val="3AC31180"/>
    <w:rsid w:val="3AC51F20"/>
    <w:rsid w:val="3AC52F10"/>
    <w:rsid w:val="3AC93414"/>
    <w:rsid w:val="3ACB67B3"/>
    <w:rsid w:val="3ACB69E7"/>
    <w:rsid w:val="3AD06540"/>
    <w:rsid w:val="3AD06CF0"/>
    <w:rsid w:val="3AD817DA"/>
    <w:rsid w:val="3AD969A0"/>
    <w:rsid w:val="3AD96CB8"/>
    <w:rsid w:val="3ADB2718"/>
    <w:rsid w:val="3ADD1FEC"/>
    <w:rsid w:val="3ADE540F"/>
    <w:rsid w:val="3AE0557F"/>
    <w:rsid w:val="3AE63B5C"/>
    <w:rsid w:val="3AED3866"/>
    <w:rsid w:val="3AF13073"/>
    <w:rsid w:val="3AF2399B"/>
    <w:rsid w:val="3AF92B9E"/>
    <w:rsid w:val="3AFD40D9"/>
    <w:rsid w:val="3B032D85"/>
    <w:rsid w:val="3B054997"/>
    <w:rsid w:val="3B07667C"/>
    <w:rsid w:val="3B084B8F"/>
    <w:rsid w:val="3B096234"/>
    <w:rsid w:val="3B0A0908"/>
    <w:rsid w:val="3B1604D6"/>
    <w:rsid w:val="3B1E77A1"/>
    <w:rsid w:val="3B1E7DC8"/>
    <w:rsid w:val="3B2605EA"/>
    <w:rsid w:val="3B294FB0"/>
    <w:rsid w:val="3B332AE7"/>
    <w:rsid w:val="3B335519"/>
    <w:rsid w:val="3B347912"/>
    <w:rsid w:val="3B3C15FE"/>
    <w:rsid w:val="3B3E03FD"/>
    <w:rsid w:val="3B3F45FC"/>
    <w:rsid w:val="3B42010B"/>
    <w:rsid w:val="3B431AB8"/>
    <w:rsid w:val="3B492429"/>
    <w:rsid w:val="3B4C3783"/>
    <w:rsid w:val="3B5B5607"/>
    <w:rsid w:val="3B5C66D6"/>
    <w:rsid w:val="3B6228E3"/>
    <w:rsid w:val="3B627F35"/>
    <w:rsid w:val="3B650AB9"/>
    <w:rsid w:val="3B684FCB"/>
    <w:rsid w:val="3B6C79D8"/>
    <w:rsid w:val="3B836CC4"/>
    <w:rsid w:val="3B844B5E"/>
    <w:rsid w:val="3B892DA3"/>
    <w:rsid w:val="3B8F2138"/>
    <w:rsid w:val="3B9207EF"/>
    <w:rsid w:val="3B930D62"/>
    <w:rsid w:val="3B93292F"/>
    <w:rsid w:val="3B9771AE"/>
    <w:rsid w:val="3B9E2469"/>
    <w:rsid w:val="3B9F5695"/>
    <w:rsid w:val="3BAC0311"/>
    <w:rsid w:val="3BB56FAC"/>
    <w:rsid w:val="3BC0048C"/>
    <w:rsid w:val="3BC40150"/>
    <w:rsid w:val="3BC52515"/>
    <w:rsid w:val="3BC61C43"/>
    <w:rsid w:val="3BC6556C"/>
    <w:rsid w:val="3BC74A4B"/>
    <w:rsid w:val="3BC76033"/>
    <w:rsid w:val="3BC903EA"/>
    <w:rsid w:val="3BCB0097"/>
    <w:rsid w:val="3BCE40AE"/>
    <w:rsid w:val="3BD32A56"/>
    <w:rsid w:val="3BD50D1B"/>
    <w:rsid w:val="3BD80A06"/>
    <w:rsid w:val="3BE86E9B"/>
    <w:rsid w:val="3BEB3004"/>
    <w:rsid w:val="3BF746F2"/>
    <w:rsid w:val="3BFE6198"/>
    <w:rsid w:val="3C006244"/>
    <w:rsid w:val="3C0161AE"/>
    <w:rsid w:val="3C025D84"/>
    <w:rsid w:val="3C0341BC"/>
    <w:rsid w:val="3C061124"/>
    <w:rsid w:val="3C0F798F"/>
    <w:rsid w:val="3C10584D"/>
    <w:rsid w:val="3C1078F1"/>
    <w:rsid w:val="3C1213D0"/>
    <w:rsid w:val="3C19751E"/>
    <w:rsid w:val="3C1A1220"/>
    <w:rsid w:val="3C1F6635"/>
    <w:rsid w:val="3C212F19"/>
    <w:rsid w:val="3C24797A"/>
    <w:rsid w:val="3C275118"/>
    <w:rsid w:val="3C2B4FD9"/>
    <w:rsid w:val="3C3005D2"/>
    <w:rsid w:val="3C3155D2"/>
    <w:rsid w:val="3C326368"/>
    <w:rsid w:val="3C3A7F4E"/>
    <w:rsid w:val="3C3D5B7A"/>
    <w:rsid w:val="3C3F0A85"/>
    <w:rsid w:val="3C4433A8"/>
    <w:rsid w:val="3C446D8B"/>
    <w:rsid w:val="3C47049B"/>
    <w:rsid w:val="3C486B37"/>
    <w:rsid w:val="3C4A3ABB"/>
    <w:rsid w:val="3C4D4A00"/>
    <w:rsid w:val="3C500FA6"/>
    <w:rsid w:val="3C533828"/>
    <w:rsid w:val="3C573A8F"/>
    <w:rsid w:val="3C5B70B9"/>
    <w:rsid w:val="3C682D30"/>
    <w:rsid w:val="3C6A3D54"/>
    <w:rsid w:val="3C721D5A"/>
    <w:rsid w:val="3C761763"/>
    <w:rsid w:val="3C762107"/>
    <w:rsid w:val="3C835233"/>
    <w:rsid w:val="3C8841DA"/>
    <w:rsid w:val="3C8E4303"/>
    <w:rsid w:val="3C8E62D0"/>
    <w:rsid w:val="3C95085F"/>
    <w:rsid w:val="3C9A14EB"/>
    <w:rsid w:val="3C9D2FA5"/>
    <w:rsid w:val="3CA739E5"/>
    <w:rsid w:val="3CA90F65"/>
    <w:rsid w:val="3CB10852"/>
    <w:rsid w:val="3CB7280F"/>
    <w:rsid w:val="3CB925E5"/>
    <w:rsid w:val="3CC51310"/>
    <w:rsid w:val="3CC54397"/>
    <w:rsid w:val="3CC701F0"/>
    <w:rsid w:val="3CC92A7A"/>
    <w:rsid w:val="3CCB67E4"/>
    <w:rsid w:val="3CCD6C33"/>
    <w:rsid w:val="3CD45671"/>
    <w:rsid w:val="3CD65AAE"/>
    <w:rsid w:val="3CE3439C"/>
    <w:rsid w:val="3CE50817"/>
    <w:rsid w:val="3CEA225F"/>
    <w:rsid w:val="3CEA4CFE"/>
    <w:rsid w:val="3CF26926"/>
    <w:rsid w:val="3CFC0724"/>
    <w:rsid w:val="3CFF7179"/>
    <w:rsid w:val="3D06321A"/>
    <w:rsid w:val="3D070F8C"/>
    <w:rsid w:val="3D0727E2"/>
    <w:rsid w:val="3D0777F5"/>
    <w:rsid w:val="3D09356D"/>
    <w:rsid w:val="3D0A5706"/>
    <w:rsid w:val="3D0C753E"/>
    <w:rsid w:val="3D0E42CB"/>
    <w:rsid w:val="3D126D6D"/>
    <w:rsid w:val="3D1312D0"/>
    <w:rsid w:val="3D15583B"/>
    <w:rsid w:val="3D167A38"/>
    <w:rsid w:val="3D1727F1"/>
    <w:rsid w:val="3D195C8C"/>
    <w:rsid w:val="3D1B7B7D"/>
    <w:rsid w:val="3D1E67F3"/>
    <w:rsid w:val="3D1F42B3"/>
    <w:rsid w:val="3D1F6B0B"/>
    <w:rsid w:val="3D233F03"/>
    <w:rsid w:val="3D250C0C"/>
    <w:rsid w:val="3D271C45"/>
    <w:rsid w:val="3D295A61"/>
    <w:rsid w:val="3D333800"/>
    <w:rsid w:val="3D3D5892"/>
    <w:rsid w:val="3D515A85"/>
    <w:rsid w:val="3D577FF7"/>
    <w:rsid w:val="3D68706E"/>
    <w:rsid w:val="3D69335B"/>
    <w:rsid w:val="3D6D0913"/>
    <w:rsid w:val="3D6D6874"/>
    <w:rsid w:val="3D736C38"/>
    <w:rsid w:val="3D7B5306"/>
    <w:rsid w:val="3D7D035D"/>
    <w:rsid w:val="3D7D11D3"/>
    <w:rsid w:val="3D89020A"/>
    <w:rsid w:val="3D8C6ADA"/>
    <w:rsid w:val="3D8D39C2"/>
    <w:rsid w:val="3D912F47"/>
    <w:rsid w:val="3D956BAE"/>
    <w:rsid w:val="3D97683D"/>
    <w:rsid w:val="3D986795"/>
    <w:rsid w:val="3D995F78"/>
    <w:rsid w:val="3DA72E38"/>
    <w:rsid w:val="3DB07EB1"/>
    <w:rsid w:val="3DB12299"/>
    <w:rsid w:val="3DB94A57"/>
    <w:rsid w:val="3DBC3F4F"/>
    <w:rsid w:val="3DBE6FB6"/>
    <w:rsid w:val="3DBF1E7D"/>
    <w:rsid w:val="3DC00139"/>
    <w:rsid w:val="3DCB6ED1"/>
    <w:rsid w:val="3DD02315"/>
    <w:rsid w:val="3DD34F93"/>
    <w:rsid w:val="3DD65D2B"/>
    <w:rsid w:val="3DD73AB7"/>
    <w:rsid w:val="3DD829AF"/>
    <w:rsid w:val="3DD95197"/>
    <w:rsid w:val="3DE04451"/>
    <w:rsid w:val="3DF758E6"/>
    <w:rsid w:val="3E06151A"/>
    <w:rsid w:val="3E067483"/>
    <w:rsid w:val="3E084E4D"/>
    <w:rsid w:val="3E0930F8"/>
    <w:rsid w:val="3E0C19EB"/>
    <w:rsid w:val="3E0E12D4"/>
    <w:rsid w:val="3E147231"/>
    <w:rsid w:val="3E1E24A7"/>
    <w:rsid w:val="3E247C22"/>
    <w:rsid w:val="3E253D79"/>
    <w:rsid w:val="3E39655E"/>
    <w:rsid w:val="3E3D2DA2"/>
    <w:rsid w:val="3E4A48E1"/>
    <w:rsid w:val="3E4E7E7B"/>
    <w:rsid w:val="3E4F5F52"/>
    <w:rsid w:val="3E572706"/>
    <w:rsid w:val="3E5A3967"/>
    <w:rsid w:val="3E5B76A8"/>
    <w:rsid w:val="3E5C7D5E"/>
    <w:rsid w:val="3E602137"/>
    <w:rsid w:val="3E6622F9"/>
    <w:rsid w:val="3E6D5059"/>
    <w:rsid w:val="3E7154DB"/>
    <w:rsid w:val="3E7277C4"/>
    <w:rsid w:val="3E762E96"/>
    <w:rsid w:val="3E782701"/>
    <w:rsid w:val="3E7D07FF"/>
    <w:rsid w:val="3E7D4701"/>
    <w:rsid w:val="3E7F5258"/>
    <w:rsid w:val="3E83486D"/>
    <w:rsid w:val="3E8E05FB"/>
    <w:rsid w:val="3E8E6A05"/>
    <w:rsid w:val="3E921F53"/>
    <w:rsid w:val="3E931489"/>
    <w:rsid w:val="3E933499"/>
    <w:rsid w:val="3E966274"/>
    <w:rsid w:val="3E97231C"/>
    <w:rsid w:val="3E972CD7"/>
    <w:rsid w:val="3E9A4845"/>
    <w:rsid w:val="3E9D7386"/>
    <w:rsid w:val="3E9E1A93"/>
    <w:rsid w:val="3EA0270D"/>
    <w:rsid w:val="3EA46C9B"/>
    <w:rsid w:val="3EAA1996"/>
    <w:rsid w:val="3EAB41B0"/>
    <w:rsid w:val="3EAC12F3"/>
    <w:rsid w:val="3EAC63EF"/>
    <w:rsid w:val="3EAD7799"/>
    <w:rsid w:val="3EB239AC"/>
    <w:rsid w:val="3EB419A5"/>
    <w:rsid w:val="3EB52864"/>
    <w:rsid w:val="3EB70A1A"/>
    <w:rsid w:val="3EB82C9D"/>
    <w:rsid w:val="3EBD425D"/>
    <w:rsid w:val="3EBE2B46"/>
    <w:rsid w:val="3EBF4C58"/>
    <w:rsid w:val="3EC57784"/>
    <w:rsid w:val="3EC84D62"/>
    <w:rsid w:val="3ECB5E6A"/>
    <w:rsid w:val="3ED07704"/>
    <w:rsid w:val="3EDC6A5F"/>
    <w:rsid w:val="3EDE4585"/>
    <w:rsid w:val="3EDE747D"/>
    <w:rsid w:val="3EE644CE"/>
    <w:rsid w:val="3EF208A5"/>
    <w:rsid w:val="3EF43CA7"/>
    <w:rsid w:val="3EFC7E35"/>
    <w:rsid w:val="3EFD6405"/>
    <w:rsid w:val="3EFE1953"/>
    <w:rsid w:val="3F02642A"/>
    <w:rsid w:val="3F086F2C"/>
    <w:rsid w:val="3F087854"/>
    <w:rsid w:val="3F095E1B"/>
    <w:rsid w:val="3F106EAC"/>
    <w:rsid w:val="3F180FD3"/>
    <w:rsid w:val="3F1E121F"/>
    <w:rsid w:val="3F222D16"/>
    <w:rsid w:val="3F2A0B09"/>
    <w:rsid w:val="3F2A1578"/>
    <w:rsid w:val="3F2D206F"/>
    <w:rsid w:val="3F2F4B09"/>
    <w:rsid w:val="3F3B531D"/>
    <w:rsid w:val="3F407578"/>
    <w:rsid w:val="3F434078"/>
    <w:rsid w:val="3F444BF2"/>
    <w:rsid w:val="3F47212A"/>
    <w:rsid w:val="3F477701"/>
    <w:rsid w:val="3F4C4A65"/>
    <w:rsid w:val="3F55440B"/>
    <w:rsid w:val="3F5C0FCD"/>
    <w:rsid w:val="3F6215EF"/>
    <w:rsid w:val="3F6329E4"/>
    <w:rsid w:val="3F651ADC"/>
    <w:rsid w:val="3F6C2118"/>
    <w:rsid w:val="3F725A1C"/>
    <w:rsid w:val="3F7272F6"/>
    <w:rsid w:val="3F73566E"/>
    <w:rsid w:val="3F774685"/>
    <w:rsid w:val="3F7C1DF6"/>
    <w:rsid w:val="3F7E7AC8"/>
    <w:rsid w:val="3F850307"/>
    <w:rsid w:val="3F88629F"/>
    <w:rsid w:val="3F8B72DF"/>
    <w:rsid w:val="3F8C2BFA"/>
    <w:rsid w:val="3F8F1F95"/>
    <w:rsid w:val="3F9026E2"/>
    <w:rsid w:val="3F9709D9"/>
    <w:rsid w:val="3FA05CDE"/>
    <w:rsid w:val="3FA26F5B"/>
    <w:rsid w:val="3FA4132B"/>
    <w:rsid w:val="3FA42F82"/>
    <w:rsid w:val="3FA51CED"/>
    <w:rsid w:val="3FA728A2"/>
    <w:rsid w:val="3FA81EFA"/>
    <w:rsid w:val="3FA94DCC"/>
    <w:rsid w:val="3FA95165"/>
    <w:rsid w:val="3FBB6674"/>
    <w:rsid w:val="3FBC2029"/>
    <w:rsid w:val="3FBE3E20"/>
    <w:rsid w:val="3FBF1534"/>
    <w:rsid w:val="3FCC0881"/>
    <w:rsid w:val="3FCD1871"/>
    <w:rsid w:val="3FDA54F7"/>
    <w:rsid w:val="3FDF0772"/>
    <w:rsid w:val="3FE135AA"/>
    <w:rsid w:val="3FEE30E8"/>
    <w:rsid w:val="3FF07F10"/>
    <w:rsid w:val="400242A3"/>
    <w:rsid w:val="400B4B91"/>
    <w:rsid w:val="400F2098"/>
    <w:rsid w:val="40127195"/>
    <w:rsid w:val="40146D6B"/>
    <w:rsid w:val="40164BCF"/>
    <w:rsid w:val="40194C00"/>
    <w:rsid w:val="401F3597"/>
    <w:rsid w:val="40213B39"/>
    <w:rsid w:val="4024421A"/>
    <w:rsid w:val="4025656C"/>
    <w:rsid w:val="40277FE9"/>
    <w:rsid w:val="40283A09"/>
    <w:rsid w:val="40304FD9"/>
    <w:rsid w:val="403311B0"/>
    <w:rsid w:val="403547DB"/>
    <w:rsid w:val="40356355"/>
    <w:rsid w:val="40367A44"/>
    <w:rsid w:val="403B201E"/>
    <w:rsid w:val="403B495E"/>
    <w:rsid w:val="403F5DA5"/>
    <w:rsid w:val="40480F29"/>
    <w:rsid w:val="404C5BE8"/>
    <w:rsid w:val="40504B09"/>
    <w:rsid w:val="405D0709"/>
    <w:rsid w:val="40641DD6"/>
    <w:rsid w:val="407451A1"/>
    <w:rsid w:val="407668ED"/>
    <w:rsid w:val="4077361F"/>
    <w:rsid w:val="408D7BAA"/>
    <w:rsid w:val="409D04C1"/>
    <w:rsid w:val="409F5F96"/>
    <w:rsid w:val="40A4535A"/>
    <w:rsid w:val="40A77B1B"/>
    <w:rsid w:val="40AC4616"/>
    <w:rsid w:val="40AE52C3"/>
    <w:rsid w:val="40B325D3"/>
    <w:rsid w:val="40B61B8F"/>
    <w:rsid w:val="40B838E7"/>
    <w:rsid w:val="40BA18C8"/>
    <w:rsid w:val="40C11341"/>
    <w:rsid w:val="40C90FC4"/>
    <w:rsid w:val="40C96B6F"/>
    <w:rsid w:val="40CD2F3F"/>
    <w:rsid w:val="40D64521"/>
    <w:rsid w:val="40D850CB"/>
    <w:rsid w:val="40DD5C6B"/>
    <w:rsid w:val="40E21755"/>
    <w:rsid w:val="40E8577D"/>
    <w:rsid w:val="40EC59E9"/>
    <w:rsid w:val="40F75ADF"/>
    <w:rsid w:val="40F97454"/>
    <w:rsid w:val="40FF1CE7"/>
    <w:rsid w:val="4104731D"/>
    <w:rsid w:val="4107592F"/>
    <w:rsid w:val="410B7187"/>
    <w:rsid w:val="410F7001"/>
    <w:rsid w:val="41161732"/>
    <w:rsid w:val="41170FCD"/>
    <w:rsid w:val="41197960"/>
    <w:rsid w:val="411C1948"/>
    <w:rsid w:val="411E04AF"/>
    <w:rsid w:val="41236941"/>
    <w:rsid w:val="413143F1"/>
    <w:rsid w:val="413621AC"/>
    <w:rsid w:val="41385227"/>
    <w:rsid w:val="41387ED1"/>
    <w:rsid w:val="414638D3"/>
    <w:rsid w:val="41466412"/>
    <w:rsid w:val="414A74EA"/>
    <w:rsid w:val="414B27F7"/>
    <w:rsid w:val="414E21CB"/>
    <w:rsid w:val="414F6CFC"/>
    <w:rsid w:val="415C1304"/>
    <w:rsid w:val="415E6CE6"/>
    <w:rsid w:val="4163698C"/>
    <w:rsid w:val="41642AA7"/>
    <w:rsid w:val="41664443"/>
    <w:rsid w:val="416B38CC"/>
    <w:rsid w:val="41727EB0"/>
    <w:rsid w:val="41744D2D"/>
    <w:rsid w:val="41777932"/>
    <w:rsid w:val="41790489"/>
    <w:rsid w:val="41791A31"/>
    <w:rsid w:val="417A1850"/>
    <w:rsid w:val="417E22C1"/>
    <w:rsid w:val="418235ED"/>
    <w:rsid w:val="4189189E"/>
    <w:rsid w:val="418C7967"/>
    <w:rsid w:val="419521E1"/>
    <w:rsid w:val="419B0E80"/>
    <w:rsid w:val="419D300F"/>
    <w:rsid w:val="41A151D1"/>
    <w:rsid w:val="41A35873"/>
    <w:rsid w:val="41A62DA8"/>
    <w:rsid w:val="41AA2E44"/>
    <w:rsid w:val="41AF5B2B"/>
    <w:rsid w:val="41B16CE2"/>
    <w:rsid w:val="41B26E08"/>
    <w:rsid w:val="41B33AA7"/>
    <w:rsid w:val="41B77470"/>
    <w:rsid w:val="41BB6908"/>
    <w:rsid w:val="41C537BF"/>
    <w:rsid w:val="41CB3FF4"/>
    <w:rsid w:val="41CE4BB2"/>
    <w:rsid w:val="41D729B3"/>
    <w:rsid w:val="41DB7648"/>
    <w:rsid w:val="41DD4D60"/>
    <w:rsid w:val="41E01715"/>
    <w:rsid w:val="41E33C60"/>
    <w:rsid w:val="41E71A95"/>
    <w:rsid w:val="41F06E9B"/>
    <w:rsid w:val="41F16934"/>
    <w:rsid w:val="41F26F7A"/>
    <w:rsid w:val="41F31996"/>
    <w:rsid w:val="41F45E6E"/>
    <w:rsid w:val="41F57F7A"/>
    <w:rsid w:val="41FA1F07"/>
    <w:rsid w:val="41FF06D0"/>
    <w:rsid w:val="421B3B6D"/>
    <w:rsid w:val="421F5CFF"/>
    <w:rsid w:val="42244AB4"/>
    <w:rsid w:val="422E0DB5"/>
    <w:rsid w:val="422F715E"/>
    <w:rsid w:val="42336467"/>
    <w:rsid w:val="42371C2B"/>
    <w:rsid w:val="423F358D"/>
    <w:rsid w:val="423F4D79"/>
    <w:rsid w:val="42453340"/>
    <w:rsid w:val="42461F7F"/>
    <w:rsid w:val="4249440B"/>
    <w:rsid w:val="424C7A58"/>
    <w:rsid w:val="424F06E8"/>
    <w:rsid w:val="42601367"/>
    <w:rsid w:val="426223B3"/>
    <w:rsid w:val="42692625"/>
    <w:rsid w:val="42695500"/>
    <w:rsid w:val="426A511D"/>
    <w:rsid w:val="426C0C47"/>
    <w:rsid w:val="426F2128"/>
    <w:rsid w:val="4271002E"/>
    <w:rsid w:val="4274258B"/>
    <w:rsid w:val="42760D90"/>
    <w:rsid w:val="427A13B2"/>
    <w:rsid w:val="428077E7"/>
    <w:rsid w:val="428B585B"/>
    <w:rsid w:val="42A473F3"/>
    <w:rsid w:val="42B12A15"/>
    <w:rsid w:val="42B21BA0"/>
    <w:rsid w:val="42B865D5"/>
    <w:rsid w:val="42C21D38"/>
    <w:rsid w:val="42C54E7E"/>
    <w:rsid w:val="42C5749C"/>
    <w:rsid w:val="42C83C9E"/>
    <w:rsid w:val="42CC1372"/>
    <w:rsid w:val="42CC6FE5"/>
    <w:rsid w:val="42D068DB"/>
    <w:rsid w:val="42D27E70"/>
    <w:rsid w:val="42D31F27"/>
    <w:rsid w:val="42D9753D"/>
    <w:rsid w:val="42DA4FA4"/>
    <w:rsid w:val="42DA57DF"/>
    <w:rsid w:val="42F17120"/>
    <w:rsid w:val="42F8373B"/>
    <w:rsid w:val="430428C5"/>
    <w:rsid w:val="430F5837"/>
    <w:rsid w:val="43102FE9"/>
    <w:rsid w:val="43136632"/>
    <w:rsid w:val="431E31A2"/>
    <w:rsid w:val="432D5ADB"/>
    <w:rsid w:val="432E1EAC"/>
    <w:rsid w:val="43317379"/>
    <w:rsid w:val="43372A7E"/>
    <w:rsid w:val="433A0C9C"/>
    <w:rsid w:val="433B01F8"/>
    <w:rsid w:val="433C58A7"/>
    <w:rsid w:val="433F444D"/>
    <w:rsid w:val="43416B84"/>
    <w:rsid w:val="4344420F"/>
    <w:rsid w:val="4346042F"/>
    <w:rsid w:val="43521DE4"/>
    <w:rsid w:val="43542F81"/>
    <w:rsid w:val="4356219C"/>
    <w:rsid w:val="435E62BB"/>
    <w:rsid w:val="43642E1E"/>
    <w:rsid w:val="436615AE"/>
    <w:rsid w:val="43684182"/>
    <w:rsid w:val="436F4DD9"/>
    <w:rsid w:val="43763726"/>
    <w:rsid w:val="43791079"/>
    <w:rsid w:val="437E5448"/>
    <w:rsid w:val="437F2D89"/>
    <w:rsid w:val="43843A68"/>
    <w:rsid w:val="4384623E"/>
    <w:rsid w:val="4387343D"/>
    <w:rsid w:val="43877FB6"/>
    <w:rsid w:val="4389216D"/>
    <w:rsid w:val="439746F0"/>
    <w:rsid w:val="439843F5"/>
    <w:rsid w:val="43994F1E"/>
    <w:rsid w:val="439D00F9"/>
    <w:rsid w:val="439F53E9"/>
    <w:rsid w:val="43A475FF"/>
    <w:rsid w:val="43A72BCF"/>
    <w:rsid w:val="43AB2A94"/>
    <w:rsid w:val="43AD0561"/>
    <w:rsid w:val="43BA1887"/>
    <w:rsid w:val="43BA5CB2"/>
    <w:rsid w:val="43BB74E9"/>
    <w:rsid w:val="43BC57F0"/>
    <w:rsid w:val="43BE1126"/>
    <w:rsid w:val="43C43EA0"/>
    <w:rsid w:val="43C83F79"/>
    <w:rsid w:val="43CC70A2"/>
    <w:rsid w:val="43CF1924"/>
    <w:rsid w:val="43D321DE"/>
    <w:rsid w:val="43D55384"/>
    <w:rsid w:val="43DB5537"/>
    <w:rsid w:val="43E41F85"/>
    <w:rsid w:val="43E6158D"/>
    <w:rsid w:val="43E701CB"/>
    <w:rsid w:val="43EA6AA7"/>
    <w:rsid w:val="43ED3230"/>
    <w:rsid w:val="43F802D9"/>
    <w:rsid w:val="43F976FA"/>
    <w:rsid w:val="43FF30AC"/>
    <w:rsid w:val="43FF4A32"/>
    <w:rsid w:val="440525B4"/>
    <w:rsid w:val="440720CD"/>
    <w:rsid w:val="44094FB1"/>
    <w:rsid w:val="440A0339"/>
    <w:rsid w:val="440C13F8"/>
    <w:rsid w:val="440D0697"/>
    <w:rsid w:val="441831E8"/>
    <w:rsid w:val="44197CD5"/>
    <w:rsid w:val="441B3B85"/>
    <w:rsid w:val="441D5B50"/>
    <w:rsid w:val="441F05BA"/>
    <w:rsid w:val="441F2B43"/>
    <w:rsid w:val="4421208B"/>
    <w:rsid w:val="442A3D14"/>
    <w:rsid w:val="442A5BD9"/>
    <w:rsid w:val="443351CC"/>
    <w:rsid w:val="443536AF"/>
    <w:rsid w:val="44377703"/>
    <w:rsid w:val="443864E5"/>
    <w:rsid w:val="443A745B"/>
    <w:rsid w:val="443F1622"/>
    <w:rsid w:val="44411818"/>
    <w:rsid w:val="44413AFF"/>
    <w:rsid w:val="444A66FC"/>
    <w:rsid w:val="444B0F20"/>
    <w:rsid w:val="44520623"/>
    <w:rsid w:val="44537D49"/>
    <w:rsid w:val="445C19BB"/>
    <w:rsid w:val="44661919"/>
    <w:rsid w:val="4467501D"/>
    <w:rsid w:val="446957A4"/>
    <w:rsid w:val="4469669F"/>
    <w:rsid w:val="446B700A"/>
    <w:rsid w:val="446C1819"/>
    <w:rsid w:val="44732EAF"/>
    <w:rsid w:val="44735770"/>
    <w:rsid w:val="44775260"/>
    <w:rsid w:val="447A634B"/>
    <w:rsid w:val="44936A2D"/>
    <w:rsid w:val="44941CAD"/>
    <w:rsid w:val="44953504"/>
    <w:rsid w:val="44967F79"/>
    <w:rsid w:val="449B1FB7"/>
    <w:rsid w:val="449C3F3C"/>
    <w:rsid w:val="44A23EE3"/>
    <w:rsid w:val="44B2001A"/>
    <w:rsid w:val="44B334F5"/>
    <w:rsid w:val="44B6296D"/>
    <w:rsid w:val="44C75E5F"/>
    <w:rsid w:val="44C93934"/>
    <w:rsid w:val="44DE20BF"/>
    <w:rsid w:val="44E00B36"/>
    <w:rsid w:val="44E04FCD"/>
    <w:rsid w:val="44E07AE5"/>
    <w:rsid w:val="44E8268C"/>
    <w:rsid w:val="44E84739"/>
    <w:rsid w:val="44E906E3"/>
    <w:rsid w:val="44F14363"/>
    <w:rsid w:val="44F94AD0"/>
    <w:rsid w:val="44FB7F31"/>
    <w:rsid w:val="450241CA"/>
    <w:rsid w:val="45064C67"/>
    <w:rsid w:val="45092283"/>
    <w:rsid w:val="450A4F6B"/>
    <w:rsid w:val="45105A67"/>
    <w:rsid w:val="45117A4E"/>
    <w:rsid w:val="451526B8"/>
    <w:rsid w:val="45191600"/>
    <w:rsid w:val="451A4083"/>
    <w:rsid w:val="451D1C20"/>
    <w:rsid w:val="451F4766"/>
    <w:rsid w:val="452137A8"/>
    <w:rsid w:val="452336FE"/>
    <w:rsid w:val="45237005"/>
    <w:rsid w:val="452565BA"/>
    <w:rsid w:val="45292A82"/>
    <w:rsid w:val="45297C62"/>
    <w:rsid w:val="452B2216"/>
    <w:rsid w:val="452F5601"/>
    <w:rsid w:val="45383FA5"/>
    <w:rsid w:val="453942C3"/>
    <w:rsid w:val="453F429A"/>
    <w:rsid w:val="45416637"/>
    <w:rsid w:val="45420378"/>
    <w:rsid w:val="45457A04"/>
    <w:rsid w:val="455871AB"/>
    <w:rsid w:val="45587386"/>
    <w:rsid w:val="455B75C1"/>
    <w:rsid w:val="455D1C73"/>
    <w:rsid w:val="456357E4"/>
    <w:rsid w:val="4566467E"/>
    <w:rsid w:val="4572111F"/>
    <w:rsid w:val="45767B60"/>
    <w:rsid w:val="45783405"/>
    <w:rsid w:val="457C0EFB"/>
    <w:rsid w:val="4585496B"/>
    <w:rsid w:val="45890C85"/>
    <w:rsid w:val="458E4348"/>
    <w:rsid w:val="45947D37"/>
    <w:rsid w:val="459800D3"/>
    <w:rsid w:val="459978C4"/>
    <w:rsid w:val="45A507FC"/>
    <w:rsid w:val="45A55B9B"/>
    <w:rsid w:val="45A907CE"/>
    <w:rsid w:val="45AB2C34"/>
    <w:rsid w:val="45AD2935"/>
    <w:rsid w:val="45AE54CB"/>
    <w:rsid w:val="45B231FF"/>
    <w:rsid w:val="45B24076"/>
    <w:rsid w:val="45B45CF0"/>
    <w:rsid w:val="45BB4542"/>
    <w:rsid w:val="45BC7792"/>
    <w:rsid w:val="45C07A37"/>
    <w:rsid w:val="45C16D8A"/>
    <w:rsid w:val="45C2753B"/>
    <w:rsid w:val="45C40594"/>
    <w:rsid w:val="45C77855"/>
    <w:rsid w:val="45CA13BF"/>
    <w:rsid w:val="45D15F60"/>
    <w:rsid w:val="45D87004"/>
    <w:rsid w:val="45DB537A"/>
    <w:rsid w:val="45DC2F49"/>
    <w:rsid w:val="45DF0C25"/>
    <w:rsid w:val="45E0774E"/>
    <w:rsid w:val="45E324F1"/>
    <w:rsid w:val="45E43CB8"/>
    <w:rsid w:val="45E83934"/>
    <w:rsid w:val="45ED1B7A"/>
    <w:rsid w:val="45EE5989"/>
    <w:rsid w:val="45F46D03"/>
    <w:rsid w:val="45FC3972"/>
    <w:rsid w:val="45FD1795"/>
    <w:rsid w:val="46064DC8"/>
    <w:rsid w:val="460B65FD"/>
    <w:rsid w:val="460E483B"/>
    <w:rsid w:val="460F3BEB"/>
    <w:rsid w:val="4610156C"/>
    <w:rsid w:val="46115CF7"/>
    <w:rsid w:val="461372AA"/>
    <w:rsid w:val="46140D2F"/>
    <w:rsid w:val="461C5640"/>
    <w:rsid w:val="46220201"/>
    <w:rsid w:val="46243EAF"/>
    <w:rsid w:val="462447F2"/>
    <w:rsid w:val="46261F2B"/>
    <w:rsid w:val="46266A8D"/>
    <w:rsid w:val="462E7BA0"/>
    <w:rsid w:val="463113A2"/>
    <w:rsid w:val="463D789F"/>
    <w:rsid w:val="4641493A"/>
    <w:rsid w:val="46460F21"/>
    <w:rsid w:val="46484899"/>
    <w:rsid w:val="46494DC3"/>
    <w:rsid w:val="464A534D"/>
    <w:rsid w:val="464C0026"/>
    <w:rsid w:val="464F4558"/>
    <w:rsid w:val="464F7B16"/>
    <w:rsid w:val="465B64BB"/>
    <w:rsid w:val="4662583A"/>
    <w:rsid w:val="466333FD"/>
    <w:rsid w:val="466B0621"/>
    <w:rsid w:val="46703CDF"/>
    <w:rsid w:val="4675088B"/>
    <w:rsid w:val="467970CA"/>
    <w:rsid w:val="467A62A2"/>
    <w:rsid w:val="467F13E2"/>
    <w:rsid w:val="46852E53"/>
    <w:rsid w:val="468C3DDE"/>
    <w:rsid w:val="46907AD5"/>
    <w:rsid w:val="469B2CB1"/>
    <w:rsid w:val="46A234C7"/>
    <w:rsid w:val="46A31106"/>
    <w:rsid w:val="46A529C4"/>
    <w:rsid w:val="46AB2F56"/>
    <w:rsid w:val="46AC6D17"/>
    <w:rsid w:val="46B169F7"/>
    <w:rsid w:val="46B50A37"/>
    <w:rsid w:val="46B84055"/>
    <w:rsid w:val="46B9051E"/>
    <w:rsid w:val="46B96A82"/>
    <w:rsid w:val="46C574DF"/>
    <w:rsid w:val="46CC1167"/>
    <w:rsid w:val="46CE4F42"/>
    <w:rsid w:val="46D00020"/>
    <w:rsid w:val="46D52711"/>
    <w:rsid w:val="46D62443"/>
    <w:rsid w:val="46DF14B9"/>
    <w:rsid w:val="46E13566"/>
    <w:rsid w:val="46E2098A"/>
    <w:rsid w:val="46E2183E"/>
    <w:rsid w:val="46E54C91"/>
    <w:rsid w:val="46EA5EEC"/>
    <w:rsid w:val="46F02F77"/>
    <w:rsid w:val="46F7061D"/>
    <w:rsid w:val="46F75CCC"/>
    <w:rsid w:val="46FA5AF3"/>
    <w:rsid w:val="46FF153C"/>
    <w:rsid w:val="46FF6E60"/>
    <w:rsid w:val="47054161"/>
    <w:rsid w:val="470B020C"/>
    <w:rsid w:val="470B38B4"/>
    <w:rsid w:val="470E5B90"/>
    <w:rsid w:val="47137AA6"/>
    <w:rsid w:val="47160A32"/>
    <w:rsid w:val="471918E8"/>
    <w:rsid w:val="47195DE5"/>
    <w:rsid w:val="471D1DD1"/>
    <w:rsid w:val="471E4985"/>
    <w:rsid w:val="472114B3"/>
    <w:rsid w:val="47215C41"/>
    <w:rsid w:val="472911AE"/>
    <w:rsid w:val="47295241"/>
    <w:rsid w:val="472D49DD"/>
    <w:rsid w:val="47417594"/>
    <w:rsid w:val="474673F8"/>
    <w:rsid w:val="474E6020"/>
    <w:rsid w:val="474F4272"/>
    <w:rsid w:val="47540C0E"/>
    <w:rsid w:val="4758063C"/>
    <w:rsid w:val="475B3CE9"/>
    <w:rsid w:val="476060E7"/>
    <w:rsid w:val="4761004F"/>
    <w:rsid w:val="476A2EA0"/>
    <w:rsid w:val="476D294A"/>
    <w:rsid w:val="477B4BF8"/>
    <w:rsid w:val="477D6FD2"/>
    <w:rsid w:val="47806686"/>
    <w:rsid w:val="47806AF1"/>
    <w:rsid w:val="478E736C"/>
    <w:rsid w:val="47906D29"/>
    <w:rsid w:val="479F062A"/>
    <w:rsid w:val="47A63038"/>
    <w:rsid w:val="47B1755E"/>
    <w:rsid w:val="47B634D7"/>
    <w:rsid w:val="47B81236"/>
    <w:rsid w:val="47BE0112"/>
    <w:rsid w:val="47C00CCC"/>
    <w:rsid w:val="47C0167F"/>
    <w:rsid w:val="47C7770C"/>
    <w:rsid w:val="47C94BC2"/>
    <w:rsid w:val="47D374EE"/>
    <w:rsid w:val="47D5062C"/>
    <w:rsid w:val="47D75B8A"/>
    <w:rsid w:val="47DC5CD8"/>
    <w:rsid w:val="47DD3E88"/>
    <w:rsid w:val="47DF6F38"/>
    <w:rsid w:val="47E40D57"/>
    <w:rsid w:val="47E52EFC"/>
    <w:rsid w:val="47EF4316"/>
    <w:rsid w:val="47F03A44"/>
    <w:rsid w:val="47F43496"/>
    <w:rsid w:val="47F46BC7"/>
    <w:rsid w:val="47F606A9"/>
    <w:rsid w:val="47F9077A"/>
    <w:rsid w:val="47F97EC3"/>
    <w:rsid w:val="47FD262C"/>
    <w:rsid w:val="48046F93"/>
    <w:rsid w:val="481071F3"/>
    <w:rsid w:val="481943B8"/>
    <w:rsid w:val="4822738B"/>
    <w:rsid w:val="482B0DAF"/>
    <w:rsid w:val="482B3D0A"/>
    <w:rsid w:val="482B50EB"/>
    <w:rsid w:val="48302B25"/>
    <w:rsid w:val="48307903"/>
    <w:rsid w:val="48331CB3"/>
    <w:rsid w:val="48343468"/>
    <w:rsid w:val="483D056E"/>
    <w:rsid w:val="483F42E6"/>
    <w:rsid w:val="48460C2A"/>
    <w:rsid w:val="4847319B"/>
    <w:rsid w:val="48474F49"/>
    <w:rsid w:val="48481167"/>
    <w:rsid w:val="484B0F8C"/>
    <w:rsid w:val="484B6BDE"/>
    <w:rsid w:val="484C1923"/>
    <w:rsid w:val="484C2C75"/>
    <w:rsid w:val="48535D91"/>
    <w:rsid w:val="48567D93"/>
    <w:rsid w:val="485B5FC7"/>
    <w:rsid w:val="48626EE5"/>
    <w:rsid w:val="48650222"/>
    <w:rsid w:val="486B76C5"/>
    <w:rsid w:val="486D23E8"/>
    <w:rsid w:val="486D3519"/>
    <w:rsid w:val="486D4423"/>
    <w:rsid w:val="48774226"/>
    <w:rsid w:val="48797831"/>
    <w:rsid w:val="487A5B9D"/>
    <w:rsid w:val="487B52E0"/>
    <w:rsid w:val="487C5CC1"/>
    <w:rsid w:val="48812E9A"/>
    <w:rsid w:val="488223CF"/>
    <w:rsid w:val="48896100"/>
    <w:rsid w:val="4891509B"/>
    <w:rsid w:val="48A112E0"/>
    <w:rsid w:val="48A31080"/>
    <w:rsid w:val="48A42D0E"/>
    <w:rsid w:val="48A948F5"/>
    <w:rsid w:val="48B44AD9"/>
    <w:rsid w:val="48B5010B"/>
    <w:rsid w:val="48B56357"/>
    <w:rsid w:val="48BD520B"/>
    <w:rsid w:val="48C20A74"/>
    <w:rsid w:val="48C37BEB"/>
    <w:rsid w:val="48C43E22"/>
    <w:rsid w:val="48C60A64"/>
    <w:rsid w:val="48C844AF"/>
    <w:rsid w:val="48CB5C28"/>
    <w:rsid w:val="48DA0EA3"/>
    <w:rsid w:val="48E52A77"/>
    <w:rsid w:val="48E64762"/>
    <w:rsid w:val="48E66F9D"/>
    <w:rsid w:val="48F14B5B"/>
    <w:rsid w:val="48F3199D"/>
    <w:rsid w:val="490177EE"/>
    <w:rsid w:val="490D0FD9"/>
    <w:rsid w:val="49143C78"/>
    <w:rsid w:val="49155F87"/>
    <w:rsid w:val="49193219"/>
    <w:rsid w:val="49195D8A"/>
    <w:rsid w:val="491D1E84"/>
    <w:rsid w:val="49226246"/>
    <w:rsid w:val="492360B3"/>
    <w:rsid w:val="4924496C"/>
    <w:rsid w:val="492944EA"/>
    <w:rsid w:val="49331971"/>
    <w:rsid w:val="49372A72"/>
    <w:rsid w:val="493B3975"/>
    <w:rsid w:val="493E3F64"/>
    <w:rsid w:val="494264B9"/>
    <w:rsid w:val="494A5E17"/>
    <w:rsid w:val="494B1F13"/>
    <w:rsid w:val="495A0A26"/>
    <w:rsid w:val="495B07EF"/>
    <w:rsid w:val="495E079C"/>
    <w:rsid w:val="495F6608"/>
    <w:rsid w:val="496C2B82"/>
    <w:rsid w:val="49723FDE"/>
    <w:rsid w:val="497556A7"/>
    <w:rsid w:val="4976105D"/>
    <w:rsid w:val="497955D6"/>
    <w:rsid w:val="49805E42"/>
    <w:rsid w:val="49880D58"/>
    <w:rsid w:val="498C182D"/>
    <w:rsid w:val="498E4EBE"/>
    <w:rsid w:val="498E506C"/>
    <w:rsid w:val="49941F85"/>
    <w:rsid w:val="49955F4E"/>
    <w:rsid w:val="49A4175F"/>
    <w:rsid w:val="49A53C3B"/>
    <w:rsid w:val="49A65F05"/>
    <w:rsid w:val="49AA1C33"/>
    <w:rsid w:val="49B20AE8"/>
    <w:rsid w:val="49B274AE"/>
    <w:rsid w:val="49B42426"/>
    <w:rsid w:val="49DC7359"/>
    <w:rsid w:val="49DF7481"/>
    <w:rsid w:val="49E12059"/>
    <w:rsid w:val="49E432C1"/>
    <w:rsid w:val="49F0791D"/>
    <w:rsid w:val="49F20EE5"/>
    <w:rsid w:val="49F40846"/>
    <w:rsid w:val="49F8402B"/>
    <w:rsid w:val="49FA426A"/>
    <w:rsid w:val="4A0313BF"/>
    <w:rsid w:val="4A043996"/>
    <w:rsid w:val="4A057F23"/>
    <w:rsid w:val="4A062BE2"/>
    <w:rsid w:val="4A177B8A"/>
    <w:rsid w:val="4A187509"/>
    <w:rsid w:val="4A1962B3"/>
    <w:rsid w:val="4A2348E8"/>
    <w:rsid w:val="4A26136D"/>
    <w:rsid w:val="4A280A90"/>
    <w:rsid w:val="4A282B58"/>
    <w:rsid w:val="4A2B22DF"/>
    <w:rsid w:val="4A324E38"/>
    <w:rsid w:val="4A361719"/>
    <w:rsid w:val="4A363AF9"/>
    <w:rsid w:val="4A3B55B5"/>
    <w:rsid w:val="4A3C1D1B"/>
    <w:rsid w:val="4A407FF5"/>
    <w:rsid w:val="4A487993"/>
    <w:rsid w:val="4A494F5F"/>
    <w:rsid w:val="4A4C7554"/>
    <w:rsid w:val="4A5513D1"/>
    <w:rsid w:val="4A563073"/>
    <w:rsid w:val="4A57286A"/>
    <w:rsid w:val="4A5C4640"/>
    <w:rsid w:val="4A5D10F2"/>
    <w:rsid w:val="4A5D7B41"/>
    <w:rsid w:val="4A603C19"/>
    <w:rsid w:val="4A6873F9"/>
    <w:rsid w:val="4A722103"/>
    <w:rsid w:val="4A722216"/>
    <w:rsid w:val="4A757473"/>
    <w:rsid w:val="4A773411"/>
    <w:rsid w:val="4A782ADD"/>
    <w:rsid w:val="4A813151"/>
    <w:rsid w:val="4A865358"/>
    <w:rsid w:val="4A8D0038"/>
    <w:rsid w:val="4A8E558A"/>
    <w:rsid w:val="4A903B90"/>
    <w:rsid w:val="4A93407E"/>
    <w:rsid w:val="4A945A5D"/>
    <w:rsid w:val="4A9A1C7D"/>
    <w:rsid w:val="4A9B39C6"/>
    <w:rsid w:val="4AA42A6F"/>
    <w:rsid w:val="4AA525FA"/>
    <w:rsid w:val="4AA5323F"/>
    <w:rsid w:val="4AA85D4F"/>
    <w:rsid w:val="4ABB577A"/>
    <w:rsid w:val="4AC010BB"/>
    <w:rsid w:val="4ACB00B3"/>
    <w:rsid w:val="4ACB68D8"/>
    <w:rsid w:val="4AD23FBA"/>
    <w:rsid w:val="4AD36F68"/>
    <w:rsid w:val="4AD44EC3"/>
    <w:rsid w:val="4AE12CD8"/>
    <w:rsid w:val="4AE447B6"/>
    <w:rsid w:val="4AEA3AB6"/>
    <w:rsid w:val="4AEA59A9"/>
    <w:rsid w:val="4AEE40E9"/>
    <w:rsid w:val="4AF001F5"/>
    <w:rsid w:val="4AF2278F"/>
    <w:rsid w:val="4AF22B34"/>
    <w:rsid w:val="4AF246BA"/>
    <w:rsid w:val="4AF35168"/>
    <w:rsid w:val="4AF41157"/>
    <w:rsid w:val="4AF52148"/>
    <w:rsid w:val="4B0215FB"/>
    <w:rsid w:val="4B0A5209"/>
    <w:rsid w:val="4B0B6702"/>
    <w:rsid w:val="4B0F3E2D"/>
    <w:rsid w:val="4B115DA6"/>
    <w:rsid w:val="4B162FDF"/>
    <w:rsid w:val="4B180B90"/>
    <w:rsid w:val="4B1F5770"/>
    <w:rsid w:val="4B282865"/>
    <w:rsid w:val="4B2931F4"/>
    <w:rsid w:val="4B2C4394"/>
    <w:rsid w:val="4B36751C"/>
    <w:rsid w:val="4B384573"/>
    <w:rsid w:val="4B3D2CF7"/>
    <w:rsid w:val="4B3F6FB7"/>
    <w:rsid w:val="4B3F7F11"/>
    <w:rsid w:val="4B401AE9"/>
    <w:rsid w:val="4B413437"/>
    <w:rsid w:val="4B4C4C06"/>
    <w:rsid w:val="4B4D0232"/>
    <w:rsid w:val="4B506E75"/>
    <w:rsid w:val="4B543232"/>
    <w:rsid w:val="4B5C4769"/>
    <w:rsid w:val="4B6344A7"/>
    <w:rsid w:val="4B636AF4"/>
    <w:rsid w:val="4B64095C"/>
    <w:rsid w:val="4B645E01"/>
    <w:rsid w:val="4B6563CF"/>
    <w:rsid w:val="4B6C6187"/>
    <w:rsid w:val="4B730565"/>
    <w:rsid w:val="4B737A05"/>
    <w:rsid w:val="4B742DA0"/>
    <w:rsid w:val="4B76446E"/>
    <w:rsid w:val="4B8678AA"/>
    <w:rsid w:val="4B9363AA"/>
    <w:rsid w:val="4B940FDE"/>
    <w:rsid w:val="4B9C1A50"/>
    <w:rsid w:val="4BA0744D"/>
    <w:rsid w:val="4BA077F2"/>
    <w:rsid w:val="4BA34863"/>
    <w:rsid w:val="4BA65934"/>
    <w:rsid w:val="4BA85D14"/>
    <w:rsid w:val="4BAD52B0"/>
    <w:rsid w:val="4BAE3B9F"/>
    <w:rsid w:val="4BB82350"/>
    <w:rsid w:val="4BB87B9B"/>
    <w:rsid w:val="4BB97F8B"/>
    <w:rsid w:val="4BBA1ED6"/>
    <w:rsid w:val="4BBC418D"/>
    <w:rsid w:val="4BC766E8"/>
    <w:rsid w:val="4BCC59CB"/>
    <w:rsid w:val="4BCD7632"/>
    <w:rsid w:val="4BCD79DA"/>
    <w:rsid w:val="4BCE2302"/>
    <w:rsid w:val="4BD755BD"/>
    <w:rsid w:val="4BDA5D2F"/>
    <w:rsid w:val="4BE17DC5"/>
    <w:rsid w:val="4BE31EB8"/>
    <w:rsid w:val="4BE6383D"/>
    <w:rsid w:val="4BE9191D"/>
    <w:rsid w:val="4BEE3962"/>
    <w:rsid w:val="4C0058DC"/>
    <w:rsid w:val="4C04290E"/>
    <w:rsid w:val="4C05459B"/>
    <w:rsid w:val="4C0B44E0"/>
    <w:rsid w:val="4C0D6EDD"/>
    <w:rsid w:val="4C1F4D3B"/>
    <w:rsid w:val="4C23669C"/>
    <w:rsid w:val="4C272CA8"/>
    <w:rsid w:val="4C2A705C"/>
    <w:rsid w:val="4C3505F8"/>
    <w:rsid w:val="4C3B2762"/>
    <w:rsid w:val="4C4611EE"/>
    <w:rsid w:val="4C4A2717"/>
    <w:rsid w:val="4C4D61E6"/>
    <w:rsid w:val="4C557323"/>
    <w:rsid w:val="4C6373D9"/>
    <w:rsid w:val="4C6E4C8D"/>
    <w:rsid w:val="4C716338"/>
    <w:rsid w:val="4C723B7E"/>
    <w:rsid w:val="4C724920"/>
    <w:rsid w:val="4C752ACE"/>
    <w:rsid w:val="4C7B3B97"/>
    <w:rsid w:val="4C7E4D6B"/>
    <w:rsid w:val="4C8B2099"/>
    <w:rsid w:val="4C8E73AC"/>
    <w:rsid w:val="4C8F3363"/>
    <w:rsid w:val="4C957630"/>
    <w:rsid w:val="4C981B21"/>
    <w:rsid w:val="4C9B4035"/>
    <w:rsid w:val="4CA127D4"/>
    <w:rsid w:val="4CA20F3E"/>
    <w:rsid w:val="4CA565EE"/>
    <w:rsid w:val="4CA566E2"/>
    <w:rsid w:val="4CA95D94"/>
    <w:rsid w:val="4CA975CC"/>
    <w:rsid w:val="4CB82F5B"/>
    <w:rsid w:val="4CBE0CCC"/>
    <w:rsid w:val="4CC748AA"/>
    <w:rsid w:val="4CD35319"/>
    <w:rsid w:val="4CDB5E9D"/>
    <w:rsid w:val="4CE10AA7"/>
    <w:rsid w:val="4CE11174"/>
    <w:rsid w:val="4CE465E2"/>
    <w:rsid w:val="4CF149F0"/>
    <w:rsid w:val="4CF26484"/>
    <w:rsid w:val="4CF652FB"/>
    <w:rsid w:val="4CF85F6B"/>
    <w:rsid w:val="4CFA3DF7"/>
    <w:rsid w:val="4CFA7FCF"/>
    <w:rsid w:val="4D000125"/>
    <w:rsid w:val="4D05280E"/>
    <w:rsid w:val="4D072999"/>
    <w:rsid w:val="4D0931F8"/>
    <w:rsid w:val="4D0E6F18"/>
    <w:rsid w:val="4D133137"/>
    <w:rsid w:val="4D194D02"/>
    <w:rsid w:val="4D1B0908"/>
    <w:rsid w:val="4D1C3C25"/>
    <w:rsid w:val="4D1E0C98"/>
    <w:rsid w:val="4D206088"/>
    <w:rsid w:val="4D261D72"/>
    <w:rsid w:val="4D297A1A"/>
    <w:rsid w:val="4D376A14"/>
    <w:rsid w:val="4D3A1520"/>
    <w:rsid w:val="4D406653"/>
    <w:rsid w:val="4D436639"/>
    <w:rsid w:val="4D451931"/>
    <w:rsid w:val="4D497020"/>
    <w:rsid w:val="4D4B7BD3"/>
    <w:rsid w:val="4D4D597D"/>
    <w:rsid w:val="4D4F19D9"/>
    <w:rsid w:val="4D514B1E"/>
    <w:rsid w:val="4D5262C9"/>
    <w:rsid w:val="4D53613A"/>
    <w:rsid w:val="4D5A0899"/>
    <w:rsid w:val="4D5B3873"/>
    <w:rsid w:val="4D5C6CA0"/>
    <w:rsid w:val="4D5E5793"/>
    <w:rsid w:val="4D673F17"/>
    <w:rsid w:val="4D6F0071"/>
    <w:rsid w:val="4D722A68"/>
    <w:rsid w:val="4D736443"/>
    <w:rsid w:val="4D751C6A"/>
    <w:rsid w:val="4D84018A"/>
    <w:rsid w:val="4D8669BE"/>
    <w:rsid w:val="4D87607A"/>
    <w:rsid w:val="4D8C33FE"/>
    <w:rsid w:val="4D8D24D7"/>
    <w:rsid w:val="4D975404"/>
    <w:rsid w:val="4D9849A9"/>
    <w:rsid w:val="4D992CBB"/>
    <w:rsid w:val="4DA1334D"/>
    <w:rsid w:val="4DAB7E8F"/>
    <w:rsid w:val="4DAD2E41"/>
    <w:rsid w:val="4DAE5A6A"/>
    <w:rsid w:val="4DB02A97"/>
    <w:rsid w:val="4DB318A6"/>
    <w:rsid w:val="4DB67A1F"/>
    <w:rsid w:val="4DC0501B"/>
    <w:rsid w:val="4DC134BA"/>
    <w:rsid w:val="4DC43266"/>
    <w:rsid w:val="4DC66910"/>
    <w:rsid w:val="4DCA15C8"/>
    <w:rsid w:val="4DCB4CA4"/>
    <w:rsid w:val="4DCF4938"/>
    <w:rsid w:val="4DD65D56"/>
    <w:rsid w:val="4DD71537"/>
    <w:rsid w:val="4DD84783"/>
    <w:rsid w:val="4DDA2731"/>
    <w:rsid w:val="4DDD52CB"/>
    <w:rsid w:val="4DDE00FE"/>
    <w:rsid w:val="4DE07AC2"/>
    <w:rsid w:val="4DE545BB"/>
    <w:rsid w:val="4DE77B61"/>
    <w:rsid w:val="4DF03347"/>
    <w:rsid w:val="4DF1078E"/>
    <w:rsid w:val="4DF110B3"/>
    <w:rsid w:val="4DF166CB"/>
    <w:rsid w:val="4DF30C68"/>
    <w:rsid w:val="4DF31545"/>
    <w:rsid w:val="4DF711BF"/>
    <w:rsid w:val="4DF755E4"/>
    <w:rsid w:val="4DFA5D5B"/>
    <w:rsid w:val="4DFB2037"/>
    <w:rsid w:val="4DFC2FC7"/>
    <w:rsid w:val="4DFF3EAF"/>
    <w:rsid w:val="4E084538"/>
    <w:rsid w:val="4E100781"/>
    <w:rsid w:val="4E102C9C"/>
    <w:rsid w:val="4E116FBE"/>
    <w:rsid w:val="4E137203"/>
    <w:rsid w:val="4E174170"/>
    <w:rsid w:val="4E1A4EAE"/>
    <w:rsid w:val="4E264E4D"/>
    <w:rsid w:val="4E34390A"/>
    <w:rsid w:val="4E4322CC"/>
    <w:rsid w:val="4E470206"/>
    <w:rsid w:val="4E477A6A"/>
    <w:rsid w:val="4E480809"/>
    <w:rsid w:val="4E4D747A"/>
    <w:rsid w:val="4E4F3FC5"/>
    <w:rsid w:val="4E4F68D0"/>
    <w:rsid w:val="4E501E3E"/>
    <w:rsid w:val="4E5403C0"/>
    <w:rsid w:val="4E616639"/>
    <w:rsid w:val="4E675AFF"/>
    <w:rsid w:val="4E690072"/>
    <w:rsid w:val="4E6A7ED2"/>
    <w:rsid w:val="4E6B254F"/>
    <w:rsid w:val="4E6E318C"/>
    <w:rsid w:val="4E714928"/>
    <w:rsid w:val="4E730CEB"/>
    <w:rsid w:val="4E734C85"/>
    <w:rsid w:val="4E745421"/>
    <w:rsid w:val="4E790E2E"/>
    <w:rsid w:val="4E79587A"/>
    <w:rsid w:val="4E7A455F"/>
    <w:rsid w:val="4E7A678B"/>
    <w:rsid w:val="4E7F5B2F"/>
    <w:rsid w:val="4E810A89"/>
    <w:rsid w:val="4E813629"/>
    <w:rsid w:val="4E834801"/>
    <w:rsid w:val="4E835EB0"/>
    <w:rsid w:val="4E85078E"/>
    <w:rsid w:val="4E8661FD"/>
    <w:rsid w:val="4E8C3CA1"/>
    <w:rsid w:val="4E8D40D0"/>
    <w:rsid w:val="4E901BE3"/>
    <w:rsid w:val="4E930FEA"/>
    <w:rsid w:val="4E97798B"/>
    <w:rsid w:val="4E9E03F3"/>
    <w:rsid w:val="4EAE4800"/>
    <w:rsid w:val="4EB16B02"/>
    <w:rsid w:val="4EB26079"/>
    <w:rsid w:val="4EB470B0"/>
    <w:rsid w:val="4EB5497F"/>
    <w:rsid w:val="4EB73356"/>
    <w:rsid w:val="4EB91190"/>
    <w:rsid w:val="4EBE3A8B"/>
    <w:rsid w:val="4EC613E7"/>
    <w:rsid w:val="4ECC749F"/>
    <w:rsid w:val="4ED20154"/>
    <w:rsid w:val="4ED340E1"/>
    <w:rsid w:val="4ED432AF"/>
    <w:rsid w:val="4ED51FCD"/>
    <w:rsid w:val="4ED978C8"/>
    <w:rsid w:val="4EDB63EB"/>
    <w:rsid w:val="4EDE274E"/>
    <w:rsid w:val="4EDF5C69"/>
    <w:rsid w:val="4EE07693"/>
    <w:rsid w:val="4EE806DB"/>
    <w:rsid w:val="4EEB2B46"/>
    <w:rsid w:val="4EEE3186"/>
    <w:rsid w:val="4EEE7BD2"/>
    <w:rsid w:val="4EF134ED"/>
    <w:rsid w:val="4EF670ED"/>
    <w:rsid w:val="4EFE54D1"/>
    <w:rsid w:val="4F040265"/>
    <w:rsid w:val="4F063322"/>
    <w:rsid w:val="4F0E6C6A"/>
    <w:rsid w:val="4F150B12"/>
    <w:rsid w:val="4F29776D"/>
    <w:rsid w:val="4F2D3A35"/>
    <w:rsid w:val="4F3373D7"/>
    <w:rsid w:val="4F355398"/>
    <w:rsid w:val="4F392C26"/>
    <w:rsid w:val="4F3A672A"/>
    <w:rsid w:val="4F3D7158"/>
    <w:rsid w:val="4F4154B6"/>
    <w:rsid w:val="4F442AF1"/>
    <w:rsid w:val="4F4F0B87"/>
    <w:rsid w:val="4F520049"/>
    <w:rsid w:val="4F531492"/>
    <w:rsid w:val="4F545330"/>
    <w:rsid w:val="4F56388E"/>
    <w:rsid w:val="4F5A7C58"/>
    <w:rsid w:val="4F5E7D77"/>
    <w:rsid w:val="4F6B5987"/>
    <w:rsid w:val="4F6D7589"/>
    <w:rsid w:val="4F6E141B"/>
    <w:rsid w:val="4F6F5FCD"/>
    <w:rsid w:val="4F723152"/>
    <w:rsid w:val="4F72403A"/>
    <w:rsid w:val="4F7B7B8C"/>
    <w:rsid w:val="4F835447"/>
    <w:rsid w:val="4F876573"/>
    <w:rsid w:val="4F922083"/>
    <w:rsid w:val="4F9A3A14"/>
    <w:rsid w:val="4F9A7F75"/>
    <w:rsid w:val="4F9E2F1E"/>
    <w:rsid w:val="4FA11D8F"/>
    <w:rsid w:val="4FB07F85"/>
    <w:rsid w:val="4FB530E0"/>
    <w:rsid w:val="4FBA522C"/>
    <w:rsid w:val="4FBA5444"/>
    <w:rsid w:val="4FBC5F0F"/>
    <w:rsid w:val="4FC43323"/>
    <w:rsid w:val="4FC7696F"/>
    <w:rsid w:val="4FCC1F17"/>
    <w:rsid w:val="4FD03064"/>
    <w:rsid w:val="4FDF015D"/>
    <w:rsid w:val="4FE44606"/>
    <w:rsid w:val="4FE46C32"/>
    <w:rsid w:val="4FE97086"/>
    <w:rsid w:val="4FEA3ABE"/>
    <w:rsid w:val="4FEF02FA"/>
    <w:rsid w:val="4FFC5670"/>
    <w:rsid w:val="4FFE2274"/>
    <w:rsid w:val="4FFF70D0"/>
    <w:rsid w:val="500100D3"/>
    <w:rsid w:val="500538F7"/>
    <w:rsid w:val="50061FA8"/>
    <w:rsid w:val="500951DA"/>
    <w:rsid w:val="500B2115"/>
    <w:rsid w:val="500B32A2"/>
    <w:rsid w:val="50117E50"/>
    <w:rsid w:val="50150CD7"/>
    <w:rsid w:val="501644DA"/>
    <w:rsid w:val="501871CB"/>
    <w:rsid w:val="501A5596"/>
    <w:rsid w:val="501B533C"/>
    <w:rsid w:val="50241EA8"/>
    <w:rsid w:val="50281F13"/>
    <w:rsid w:val="502A1B84"/>
    <w:rsid w:val="502C3C0B"/>
    <w:rsid w:val="502C6B9C"/>
    <w:rsid w:val="502F715E"/>
    <w:rsid w:val="503B514F"/>
    <w:rsid w:val="50425A87"/>
    <w:rsid w:val="50452743"/>
    <w:rsid w:val="504C236F"/>
    <w:rsid w:val="504E0EE3"/>
    <w:rsid w:val="5050185A"/>
    <w:rsid w:val="5063306A"/>
    <w:rsid w:val="506904AF"/>
    <w:rsid w:val="50697854"/>
    <w:rsid w:val="506B4987"/>
    <w:rsid w:val="506D5769"/>
    <w:rsid w:val="506D7517"/>
    <w:rsid w:val="50704501"/>
    <w:rsid w:val="507B7A0A"/>
    <w:rsid w:val="507C1E50"/>
    <w:rsid w:val="50823AA3"/>
    <w:rsid w:val="50827CBB"/>
    <w:rsid w:val="50886B55"/>
    <w:rsid w:val="508E5A49"/>
    <w:rsid w:val="5090054F"/>
    <w:rsid w:val="50941BD0"/>
    <w:rsid w:val="50952ECB"/>
    <w:rsid w:val="50996C91"/>
    <w:rsid w:val="50A34D0F"/>
    <w:rsid w:val="50A640EA"/>
    <w:rsid w:val="50AB18F0"/>
    <w:rsid w:val="50AD7492"/>
    <w:rsid w:val="50AF4F2C"/>
    <w:rsid w:val="50B213CE"/>
    <w:rsid w:val="50B404AC"/>
    <w:rsid w:val="50B414C1"/>
    <w:rsid w:val="50BA00B4"/>
    <w:rsid w:val="50BB64D4"/>
    <w:rsid w:val="50C061EF"/>
    <w:rsid w:val="50C45049"/>
    <w:rsid w:val="50C60329"/>
    <w:rsid w:val="50CA0F81"/>
    <w:rsid w:val="50CB2DB2"/>
    <w:rsid w:val="50D650BC"/>
    <w:rsid w:val="50D86E74"/>
    <w:rsid w:val="50D86F9C"/>
    <w:rsid w:val="50DA5AD9"/>
    <w:rsid w:val="50DC7510"/>
    <w:rsid w:val="50E05920"/>
    <w:rsid w:val="50E36529"/>
    <w:rsid w:val="50E82A42"/>
    <w:rsid w:val="50EA1342"/>
    <w:rsid w:val="50F14F38"/>
    <w:rsid w:val="50F25F5F"/>
    <w:rsid w:val="50FA12B5"/>
    <w:rsid w:val="510734C7"/>
    <w:rsid w:val="51085492"/>
    <w:rsid w:val="510D0C3A"/>
    <w:rsid w:val="5110348C"/>
    <w:rsid w:val="51111154"/>
    <w:rsid w:val="511527F6"/>
    <w:rsid w:val="51160D84"/>
    <w:rsid w:val="511B4C13"/>
    <w:rsid w:val="511C52D2"/>
    <w:rsid w:val="511F4F59"/>
    <w:rsid w:val="51200A2D"/>
    <w:rsid w:val="51262CF9"/>
    <w:rsid w:val="512A7CE8"/>
    <w:rsid w:val="512E53BC"/>
    <w:rsid w:val="513B1E51"/>
    <w:rsid w:val="513F4335"/>
    <w:rsid w:val="5140317D"/>
    <w:rsid w:val="51426BF5"/>
    <w:rsid w:val="514402C5"/>
    <w:rsid w:val="51505F79"/>
    <w:rsid w:val="515363AD"/>
    <w:rsid w:val="51566671"/>
    <w:rsid w:val="5157796D"/>
    <w:rsid w:val="51593E6F"/>
    <w:rsid w:val="515945DA"/>
    <w:rsid w:val="515A656E"/>
    <w:rsid w:val="515E70FD"/>
    <w:rsid w:val="5161150F"/>
    <w:rsid w:val="5161523B"/>
    <w:rsid w:val="516A7EFA"/>
    <w:rsid w:val="516F2716"/>
    <w:rsid w:val="516F5E76"/>
    <w:rsid w:val="51742FF0"/>
    <w:rsid w:val="517B036B"/>
    <w:rsid w:val="518670D6"/>
    <w:rsid w:val="518A2634"/>
    <w:rsid w:val="518A7817"/>
    <w:rsid w:val="518C1C1F"/>
    <w:rsid w:val="5199563C"/>
    <w:rsid w:val="519A64A4"/>
    <w:rsid w:val="51A27600"/>
    <w:rsid w:val="51A65DF5"/>
    <w:rsid w:val="51A746C9"/>
    <w:rsid w:val="51AB38A3"/>
    <w:rsid w:val="51AB7BCF"/>
    <w:rsid w:val="51B57E04"/>
    <w:rsid w:val="51B6799E"/>
    <w:rsid w:val="51B86304"/>
    <w:rsid w:val="51BA6743"/>
    <w:rsid w:val="51C55131"/>
    <w:rsid w:val="51CC4530"/>
    <w:rsid w:val="51CC6F0B"/>
    <w:rsid w:val="51D23B6A"/>
    <w:rsid w:val="51D42184"/>
    <w:rsid w:val="51D92FDD"/>
    <w:rsid w:val="51E045FA"/>
    <w:rsid w:val="51E93749"/>
    <w:rsid w:val="51E93AEE"/>
    <w:rsid w:val="51F652FB"/>
    <w:rsid w:val="51FC7EC1"/>
    <w:rsid w:val="520029F0"/>
    <w:rsid w:val="5200380D"/>
    <w:rsid w:val="52096DEC"/>
    <w:rsid w:val="520A56A8"/>
    <w:rsid w:val="520C13AD"/>
    <w:rsid w:val="520E3C22"/>
    <w:rsid w:val="52113CCD"/>
    <w:rsid w:val="522600D8"/>
    <w:rsid w:val="522A67AC"/>
    <w:rsid w:val="52314E7D"/>
    <w:rsid w:val="52361755"/>
    <w:rsid w:val="523C588C"/>
    <w:rsid w:val="523D4DF3"/>
    <w:rsid w:val="523D5C1B"/>
    <w:rsid w:val="524A7E3E"/>
    <w:rsid w:val="524B7C72"/>
    <w:rsid w:val="52505342"/>
    <w:rsid w:val="52541382"/>
    <w:rsid w:val="52586E1C"/>
    <w:rsid w:val="52596D05"/>
    <w:rsid w:val="525C4F6A"/>
    <w:rsid w:val="525F66AE"/>
    <w:rsid w:val="526112FD"/>
    <w:rsid w:val="52613CD6"/>
    <w:rsid w:val="52623FC3"/>
    <w:rsid w:val="5265443D"/>
    <w:rsid w:val="526C02CA"/>
    <w:rsid w:val="52720BF9"/>
    <w:rsid w:val="52732C0B"/>
    <w:rsid w:val="5273485C"/>
    <w:rsid w:val="52771E1C"/>
    <w:rsid w:val="527731B6"/>
    <w:rsid w:val="5277467D"/>
    <w:rsid w:val="52780D76"/>
    <w:rsid w:val="5281560E"/>
    <w:rsid w:val="52831F41"/>
    <w:rsid w:val="52844DF2"/>
    <w:rsid w:val="52925F83"/>
    <w:rsid w:val="529A65BD"/>
    <w:rsid w:val="529E50B3"/>
    <w:rsid w:val="52AC5C4A"/>
    <w:rsid w:val="52B9455B"/>
    <w:rsid w:val="52C10D51"/>
    <w:rsid w:val="52C6512E"/>
    <w:rsid w:val="52D42C78"/>
    <w:rsid w:val="52D570E2"/>
    <w:rsid w:val="52DD3F14"/>
    <w:rsid w:val="52E02222"/>
    <w:rsid w:val="52E45D35"/>
    <w:rsid w:val="52E4753F"/>
    <w:rsid w:val="52E54CCA"/>
    <w:rsid w:val="52E7106C"/>
    <w:rsid w:val="52F32B14"/>
    <w:rsid w:val="52F537F4"/>
    <w:rsid w:val="52F60A01"/>
    <w:rsid w:val="53033D79"/>
    <w:rsid w:val="53034162"/>
    <w:rsid w:val="53052687"/>
    <w:rsid w:val="5317125D"/>
    <w:rsid w:val="5318552A"/>
    <w:rsid w:val="531B14AC"/>
    <w:rsid w:val="531B332C"/>
    <w:rsid w:val="531D551D"/>
    <w:rsid w:val="531E3DE3"/>
    <w:rsid w:val="53256715"/>
    <w:rsid w:val="53257CB7"/>
    <w:rsid w:val="53264BEF"/>
    <w:rsid w:val="532A16EF"/>
    <w:rsid w:val="532F6D06"/>
    <w:rsid w:val="533A0528"/>
    <w:rsid w:val="533A4B08"/>
    <w:rsid w:val="533C1349"/>
    <w:rsid w:val="533E53A8"/>
    <w:rsid w:val="53442F42"/>
    <w:rsid w:val="53461619"/>
    <w:rsid w:val="53466B1F"/>
    <w:rsid w:val="534D1653"/>
    <w:rsid w:val="5351533A"/>
    <w:rsid w:val="53582700"/>
    <w:rsid w:val="53626B0C"/>
    <w:rsid w:val="53640B20"/>
    <w:rsid w:val="53667B13"/>
    <w:rsid w:val="5371089E"/>
    <w:rsid w:val="53716B22"/>
    <w:rsid w:val="537312E8"/>
    <w:rsid w:val="537A7363"/>
    <w:rsid w:val="537E661C"/>
    <w:rsid w:val="538F7097"/>
    <w:rsid w:val="53914297"/>
    <w:rsid w:val="53952E53"/>
    <w:rsid w:val="539607E1"/>
    <w:rsid w:val="53975773"/>
    <w:rsid w:val="53B10C27"/>
    <w:rsid w:val="53B965B7"/>
    <w:rsid w:val="53BA6146"/>
    <w:rsid w:val="53BA66BC"/>
    <w:rsid w:val="53C9703F"/>
    <w:rsid w:val="53C97710"/>
    <w:rsid w:val="53D94152"/>
    <w:rsid w:val="53D95409"/>
    <w:rsid w:val="53DF5F6C"/>
    <w:rsid w:val="53E13D0F"/>
    <w:rsid w:val="53E84E1B"/>
    <w:rsid w:val="53ED722A"/>
    <w:rsid w:val="53EE096F"/>
    <w:rsid w:val="53F015B4"/>
    <w:rsid w:val="53F25F72"/>
    <w:rsid w:val="53F35659"/>
    <w:rsid w:val="53F646E2"/>
    <w:rsid w:val="53FD5056"/>
    <w:rsid w:val="54042861"/>
    <w:rsid w:val="540463E4"/>
    <w:rsid w:val="540D3098"/>
    <w:rsid w:val="541505F1"/>
    <w:rsid w:val="54155C32"/>
    <w:rsid w:val="54175832"/>
    <w:rsid w:val="541859EC"/>
    <w:rsid w:val="541A310E"/>
    <w:rsid w:val="541B15B6"/>
    <w:rsid w:val="54216182"/>
    <w:rsid w:val="54224ABC"/>
    <w:rsid w:val="542258CB"/>
    <w:rsid w:val="5422686A"/>
    <w:rsid w:val="5437467A"/>
    <w:rsid w:val="54392A94"/>
    <w:rsid w:val="543D36A4"/>
    <w:rsid w:val="543E05DD"/>
    <w:rsid w:val="544113E6"/>
    <w:rsid w:val="54442272"/>
    <w:rsid w:val="54485B16"/>
    <w:rsid w:val="54520E62"/>
    <w:rsid w:val="54577DDA"/>
    <w:rsid w:val="54591580"/>
    <w:rsid w:val="545937E4"/>
    <w:rsid w:val="54613F17"/>
    <w:rsid w:val="54617393"/>
    <w:rsid w:val="54624EF6"/>
    <w:rsid w:val="54646E83"/>
    <w:rsid w:val="546654E7"/>
    <w:rsid w:val="546A2608"/>
    <w:rsid w:val="546B0211"/>
    <w:rsid w:val="5479526F"/>
    <w:rsid w:val="54802A0E"/>
    <w:rsid w:val="5481307E"/>
    <w:rsid w:val="548254AD"/>
    <w:rsid w:val="548428A7"/>
    <w:rsid w:val="548A2B09"/>
    <w:rsid w:val="548B2716"/>
    <w:rsid w:val="548B70B6"/>
    <w:rsid w:val="54982D60"/>
    <w:rsid w:val="54985F14"/>
    <w:rsid w:val="54A7604A"/>
    <w:rsid w:val="54A7675F"/>
    <w:rsid w:val="54AA0877"/>
    <w:rsid w:val="54B0411C"/>
    <w:rsid w:val="54B30B99"/>
    <w:rsid w:val="54B57261"/>
    <w:rsid w:val="54C120D0"/>
    <w:rsid w:val="54C5048D"/>
    <w:rsid w:val="54CC5781"/>
    <w:rsid w:val="54CF40AD"/>
    <w:rsid w:val="54D856FD"/>
    <w:rsid w:val="54D96D20"/>
    <w:rsid w:val="54DC7C7E"/>
    <w:rsid w:val="54E348AB"/>
    <w:rsid w:val="54E433E7"/>
    <w:rsid w:val="54EA7388"/>
    <w:rsid w:val="54EC17C0"/>
    <w:rsid w:val="54EF2F18"/>
    <w:rsid w:val="54EF5BA8"/>
    <w:rsid w:val="54F01344"/>
    <w:rsid w:val="54F41901"/>
    <w:rsid w:val="54F762FF"/>
    <w:rsid w:val="54F76BAE"/>
    <w:rsid w:val="54FD2274"/>
    <w:rsid w:val="54FE2064"/>
    <w:rsid w:val="55001699"/>
    <w:rsid w:val="550146D2"/>
    <w:rsid w:val="55124B31"/>
    <w:rsid w:val="55125282"/>
    <w:rsid w:val="55156D12"/>
    <w:rsid w:val="55160698"/>
    <w:rsid w:val="551C646D"/>
    <w:rsid w:val="55256612"/>
    <w:rsid w:val="552C7DB4"/>
    <w:rsid w:val="552E7643"/>
    <w:rsid w:val="553305D4"/>
    <w:rsid w:val="553426F7"/>
    <w:rsid w:val="553524E9"/>
    <w:rsid w:val="55356EA1"/>
    <w:rsid w:val="5541273A"/>
    <w:rsid w:val="55427E39"/>
    <w:rsid w:val="55470F5C"/>
    <w:rsid w:val="554D16C3"/>
    <w:rsid w:val="5559633B"/>
    <w:rsid w:val="555B4C57"/>
    <w:rsid w:val="555D2250"/>
    <w:rsid w:val="5560764A"/>
    <w:rsid w:val="5574034D"/>
    <w:rsid w:val="5577389C"/>
    <w:rsid w:val="557F36A9"/>
    <w:rsid w:val="55805F3E"/>
    <w:rsid w:val="5581164B"/>
    <w:rsid w:val="55817059"/>
    <w:rsid w:val="55820C36"/>
    <w:rsid w:val="55834DC3"/>
    <w:rsid w:val="5584764B"/>
    <w:rsid w:val="55861C7C"/>
    <w:rsid w:val="55912F66"/>
    <w:rsid w:val="55983288"/>
    <w:rsid w:val="559D4E5A"/>
    <w:rsid w:val="559F2ADE"/>
    <w:rsid w:val="559F7D5D"/>
    <w:rsid w:val="55A579AB"/>
    <w:rsid w:val="55B31E70"/>
    <w:rsid w:val="55BE3590"/>
    <w:rsid w:val="55C161C1"/>
    <w:rsid w:val="55C37A3D"/>
    <w:rsid w:val="55C96E25"/>
    <w:rsid w:val="55CB5E7B"/>
    <w:rsid w:val="55E34E5F"/>
    <w:rsid w:val="55E40E8A"/>
    <w:rsid w:val="55E475A7"/>
    <w:rsid w:val="55E53938"/>
    <w:rsid w:val="55E93AE3"/>
    <w:rsid w:val="55EA0DC4"/>
    <w:rsid w:val="55EB0E02"/>
    <w:rsid w:val="55F825F2"/>
    <w:rsid w:val="55F90990"/>
    <w:rsid w:val="55FA69A5"/>
    <w:rsid w:val="55FF4B9F"/>
    <w:rsid w:val="55FF5CE0"/>
    <w:rsid w:val="56025C18"/>
    <w:rsid w:val="56091A90"/>
    <w:rsid w:val="56096F3F"/>
    <w:rsid w:val="56122979"/>
    <w:rsid w:val="5613290E"/>
    <w:rsid w:val="561E350D"/>
    <w:rsid w:val="56210514"/>
    <w:rsid w:val="56252583"/>
    <w:rsid w:val="56254392"/>
    <w:rsid w:val="5625767E"/>
    <w:rsid w:val="563112FA"/>
    <w:rsid w:val="56327787"/>
    <w:rsid w:val="56355A32"/>
    <w:rsid w:val="56373C27"/>
    <w:rsid w:val="56392392"/>
    <w:rsid w:val="563E235D"/>
    <w:rsid w:val="563F226F"/>
    <w:rsid w:val="56505C46"/>
    <w:rsid w:val="56576543"/>
    <w:rsid w:val="56594AC4"/>
    <w:rsid w:val="565A5B32"/>
    <w:rsid w:val="565C201F"/>
    <w:rsid w:val="565E45DE"/>
    <w:rsid w:val="56682C5A"/>
    <w:rsid w:val="566A2F21"/>
    <w:rsid w:val="566C081E"/>
    <w:rsid w:val="566D0CE3"/>
    <w:rsid w:val="56794E67"/>
    <w:rsid w:val="567B7F1F"/>
    <w:rsid w:val="567F71CE"/>
    <w:rsid w:val="568B3B27"/>
    <w:rsid w:val="56921A85"/>
    <w:rsid w:val="56952F9B"/>
    <w:rsid w:val="56956887"/>
    <w:rsid w:val="569A45DF"/>
    <w:rsid w:val="569E4083"/>
    <w:rsid w:val="569F3E99"/>
    <w:rsid w:val="56A03D4E"/>
    <w:rsid w:val="56A17F1A"/>
    <w:rsid w:val="56A6046F"/>
    <w:rsid w:val="56AD4474"/>
    <w:rsid w:val="56AD4B11"/>
    <w:rsid w:val="56AD5734"/>
    <w:rsid w:val="56AD72AB"/>
    <w:rsid w:val="56AE286A"/>
    <w:rsid w:val="56AF28A0"/>
    <w:rsid w:val="56B50AE4"/>
    <w:rsid w:val="56BB5272"/>
    <w:rsid w:val="56BD0981"/>
    <w:rsid w:val="56BE5ABA"/>
    <w:rsid w:val="56C44B23"/>
    <w:rsid w:val="56C55419"/>
    <w:rsid w:val="56C648E9"/>
    <w:rsid w:val="56CA713C"/>
    <w:rsid w:val="56D35468"/>
    <w:rsid w:val="56D613A8"/>
    <w:rsid w:val="56DF14D7"/>
    <w:rsid w:val="56E13BB2"/>
    <w:rsid w:val="56E17656"/>
    <w:rsid w:val="56F315ED"/>
    <w:rsid w:val="56F7435F"/>
    <w:rsid w:val="56F75051"/>
    <w:rsid w:val="56FB473F"/>
    <w:rsid w:val="56FC0479"/>
    <w:rsid w:val="57004D88"/>
    <w:rsid w:val="57031702"/>
    <w:rsid w:val="570A089A"/>
    <w:rsid w:val="570A7387"/>
    <w:rsid w:val="571115F6"/>
    <w:rsid w:val="57120E18"/>
    <w:rsid w:val="571957A0"/>
    <w:rsid w:val="57201795"/>
    <w:rsid w:val="572104A9"/>
    <w:rsid w:val="57235AE8"/>
    <w:rsid w:val="5726041F"/>
    <w:rsid w:val="57295295"/>
    <w:rsid w:val="572A12D9"/>
    <w:rsid w:val="573066C0"/>
    <w:rsid w:val="57353DF9"/>
    <w:rsid w:val="573D4778"/>
    <w:rsid w:val="573E39BB"/>
    <w:rsid w:val="573F66BB"/>
    <w:rsid w:val="57476390"/>
    <w:rsid w:val="574D09F7"/>
    <w:rsid w:val="574D51D7"/>
    <w:rsid w:val="57545446"/>
    <w:rsid w:val="57562A5A"/>
    <w:rsid w:val="57595CC3"/>
    <w:rsid w:val="57603931"/>
    <w:rsid w:val="576B406E"/>
    <w:rsid w:val="57706B2E"/>
    <w:rsid w:val="57774D9D"/>
    <w:rsid w:val="577F533D"/>
    <w:rsid w:val="577F6FDF"/>
    <w:rsid w:val="5781428E"/>
    <w:rsid w:val="57833109"/>
    <w:rsid w:val="57861C50"/>
    <w:rsid w:val="578735B4"/>
    <w:rsid w:val="579317E8"/>
    <w:rsid w:val="579932E7"/>
    <w:rsid w:val="579F612F"/>
    <w:rsid w:val="57A4240B"/>
    <w:rsid w:val="57A43C97"/>
    <w:rsid w:val="57AC603B"/>
    <w:rsid w:val="57AD4520"/>
    <w:rsid w:val="57AD5B66"/>
    <w:rsid w:val="57BF4B68"/>
    <w:rsid w:val="57C43F8B"/>
    <w:rsid w:val="57CC35A4"/>
    <w:rsid w:val="57CC65FF"/>
    <w:rsid w:val="57DF678D"/>
    <w:rsid w:val="57E6008B"/>
    <w:rsid w:val="57EA36C0"/>
    <w:rsid w:val="57EA3E26"/>
    <w:rsid w:val="57EB652E"/>
    <w:rsid w:val="57F25D82"/>
    <w:rsid w:val="57F34514"/>
    <w:rsid w:val="57F8380F"/>
    <w:rsid w:val="57FF139C"/>
    <w:rsid w:val="58000470"/>
    <w:rsid w:val="580040C2"/>
    <w:rsid w:val="580441CA"/>
    <w:rsid w:val="580959C9"/>
    <w:rsid w:val="580A2EF6"/>
    <w:rsid w:val="580A3D1F"/>
    <w:rsid w:val="58105864"/>
    <w:rsid w:val="5813308A"/>
    <w:rsid w:val="58150BC0"/>
    <w:rsid w:val="58156A61"/>
    <w:rsid w:val="581B1F4E"/>
    <w:rsid w:val="581E531D"/>
    <w:rsid w:val="58222864"/>
    <w:rsid w:val="58224033"/>
    <w:rsid w:val="58240E03"/>
    <w:rsid w:val="583F1A2E"/>
    <w:rsid w:val="5846521D"/>
    <w:rsid w:val="584777FD"/>
    <w:rsid w:val="58494A0D"/>
    <w:rsid w:val="584D0596"/>
    <w:rsid w:val="584F4BF1"/>
    <w:rsid w:val="5853793A"/>
    <w:rsid w:val="58560F88"/>
    <w:rsid w:val="585B35D0"/>
    <w:rsid w:val="585D40C1"/>
    <w:rsid w:val="585E0801"/>
    <w:rsid w:val="58655033"/>
    <w:rsid w:val="58673778"/>
    <w:rsid w:val="586D09FC"/>
    <w:rsid w:val="5870229A"/>
    <w:rsid w:val="58705326"/>
    <w:rsid w:val="58707EFD"/>
    <w:rsid w:val="587651AC"/>
    <w:rsid w:val="5878114F"/>
    <w:rsid w:val="587F24DD"/>
    <w:rsid w:val="5881275B"/>
    <w:rsid w:val="588150D5"/>
    <w:rsid w:val="5882090E"/>
    <w:rsid w:val="58827DAF"/>
    <w:rsid w:val="588626B2"/>
    <w:rsid w:val="588703E0"/>
    <w:rsid w:val="588748F7"/>
    <w:rsid w:val="58881CA7"/>
    <w:rsid w:val="5889613F"/>
    <w:rsid w:val="58900185"/>
    <w:rsid w:val="589203D0"/>
    <w:rsid w:val="5893127C"/>
    <w:rsid w:val="58946BF8"/>
    <w:rsid w:val="58966BE5"/>
    <w:rsid w:val="589924EA"/>
    <w:rsid w:val="589A5BB1"/>
    <w:rsid w:val="58A3441E"/>
    <w:rsid w:val="58A46C66"/>
    <w:rsid w:val="58A62685"/>
    <w:rsid w:val="58B633A9"/>
    <w:rsid w:val="58B71E24"/>
    <w:rsid w:val="58B73BCB"/>
    <w:rsid w:val="58BA51F8"/>
    <w:rsid w:val="58C35A71"/>
    <w:rsid w:val="58CF252E"/>
    <w:rsid w:val="58D128C8"/>
    <w:rsid w:val="58D425E1"/>
    <w:rsid w:val="58D50923"/>
    <w:rsid w:val="58DB7E59"/>
    <w:rsid w:val="58E21857"/>
    <w:rsid w:val="58E71CFD"/>
    <w:rsid w:val="58E80082"/>
    <w:rsid w:val="58ED5699"/>
    <w:rsid w:val="58F16973"/>
    <w:rsid w:val="59001004"/>
    <w:rsid w:val="5902026F"/>
    <w:rsid w:val="590915DA"/>
    <w:rsid w:val="590B14CD"/>
    <w:rsid w:val="591010F2"/>
    <w:rsid w:val="591B6A84"/>
    <w:rsid w:val="591C5F7E"/>
    <w:rsid w:val="5938149A"/>
    <w:rsid w:val="59395182"/>
    <w:rsid w:val="59435C10"/>
    <w:rsid w:val="5944063D"/>
    <w:rsid w:val="59504344"/>
    <w:rsid w:val="59520B33"/>
    <w:rsid w:val="59570D64"/>
    <w:rsid w:val="59624059"/>
    <w:rsid w:val="5966411C"/>
    <w:rsid w:val="596646CD"/>
    <w:rsid w:val="596815C0"/>
    <w:rsid w:val="596C6F71"/>
    <w:rsid w:val="59701FF1"/>
    <w:rsid w:val="59712DCA"/>
    <w:rsid w:val="597148FB"/>
    <w:rsid w:val="59727992"/>
    <w:rsid w:val="59745273"/>
    <w:rsid w:val="5976438D"/>
    <w:rsid w:val="59785DA8"/>
    <w:rsid w:val="597B5BF3"/>
    <w:rsid w:val="597D27A7"/>
    <w:rsid w:val="597E2E4F"/>
    <w:rsid w:val="5981056A"/>
    <w:rsid w:val="598D6A55"/>
    <w:rsid w:val="59904264"/>
    <w:rsid w:val="59964628"/>
    <w:rsid w:val="599A70E4"/>
    <w:rsid w:val="599C0826"/>
    <w:rsid w:val="59A4179F"/>
    <w:rsid w:val="59A913B1"/>
    <w:rsid w:val="59B076E8"/>
    <w:rsid w:val="59B8401E"/>
    <w:rsid w:val="59C06909"/>
    <w:rsid w:val="59C822C5"/>
    <w:rsid w:val="59CB681D"/>
    <w:rsid w:val="59CE2795"/>
    <w:rsid w:val="59CE44A5"/>
    <w:rsid w:val="59D5451F"/>
    <w:rsid w:val="59D711A0"/>
    <w:rsid w:val="59D914E4"/>
    <w:rsid w:val="59D95B1E"/>
    <w:rsid w:val="59DB41B6"/>
    <w:rsid w:val="59ED6801"/>
    <w:rsid w:val="59EE0C8C"/>
    <w:rsid w:val="59F47B53"/>
    <w:rsid w:val="59F83CE3"/>
    <w:rsid w:val="59F907EB"/>
    <w:rsid w:val="59F914E4"/>
    <w:rsid w:val="59FC36CE"/>
    <w:rsid w:val="5A025174"/>
    <w:rsid w:val="5A026063"/>
    <w:rsid w:val="5A034707"/>
    <w:rsid w:val="5A065CDE"/>
    <w:rsid w:val="5A096A5E"/>
    <w:rsid w:val="5A0C69CB"/>
    <w:rsid w:val="5A0E3E92"/>
    <w:rsid w:val="5A102F20"/>
    <w:rsid w:val="5A1A070F"/>
    <w:rsid w:val="5A1C2398"/>
    <w:rsid w:val="5A1D059F"/>
    <w:rsid w:val="5A2A4069"/>
    <w:rsid w:val="5A3115B5"/>
    <w:rsid w:val="5A346C89"/>
    <w:rsid w:val="5A3A1C71"/>
    <w:rsid w:val="5A3B3219"/>
    <w:rsid w:val="5A3B683E"/>
    <w:rsid w:val="5A3E3CD2"/>
    <w:rsid w:val="5A444CFD"/>
    <w:rsid w:val="5A4A6167"/>
    <w:rsid w:val="5A4C66BA"/>
    <w:rsid w:val="5A4F5B4D"/>
    <w:rsid w:val="5A537929"/>
    <w:rsid w:val="5A541944"/>
    <w:rsid w:val="5A5608F3"/>
    <w:rsid w:val="5A596455"/>
    <w:rsid w:val="5A5A5B18"/>
    <w:rsid w:val="5A5E1E64"/>
    <w:rsid w:val="5A604A46"/>
    <w:rsid w:val="5A61633E"/>
    <w:rsid w:val="5A640B0E"/>
    <w:rsid w:val="5A687DD5"/>
    <w:rsid w:val="5A6965A5"/>
    <w:rsid w:val="5A6F26D5"/>
    <w:rsid w:val="5A706581"/>
    <w:rsid w:val="5A715E56"/>
    <w:rsid w:val="5A776736"/>
    <w:rsid w:val="5A7B6CD4"/>
    <w:rsid w:val="5A7D0C9E"/>
    <w:rsid w:val="5A866076"/>
    <w:rsid w:val="5A8B2407"/>
    <w:rsid w:val="5A8C09CF"/>
    <w:rsid w:val="5A9A3EC7"/>
    <w:rsid w:val="5A9E0DF8"/>
    <w:rsid w:val="5AA0340F"/>
    <w:rsid w:val="5AA77AAC"/>
    <w:rsid w:val="5AB31D0A"/>
    <w:rsid w:val="5AB710F8"/>
    <w:rsid w:val="5ABF61D6"/>
    <w:rsid w:val="5AC762F1"/>
    <w:rsid w:val="5ACA76A6"/>
    <w:rsid w:val="5ACE5056"/>
    <w:rsid w:val="5AD1331A"/>
    <w:rsid w:val="5AD14067"/>
    <w:rsid w:val="5AD62DF7"/>
    <w:rsid w:val="5ADC32EB"/>
    <w:rsid w:val="5AE168E5"/>
    <w:rsid w:val="5AEA1E6B"/>
    <w:rsid w:val="5AF61216"/>
    <w:rsid w:val="5AF745AD"/>
    <w:rsid w:val="5AF7587D"/>
    <w:rsid w:val="5AF820D3"/>
    <w:rsid w:val="5AFA270F"/>
    <w:rsid w:val="5AFE1277"/>
    <w:rsid w:val="5B026C8B"/>
    <w:rsid w:val="5B0417C2"/>
    <w:rsid w:val="5B051D92"/>
    <w:rsid w:val="5B073095"/>
    <w:rsid w:val="5B0B1E06"/>
    <w:rsid w:val="5B150CF9"/>
    <w:rsid w:val="5B15254E"/>
    <w:rsid w:val="5B1976CE"/>
    <w:rsid w:val="5B1F1DFE"/>
    <w:rsid w:val="5B29068F"/>
    <w:rsid w:val="5B3255E5"/>
    <w:rsid w:val="5B3C5693"/>
    <w:rsid w:val="5B3E6EE9"/>
    <w:rsid w:val="5B433C96"/>
    <w:rsid w:val="5B513A98"/>
    <w:rsid w:val="5B515C88"/>
    <w:rsid w:val="5B5633E6"/>
    <w:rsid w:val="5B573318"/>
    <w:rsid w:val="5B583ACA"/>
    <w:rsid w:val="5B5C0DF0"/>
    <w:rsid w:val="5B5E0630"/>
    <w:rsid w:val="5B5F503A"/>
    <w:rsid w:val="5B6D74DA"/>
    <w:rsid w:val="5B706967"/>
    <w:rsid w:val="5B723C39"/>
    <w:rsid w:val="5B735539"/>
    <w:rsid w:val="5B7420A1"/>
    <w:rsid w:val="5B784FB1"/>
    <w:rsid w:val="5B7934F9"/>
    <w:rsid w:val="5B8114E5"/>
    <w:rsid w:val="5B8449BF"/>
    <w:rsid w:val="5B865931"/>
    <w:rsid w:val="5B886318"/>
    <w:rsid w:val="5B896C23"/>
    <w:rsid w:val="5B8D57A4"/>
    <w:rsid w:val="5B953DC6"/>
    <w:rsid w:val="5B9639F8"/>
    <w:rsid w:val="5B9D4B14"/>
    <w:rsid w:val="5BA20C45"/>
    <w:rsid w:val="5BA257EC"/>
    <w:rsid w:val="5BA6536C"/>
    <w:rsid w:val="5BA9470C"/>
    <w:rsid w:val="5BAA45A0"/>
    <w:rsid w:val="5BB00572"/>
    <w:rsid w:val="5BB25227"/>
    <w:rsid w:val="5BB57D85"/>
    <w:rsid w:val="5BBE5883"/>
    <w:rsid w:val="5BC038CD"/>
    <w:rsid w:val="5BC07D94"/>
    <w:rsid w:val="5BC61EB4"/>
    <w:rsid w:val="5BC7714B"/>
    <w:rsid w:val="5BE02924"/>
    <w:rsid w:val="5BE346F7"/>
    <w:rsid w:val="5BE40E7D"/>
    <w:rsid w:val="5BE80399"/>
    <w:rsid w:val="5BEF629D"/>
    <w:rsid w:val="5BF16E18"/>
    <w:rsid w:val="5BF40968"/>
    <w:rsid w:val="5BF42A44"/>
    <w:rsid w:val="5BF456A7"/>
    <w:rsid w:val="5BFF079B"/>
    <w:rsid w:val="5C016541"/>
    <w:rsid w:val="5C040663"/>
    <w:rsid w:val="5C070A6F"/>
    <w:rsid w:val="5C082C42"/>
    <w:rsid w:val="5C093617"/>
    <w:rsid w:val="5C102EEA"/>
    <w:rsid w:val="5C146454"/>
    <w:rsid w:val="5C163A67"/>
    <w:rsid w:val="5C1D6784"/>
    <w:rsid w:val="5C1E24BE"/>
    <w:rsid w:val="5C2B35AB"/>
    <w:rsid w:val="5C2E7662"/>
    <w:rsid w:val="5C313AEE"/>
    <w:rsid w:val="5C334313"/>
    <w:rsid w:val="5C367357"/>
    <w:rsid w:val="5C3972AC"/>
    <w:rsid w:val="5C3D2F32"/>
    <w:rsid w:val="5C3E43DA"/>
    <w:rsid w:val="5C412E25"/>
    <w:rsid w:val="5C433F2D"/>
    <w:rsid w:val="5C486ADF"/>
    <w:rsid w:val="5C52446F"/>
    <w:rsid w:val="5C594413"/>
    <w:rsid w:val="5C5C6D78"/>
    <w:rsid w:val="5C5D3243"/>
    <w:rsid w:val="5C620224"/>
    <w:rsid w:val="5C644A30"/>
    <w:rsid w:val="5C6A0DAE"/>
    <w:rsid w:val="5C6E303D"/>
    <w:rsid w:val="5C7E51EF"/>
    <w:rsid w:val="5C7F2D1E"/>
    <w:rsid w:val="5C804F76"/>
    <w:rsid w:val="5C844087"/>
    <w:rsid w:val="5C866161"/>
    <w:rsid w:val="5C900568"/>
    <w:rsid w:val="5C930305"/>
    <w:rsid w:val="5C9522CF"/>
    <w:rsid w:val="5C976F40"/>
    <w:rsid w:val="5C981B6F"/>
    <w:rsid w:val="5C987B0F"/>
    <w:rsid w:val="5C9F7FFA"/>
    <w:rsid w:val="5CA057CB"/>
    <w:rsid w:val="5CA46B88"/>
    <w:rsid w:val="5CB1239F"/>
    <w:rsid w:val="5CBB0910"/>
    <w:rsid w:val="5CC55F62"/>
    <w:rsid w:val="5CCB5E32"/>
    <w:rsid w:val="5CCB5FE3"/>
    <w:rsid w:val="5CD16737"/>
    <w:rsid w:val="5CD54DC2"/>
    <w:rsid w:val="5CD97003"/>
    <w:rsid w:val="5CDE65BD"/>
    <w:rsid w:val="5CE45520"/>
    <w:rsid w:val="5CE77658"/>
    <w:rsid w:val="5CEA3BD2"/>
    <w:rsid w:val="5CFB713E"/>
    <w:rsid w:val="5CFC65D3"/>
    <w:rsid w:val="5CFE7C43"/>
    <w:rsid w:val="5D0163F1"/>
    <w:rsid w:val="5D054615"/>
    <w:rsid w:val="5D07069B"/>
    <w:rsid w:val="5D086F45"/>
    <w:rsid w:val="5D095553"/>
    <w:rsid w:val="5D0B51AD"/>
    <w:rsid w:val="5D0D115F"/>
    <w:rsid w:val="5D1B4CE4"/>
    <w:rsid w:val="5D1C176A"/>
    <w:rsid w:val="5D1C4595"/>
    <w:rsid w:val="5D1E5492"/>
    <w:rsid w:val="5D20412B"/>
    <w:rsid w:val="5D292A17"/>
    <w:rsid w:val="5D2D6CA6"/>
    <w:rsid w:val="5D327002"/>
    <w:rsid w:val="5D3B6F2A"/>
    <w:rsid w:val="5D427BAB"/>
    <w:rsid w:val="5D46181B"/>
    <w:rsid w:val="5D4724B9"/>
    <w:rsid w:val="5D490EBB"/>
    <w:rsid w:val="5D4930BA"/>
    <w:rsid w:val="5D5A4787"/>
    <w:rsid w:val="5D5B54A7"/>
    <w:rsid w:val="5D5B6592"/>
    <w:rsid w:val="5D5C0005"/>
    <w:rsid w:val="5D617C60"/>
    <w:rsid w:val="5D647465"/>
    <w:rsid w:val="5D654B38"/>
    <w:rsid w:val="5D691457"/>
    <w:rsid w:val="5D6A1052"/>
    <w:rsid w:val="5D6C2870"/>
    <w:rsid w:val="5D7001A4"/>
    <w:rsid w:val="5D7516E2"/>
    <w:rsid w:val="5D76018A"/>
    <w:rsid w:val="5D787CE3"/>
    <w:rsid w:val="5D7933EF"/>
    <w:rsid w:val="5D79412E"/>
    <w:rsid w:val="5D7E0FB5"/>
    <w:rsid w:val="5D8511E1"/>
    <w:rsid w:val="5D856610"/>
    <w:rsid w:val="5D8A6F80"/>
    <w:rsid w:val="5D8D6B95"/>
    <w:rsid w:val="5D8E2262"/>
    <w:rsid w:val="5D9420F8"/>
    <w:rsid w:val="5D962BBC"/>
    <w:rsid w:val="5D973099"/>
    <w:rsid w:val="5DAA4A5C"/>
    <w:rsid w:val="5DAE4A39"/>
    <w:rsid w:val="5DAF3AB8"/>
    <w:rsid w:val="5DB47C23"/>
    <w:rsid w:val="5DB47EE1"/>
    <w:rsid w:val="5DB9023F"/>
    <w:rsid w:val="5DC12D10"/>
    <w:rsid w:val="5DC509ED"/>
    <w:rsid w:val="5DC7392C"/>
    <w:rsid w:val="5DC95AD4"/>
    <w:rsid w:val="5DD71F55"/>
    <w:rsid w:val="5DD76917"/>
    <w:rsid w:val="5DD85DC5"/>
    <w:rsid w:val="5DE30E18"/>
    <w:rsid w:val="5DE43210"/>
    <w:rsid w:val="5DE5254C"/>
    <w:rsid w:val="5DE54F94"/>
    <w:rsid w:val="5DE778DB"/>
    <w:rsid w:val="5DE86327"/>
    <w:rsid w:val="5DF10AEF"/>
    <w:rsid w:val="5DF23751"/>
    <w:rsid w:val="5DF80B99"/>
    <w:rsid w:val="5E0330DD"/>
    <w:rsid w:val="5E044605"/>
    <w:rsid w:val="5E1804D5"/>
    <w:rsid w:val="5E18467C"/>
    <w:rsid w:val="5E1B711D"/>
    <w:rsid w:val="5E207A91"/>
    <w:rsid w:val="5E262CB3"/>
    <w:rsid w:val="5E277C09"/>
    <w:rsid w:val="5E281102"/>
    <w:rsid w:val="5E2A166D"/>
    <w:rsid w:val="5E386014"/>
    <w:rsid w:val="5E3C313B"/>
    <w:rsid w:val="5E405ABB"/>
    <w:rsid w:val="5E410664"/>
    <w:rsid w:val="5E435D5B"/>
    <w:rsid w:val="5E486581"/>
    <w:rsid w:val="5E493581"/>
    <w:rsid w:val="5E4F1AC9"/>
    <w:rsid w:val="5E4F64AE"/>
    <w:rsid w:val="5E56281B"/>
    <w:rsid w:val="5E595086"/>
    <w:rsid w:val="5E597429"/>
    <w:rsid w:val="5E5E4A9C"/>
    <w:rsid w:val="5E6309CB"/>
    <w:rsid w:val="5E6963A1"/>
    <w:rsid w:val="5E6C3131"/>
    <w:rsid w:val="5E745516"/>
    <w:rsid w:val="5E7457CA"/>
    <w:rsid w:val="5E7559F9"/>
    <w:rsid w:val="5E783498"/>
    <w:rsid w:val="5E79647D"/>
    <w:rsid w:val="5E7A2B73"/>
    <w:rsid w:val="5E7D7636"/>
    <w:rsid w:val="5E7E57CD"/>
    <w:rsid w:val="5E8614A9"/>
    <w:rsid w:val="5E8752C3"/>
    <w:rsid w:val="5E8E6FD6"/>
    <w:rsid w:val="5E937783"/>
    <w:rsid w:val="5E9B1A40"/>
    <w:rsid w:val="5E9D011A"/>
    <w:rsid w:val="5E9D32BB"/>
    <w:rsid w:val="5EAC61E7"/>
    <w:rsid w:val="5EAD3458"/>
    <w:rsid w:val="5EAD45AC"/>
    <w:rsid w:val="5EAE55B8"/>
    <w:rsid w:val="5EB44459"/>
    <w:rsid w:val="5EB629D1"/>
    <w:rsid w:val="5EB82BFD"/>
    <w:rsid w:val="5EBD3A80"/>
    <w:rsid w:val="5EC03708"/>
    <w:rsid w:val="5EC9107F"/>
    <w:rsid w:val="5ECB5E31"/>
    <w:rsid w:val="5ECC74E1"/>
    <w:rsid w:val="5ECD3F84"/>
    <w:rsid w:val="5ED35331"/>
    <w:rsid w:val="5ED53EE5"/>
    <w:rsid w:val="5ED83D93"/>
    <w:rsid w:val="5EDC149C"/>
    <w:rsid w:val="5EE0394E"/>
    <w:rsid w:val="5EE06B06"/>
    <w:rsid w:val="5EE321FC"/>
    <w:rsid w:val="5EE90C49"/>
    <w:rsid w:val="5EED00D0"/>
    <w:rsid w:val="5EF70F21"/>
    <w:rsid w:val="5EF81904"/>
    <w:rsid w:val="5EFC1D29"/>
    <w:rsid w:val="5EFE3356"/>
    <w:rsid w:val="5F0439DA"/>
    <w:rsid w:val="5F0C15E3"/>
    <w:rsid w:val="5F0E2F20"/>
    <w:rsid w:val="5F125E59"/>
    <w:rsid w:val="5F141E41"/>
    <w:rsid w:val="5F150EF2"/>
    <w:rsid w:val="5F1716FC"/>
    <w:rsid w:val="5F192375"/>
    <w:rsid w:val="5F197FA0"/>
    <w:rsid w:val="5F1D68AB"/>
    <w:rsid w:val="5F25254D"/>
    <w:rsid w:val="5F2D2C93"/>
    <w:rsid w:val="5F2F55D5"/>
    <w:rsid w:val="5F2F6E79"/>
    <w:rsid w:val="5F30051C"/>
    <w:rsid w:val="5F3A644C"/>
    <w:rsid w:val="5F3C6E79"/>
    <w:rsid w:val="5F3D27AA"/>
    <w:rsid w:val="5F3F6CC4"/>
    <w:rsid w:val="5F4312C1"/>
    <w:rsid w:val="5F442DD2"/>
    <w:rsid w:val="5F497094"/>
    <w:rsid w:val="5F4F3972"/>
    <w:rsid w:val="5F50371B"/>
    <w:rsid w:val="5F535959"/>
    <w:rsid w:val="5F640166"/>
    <w:rsid w:val="5F656483"/>
    <w:rsid w:val="5F693D64"/>
    <w:rsid w:val="5F7046B5"/>
    <w:rsid w:val="5F752E69"/>
    <w:rsid w:val="5F7D335E"/>
    <w:rsid w:val="5F7E1843"/>
    <w:rsid w:val="5F805915"/>
    <w:rsid w:val="5F832BE3"/>
    <w:rsid w:val="5F8403D9"/>
    <w:rsid w:val="5F8671DF"/>
    <w:rsid w:val="5F874069"/>
    <w:rsid w:val="5F8908E8"/>
    <w:rsid w:val="5F893499"/>
    <w:rsid w:val="5F893FE2"/>
    <w:rsid w:val="5F945523"/>
    <w:rsid w:val="5F9958C6"/>
    <w:rsid w:val="5F9A4F61"/>
    <w:rsid w:val="5FA021DF"/>
    <w:rsid w:val="5FA6465C"/>
    <w:rsid w:val="5FAD2170"/>
    <w:rsid w:val="5FB301BE"/>
    <w:rsid w:val="5FB95458"/>
    <w:rsid w:val="5FC62F24"/>
    <w:rsid w:val="5FD50C35"/>
    <w:rsid w:val="5FD6518C"/>
    <w:rsid w:val="5FD70DD8"/>
    <w:rsid w:val="5FD744C9"/>
    <w:rsid w:val="5FDE1FC7"/>
    <w:rsid w:val="5FF40209"/>
    <w:rsid w:val="5FF50BE3"/>
    <w:rsid w:val="5FF520B5"/>
    <w:rsid w:val="5FFA0CA0"/>
    <w:rsid w:val="5FFC233A"/>
    <w:rsid w:val="5FFE12FA"/>
    <w:rsid w:val="60003E70"/>
    <w:rsid w:val="60015A68"/>
    <w:rsid w:val="600546D1"/>
    <w:rsid w:val="60114C79"/>
    <w:rsid w:val="601A235F"/>
    <w:rsid w:val="601D72A7"/>
    <w:rsid w:val="602135EA"/>
    <w:rsid w:val="60231F5C"/>
    <w:rsid w:val="602C1022"/>
    <w:rsid w:val="60371AE6"/>
    <w:rsid w:val="60377838"/>
    <w:rsid w:val="603D3E32"/>
    <w:rsid w:val="60415537"/>
    <w:rsid w:val="604B0A34"/>
    <w:rsid w:val="60502EF5"/>
    <w:rsid w:val="60532412"/>
    <w:rsid w:val="60616E76"/>
    <w:rsid w:val="60657FB2"/>
    <w:rsid w:val="606B6FEE"/>
    <w:rsid w:val="606B7E95"/>
    <w:rsid w:val="606C52E9"/>
    <w:rsid w:val="607448F1"/>
    <w:rsid w:val="60747DB6"/>
    <w:rsid w:val="607664CF"/>
    <w:rsid w:val="607D004F"/>
    <w:rsid w:val="608129B4"/>
    <w:rsid w:val="6088560E"/>
    <w:rsid w:val="608D6F28"/>
    <w:rsid w:val="608D702F"/>
    <w:rsid w:val="608F2CCC"/>
    <w:rsid w:val="608F3BA3"/>
    <w:rsid w:val="609225A9"/>
    <w:rsid w:val="60956D42"/>
    <w:rsid w:val="60964052"/>
    <w:rsid w:val="60982EFD"/>
    <w:rsid w:val="609F16B5"/>
    <w:rsid w:val="60A13EA9"/>
    <w:rsid w:val="60A3745F"/>
    <w:rsid w:val="60A46F85"/>
    <w:rsid w:val="60A952CA"/>
    <w:rsid w:val="60B2161A"/>
    <w:rsid w:val="60B47011"/>
    <w:rsid w:val="60B91A27"/>
    <w:rsid w:val="60C16B06"/>
    <w:rsid w:val="60C44F10"/>
    <w:rsid w:val="60C64185"/>
    <w:rsid w:val="60C93B9B"/>
    <w:rsid w:val="60D158A0"/>
    <w:rsid w:val="60D50ABE"/>
    <w:rsid w:val="60D57758"/>
    <w:rsid w:val="60D75E62"/>
    <w:rsid w:val="60DA00AE"/>
    <w:rsid w:val="60E11378"/>
    <w:rsid w:val="60E56855"/>
    <w:rsid w:val="60E86186"/>
    <w:rsid w:val="60F31CBA"/>
    <w:rsid w:val="60F872D1"/>
    <w:rsid w:val="60F921A0"/>
    <w:rsid w:val="60FA68BF"/>
    <w:rsid w:val="610024C7"/>
    <w:rsid w:val="61076A8F"/>
    <w:rsid w:val="610905DF"/>
    <w:rsid w:val="611051D5"/>
    <w:rsid w:val="61395F99"/>
    <w:rsid w:val="614122AB"/>
    <w:rsid w:val="614E5143"/>
    <w:rsid w:val="6151078F"/>
    <w:rsid w:val="61521DCC"/>
    <w:rsid w:val="61586CF3"/>
    <w:rsid w:val="61657524"/>
    <w:rsid w:val="6167159D"/>
    <w:rsid w:val="616F6F42"/>
    <w:rsid w:val="61722BDF"/>
    <w:rsid w:val="61790944"/>
    <w:rsid w:val="617D634E"/>
    <w:rsid w:val="61875CA7"/>
    <w:rsid w:val="618A0ACD"/>
    <w:rsid w:val="619009AF"/>
    <w:rsid w:val="619332C0"/>
    <w:rsid w:val="61953A80"/>
    <w:rsid w:val="6196163A"/>
    <w:rsid w:val="61975F57"/>
    <w:rsid w:val="61996FB6"/>
    <w:rsid w:val="61A22D98"/>
    <w:rsid w:val="61A466ED"/>
    <w:rsid w:val="61B05787"/>
    <w:rsid w:val="61B11480"/>
    <w:rsid w:val="61B444C1"/>
    <w:rsid w:val="61B52ACC"/>
    <w:rsid w:val="61B57BF4"/>
    <w:rsid w:val="61BA613A"/>
    <w:rsid w:val="61BB29B6"/>
    <w:rsid w:val="61C66A31"/>
    <w:rsid w:val="61CD250B"/>
    <w:rsid w:val="61D169E7"/>
    <w:rsid w:val="61D302E1"/>
    <w:rsid w:val="61D30385"/>
    <w:rsid w:val="61D57E6A"/>
    <w:rsid w:val="61D92AC8"/>
    <w:rsid w:val="61D977DD"/>
    <w:rsid w:val="61EB6143"/>
    <w:rsid w:val="61F35782"/>
    <w:rsid w:val="61F41E32"/>
    <w:rsid w:val="61F65A66"/>
    <w:rsid w:val="62015DB4"/>
    <w:rsid w:val="62025C62"/>
    <w:rsid w:val="620267D6"/>
    <w:rsid w:val="620632A8"/>
    <w:rsid w:val="62076FEE"/>
    <w:rsid w:val="620852F1"/>
    <w:rsid w:val="620A1069"/>
    <w:rsid w:val="620B5F51"/>
    <w:rsid w:val="620D2908"/>
    <w:rsid w:val="621A31D0"/>
    <w:rsid w:val="621A4EB5"/>
    <w:rsid w:val="6222423F"/>
    <w:rsid w:val="622338B8"/>
    <w:rsid w:val="62290C7F"/>
    <w:rsid w:val="622B613E"/>
    <w:rsid w:val="622E2E60"/>
    <w:rsid w:val="623235AD"/>
    <w:rsid w:val="6234751E"/>
    <w:rsid w:val="623A4956"/>
    <w:rsid w:val="623C143F"/>
    <w:rsid w:val="62454A9C"/>
    <w:rsid w:val="624A507E"/>
    <w:rsid w:val="62507CF9"/>
    <w:rsid w:val="6251294B"/>
    <w:rsid w:val="625C78C1"/>
    <w:rsid w:val="626A09ED"/>
    <w:rsid w:val="626F155D"/>
    <w:rsid w:val="626F2D4C"/>
    <w:rsid w:val="6272605C"/>
    <w:rsid w:val="627428D8"/>
    <w:rsid w:val="627702F5"/>
    <w:rsid w:val="627E7362"/>
    <w:rsid w:val="62862A5E"/>
    <w:rsid w:val="62880827"/>
    <w:rsid w:val="6289479F"/>
    <w:rsid w:val="628D6188"/>
    <w:rsid w:val="62901750"/>
    <w:rsid w:val="6292619A"/>
    <w:rsid w:val="62927CA4"/>
    <w:rsid w:val="629D37BB"/>
    <w:rsid w:val="62A0765A"/>
    <w:rsid w:val="62A579B9"/>
    <w:rsid w:val="62A73445"/>
    <w:rsid w:val="62A82E63"/>
    <w:rsid w:val="62AF1ABD"/>
    <w:rsid w:val="62BC6A6A"/>
    <w:rsid w:val="62BE3CFF"/>
    <w:rsid w:val="62BF5B8A"/>
    <w:rsid w:val="62C466C8"/>
    <w:rsid w:val="62C54F90"/>
    <w:rsid w:val="62C5540B"/>
    <w:rsid w:val="62C67D92"/>
    <w:rsid w:val="62CE2E03"/>
    <w:rsid w:val="62D00ABF"/>
    <w:rsid w:val="62D41E60"/>
    <w:rsid w:val="62D5636D"/>
    <w:rsid w:val="62D8250E"/>
    <w:rsid w:val="62D961F4"/>
    <w:rsid w:val="62E418BB"/>
    <w:rsid w:val="62E87FCF"/>
    <w:rsid w:val="62EA584A"/>
    <w:rsid w:val="62EC076F"/>
    <w:rsid w:val="62F30C76"/>
    <w:rsid w:val="62FE5788"/>
    <w:rsid w:val="630116AD"/>
    <w:rsid w:val="6301211C"/>
    <w:rsid w:val="63041883"/>
    <w:rsid w:val="630B7B37"/>
    <w:rsid w:val="630D1636"/>
    <w:rsid w:val="63110640"/>
    <w:rsid w:val="631732F9"/>
    <w:rsid w:val="631E37FD"/>
    <w:rsid w:val="63256DD7"/>
    <w:rsid w:val="632E48D9"/>
    <w:rsid w:val="633332B9"/>
    <w:rsid w:val="633405B1"/>
    <w:rsid w:val="63362CFE"/>
    <w:rsid w:val="633B09B7"/>
    <w:rsid w:val="633F4A98"/>
    <w:rsid w:val="63440CF9"/>
    <w:rsid w:val="63495BC1"/>
    <w:rsid w:val="634B7B8C"/>
    <w:rsid w:val="634C4477"/>
    <w:rsid w:val="635602DE"/>
    <w:rsid w:val="63620A31"/>
    <w:rsid w:val="63636C04"/>
    <w:rsid w:val="63640C4D"/>
    <w:rsid w:val="636634E7"/>
    <w:rsid w:val="636B5B38"/>
    <w:rsid w:val="637013A0"/>
    <w:rsid w:val="63703C6E"/>
    <w:rsid w:val="63712D78"/>
    <w:rsid w:val="63744190"/>
    <w:rsid w:val="6379488C"/>
    <w:rsid w:val="637D1D0F"/>
    <w:rsid w:val="63811F35"/>
    <w:rsid w:val="638B2118"/>
    <w:rsid w:val="638E1181"/>
    <w:rsid w:val="639B14F1"/>
    <w:rsid w:val="639D7D7A"/>
    <w:rsid w:val="63A23AAB"/>
    <w:rsid w:val="63A76A89"/>
    <w:rsid w:val="63AA61F0"/>
    <w:rsid w:val="63B2759E"/>
    <w:rsid w:val="63B50B3D"/>
    <w:rsid w:val="63B8053A"/>
    <w:rsid w:val="63B8115E"/>
    <w:rsid w:val="63C70914"/>
    <w:rsid w:val="63CA5825"/>
    <w:rsid w:val="63CF7B5D"/>
    <w:rsid w:val="63D022EC"/>
    <w:rsid w:val="63D151FD"/>
    <w:rsid w:val="63D76E7A"/>
    <w:rsid w:val="63D92615"/>
    <w:rsid w:val="63DC4AC1"/>
    <w:rsid w:val="63E658E8"/>
    <w:rsid w:val="6401124D"/>
    <w:rsid w:val="6406165C"/>
    <w:rsid w:val="64103DA1"/>
    <w:rsid w:val="64175CC0"/>
    <w:rsid w:val="64192DD1"/>
    <w:rsid w:val="641B1A19"/>
    <w:rsid w:val="641E41A9"/>
    <w:rsid w:val="641E704E"/>
    <w:rsid w:val="641F7947"/>
    <w:rsid w:val="64240BF1"/>
    <w:rsid w:val="642735EE"/>
    <w:rsid w:val="64281C7B"/>
    <w:rsid w:val="642910AB"/>
    <w:rsid w:val="64296C4C"/>
    <w:rsid w:val="642D21DF"/>
    <w:rsid w:val="642F4AD8"/>
    <w:rsid w:val="64345F64"/>
    <w:rsid w:val="64363D58"/>
    <w:rsid w:val="64390DD2"/>
    <w:rsid w:val="643A1EB9"/>
    <w:rsid w:val="643C3F5A"/>
    <w:rsid w:val="643D760B"/>
    <w:rsid w:val="644042CC"/>
    <w:rsid w:val="64414620"/>
    <w:rsid w:val="644545DB"/>
    <w:rsid w:val="644C7258"/>
    <w:rsid w:val="644D7933"/>
    <w:rsid w:val="644F0FB6"/>
    <w:rsid w:val="64506B1E"/>
    <w:rsid w:val="645379B5"/>
    <w:rsid w:val="64540CC2"/>
    <w:rsid w:val="645D6156"/>
    <w:rsid w:val="646104FA"/>
    <w:rsid w:val="646619F8"/>
    <w:rsid w:val="646A0425"/>
    <w:rsid w:val="6470717E"/>
    <w:rsid w:val="64723DDE"/>
    <w:rsid w:val="647409CC"/>
    <w:rsid w:val="64741C77"/>
    <w:rsid w:val="64764D53"/>
    <w:rsid w:val="6477309A"/>
    <w:rsid w:val="64773D90"/>
    <w:rsid w:val="647B5FD3"/>
    <w:rsid w:val="647E49D7"/>
    <w:rsid w:val="64823F78"/>
    <w:rsid w:val="64825250"/>
    <w:rsid w:val="648303F7"/>
    <w:rsid w:val="64865074"/>
    <w:rsid w:val="648C045C"/>
    <w:rsid w:val="648E53E4"/>
    <w:rsid w:val="64903239"/>
    <w:rsid w:val="649124B1"/>
    <w:rsid w:val="649737BE"/>
    <w:rsid w:val="64990483"/>
    <w:rsid w:val="649F6D51"/>
    <w:rsid w:val="64A132A0"/>
    <w:rsid w:val="64A97036"/>
    <w:rsid w:val="64AE5A49"/>
    <w:rsid w:val="64AE7AFB"/>
    <w:rsid w:val="64AF1055"/>
    <w:rsid w:val="64B17884"/>
    <w:rsid w:val="64C24A27"/>
    <w:rsid w:val="64C474F3"/>
    <w:rsid w:val="64CE2822"/>
    <w:rsid w:val="64D872E5"/>
    <w:rsid w:val="64D911C7"/>
    <w:rsid w:val="64DA246F"/>
    <w:rsid w:val="64DD5188"/>
    <w:rsid w:val="64DE145D"/>
    <w:rsid w:val="64E20D38"/>
    <w:rsid w:val="64E4310C"/>
    <w:rsid w:val="64E57C49"/>
    <w:rsid w:val="64F45989"/>
    <w:rsid w:val="64F60BA5"/>
    <w:rsid w:val="64F94B01"/>
    <w:rsid w:val="64FA5DD7"/>
    <w:rsid w:val="64FA7F9E"/>
    <w:rsid w:val="650161D5"/>
    <w:rsid w:val="65083668"/>
    <w:rsid w:val="65085050"/>
    <w:rsid w:val="650B0DEA"/>
    <w:rsid w:val="65120A2F"/>
    <w:rsid w:val="651826ED"/>
    <w:rsid w:val="65182A18"/>
    <w:rsid w:val="651C776A"/>
    <w:rsid w:val="651D5558"/>
    <w:rsid w:val="652516A6"/>
    <w:rsid w:val="652655CC"/>
    <w:rsid w:val="652A56EB"/>
    <w:rsid w:val="652E5108"/>
    <w:rsid w:val="65314B5F"/>
    <w:rsid w:val="653421B5"/>
    <w:rsid w:val="65377536"/>
    <w:rsid w:val="65404477"/>
    <w:rsid w:val="65431917"/>
    <w:rsid w:val="655245E4"/>
    <w:rsid w:val="655606C2"/>
    <w:rsid w:val="65565C8F"/>
    <w:rsid w:val="655C6080"/>
    <w:rsid w:val="6565687E"/>
    <w:rsid w:val="65660CAD"/>
    <w:rsid w:val="656632BF"/>
    <w:rsid w:val="656B0071"/>
    <w:rsid w:val="656D1325"/>
    <w:rsid w:val="657018F9"/>
    <w:rsid w:val="65745B8D"/>
    <w:rsid w:val="65752629"/>
    <w:rsid w:val="65804B54"/>
    <w:rsid w:val="658A0400"/>
    <w:rsid w:val="65931376"/>
    <w:rsid w:val="65963A75"/>
    <w:rsid w:val="65964750"/>
    <w:rsid w:val="65992506"/>
    <w:rsid w:val="65A11CE5"/>
    <w:rsid w:val="65A3462D"/>
    <w:rsid w:val="65AA3473"/>
    <w:rsid w:val="65B65064"/>
    <w:rsid w:val="65B84436"/>
    <w:rsid w:val="65BB267B"/>
    <w:rsid w:val="65C41DFB"/>
    <w:rsid w:val="65C50FC8"/>
    <w:rsid w:val="65C616EC"/>
    <w:rsid w:val="65CE0970"/>
    <w:rsid w:val="65CE446A"/>
    <w:rsid w:val="65E54F51"/>
    <w:rsid w:val="65E6222A"/>
    <w:rsid w:val="65E932FA"/>
    <w:rsid w:val="65F206FF"/>
    <w:rsid w:val="65F47948"/>
    <w:rsid w:val="65FA6802"/>
    <w:rsid w:val="65FB1F67"/>
    <w:rsid w:val="65FB57AC"/>
    <w:rsid w:val="65FC46C1"/>
    <w:rsid w:val="65FC717A"/>
    <w:rsid w:val="65FE7137"/>
    <w:rsid w:val="66021ABF"/>
    <w:rsid w:val="66042A75"/>
    <w:rsid w:val="660633B9"/>
    <w:rsid w:val="660C20BF"/>
    <w:rsid w:val="661D0145"/>
    <w:rsid w:val="66263F98"/>
    <w:rsid w:val="662F7E8A"/>
    <w:rsid w:val="663A2237"/>
    <w:rsid w:val="663A6837"/>
    <w:rsid w:val="663B1447"/>
    <w:rsid w:val="663C7C74"/>
    <w:rsid w:val="664360ED"/>
    <w:rsid w:val="66471C44"/>
    <w:rsid w:val="664803B2"/>
    <w:rsid w:val="664914A8"/>
    <w:rsid w:val="664D024B"/>
    <w:rsid w:val="665D2FBD"/>
    <w:rsid w:val="66641D46"/>
    <w:rsid w:val="666421AC"/>
    <w:rsid w:val="66654036"/>
    <w:rsid w:val="666C746D"/>
    <w:rsid w:val="666D558F"/>
    <w:rsid w:val="6672630C"/>
    <w:rsid w:val="667447B3"/>
    <w:rsid w:val="667629E0"/>
    <w:rsid w:val="667A4DB8"/>
    <w:rsid w:val="667C1E0A"/>
    <w:rsid w:val="66805DB2"/>
    <w:rsid w:val="6682722E"/>
    <w:rsid w:val="66840D99"/>
    <w:rsid w:val="668D2269"/>
    <w:rsid w:val="668D6FEB"/>
    <w:rsid w:val="668E1599"/>
    <w:rsid w:val="669178F2"/>
    <w:rsid w:val="66A10F03"/>
    <w:rsid w:val="66A414A8"/>
    <w:rsid w:val="66A42E45"/>
    <w:rsid w:val="66B4160D"/>
    <w:rsid w:val="66B52364"/>
    <w:rsid w:val="66B8412D"/>
    <w:rsid w:val="66B94F27"/>
    <w:rsid w:val="66BB0856"/>
    <w:rsid w:val="66C23717"/>
    <w:rsid w:val="66C32B06"/>
    <w:rsid w:val="66C42766"/>
    <w:rsid w:val="66CB2145"/>
    <w:rsid w:val="66CC0F56"/>
    <w:rsid w:val="66D0617C"/>
    <w:rsid w:val="66D159F9"/>
    <w:rsid w:val="66D555A9"/>
    <w:rsid w:val="66D90493"/>
    <w:rsid w:val="66DF606F"/>
    <w:rsid w:val="66E11ED5"/>
    <w:rsid w:val="66E437FF"/>
    <w:rsid w:val="66E71B4B"/>
    <w:rsid w:val="66F15B52"/>
    <w:rsid w:val="66F35B14"/>
    <w:rsid w:val="66FA1138"/>
    <w:rsid w:val="66FB497C"/>
    <w:rsid w:val="66FC317D"/>
    <w:rsid w:val="670537D3"/>
    <w:rsid w:val="670A39C6"/>
    <w:rsid w:val="670C1A11"/>
    <w:rsid w:val="670C45C1"/>
    <w:rsid w:val="670F0ED0"/>
    <w:rsid w:val="67226EF0"/>
    <w:rsid w:val="67235FA1"/>
    <w:rsid w:val="672B7E9F"/>
    <w:rsid w:val="672F2209"/>
    <w:rsid w:val="672F41F6"/>
    <w:rsid w:val="6731607C"/>
    <w:rsid w:val="673372DA"/>
    <w:rsid w:val="673F0C9C"/>
    <w:rsid w:val="67441BF9"/>
    <w:rsid w:val="6746785B"/>
    <w:rsid w:val="67500045"/>
    <w:rsid w:val="675039C2"/>
    <w:rsid w:val="675158C2"/>
    <w:rsid w:val="67531A62"/>
    <w:rsid w:val="67537323"/>
    <w:rsid w:val="675B07A3"/>
    <w:rsid w:val="675B13D5"/>
    <w:rsid w:val="675E3894"/>
    <w:rsid w:val="676422EA"/>
    <w:rsid w:val="676B747A"/>
    <w:rsid w:val="676E524D"/>
    <w:rsid w:val="676F4B55"/>
    <w:rsid w:val="67734619"/>
    <w:rsid w:val="67761A2F"/>
    <w:rsid w:val="677C76EE"/>
    <w:rsid w:val="67806D98"/>
    <w:rsid w:val="678810D0"/>
    <w:rsid w:val="67936CBD"/>
    <w:rsid w:val="67954233"/>
    <w:rsid w:val="67971032"/>
    <w:rsid w:val="67A75813"/>
    <w:rsid w:val="67A7688A"/>
    <w:rsid w:val="67B04461"/>
    <w:rsid w:val="67C01D4E"/>
    <w:rsid w:val="67C51EA2"/>
    <w:rsid w:val="67C6312D"/>
    <w:rsid w:val="67CA20B7"/>
    <w:rsid w:val="67CC3603"/>
    <w:rsid w:val="67D31EFE"/>
    <w:rsid w:val="67D43D2A"/>
    <w:rsid w:val="67D94286"/>
    <w:rsid w:val="67DA2EAE"/>
    <w:rsid w:val="67DD02E5"/>
    <w:rsid w:val="67E64431"/>
    <w:rsid w:val="67EC79E0"/>
    <w:rsid w:val="67F4155F"/>
    <w:rsid w:val="67F51FEE"/>
    <w:rsid w:val="67F81F23"/>
    <w:rsid w:val="67FA1B80"/>
    <w:rsid w:val="67FA52FE"/>
    <w:rsid w:val="67FB6A44"/>
    <w:rsid w:val="67FD532A"/>
    <w:rsid w:val="67FE214D"/>
    <w:rsid w:val="680754E9"/>
    <w:rsid w:val="680C5BF5"/>
    <w:rsid w:val="680C68DF"/>
    <w:rsid w:val="680F6CDD"/>
    <w:rsid w:val="68136366"/>
    <w:rsid w:val="681B436F"/>
    <w:rsid w:val="681F2A7E"/>
    <w:rsid w:val="682044A1"/>
    <w:rsid w:val="682232F6"/>
    <w:rsid w:val="682366E5"/>
    <w:rsid w:val="68273E11"/>
    <w:rsid w:val="68290BE7"/>
    <w:rsid w:val="68294213"/>
    <w:rsid w:val="682C66D6"/>
    <w:rsid w:val="68387229"/>
    <w:rsid w:val="68394C10"/>
    <w:rsid w:val="68402481"/>
    <w:rsid w:val="6846773F"/>
    <w:rsid w:val="68492CA5"/>
    <w:rsid w:val="68514324"/>
    <w:rsid w:val="6853707F"/>
    <w:rsid w:val="68550FE8"/>
    <w:rsid w:val="68640AB1"/>
    <w:rsid w:val="68683B4A"/>
    <w:rsid w:val="68694610"/>
    <w:rsid w:val="686D490F"/>
    <w:rsid w:val="686E3FED"/>
    <w:rsid w:val="686F751F"/>
    <w:rsid w:val="6870397B"/>
    <w:rsid w:val="687151D7"/>
    <w:rsid w:val="687A1766"/>
    <w:rsid w:val="687A53F0"/>
    <w:rsid w:val="68841D5B"/>
    <w:rsid w:val="68866B0F"/>
    <w:rsid w:val="68885987"/>
    <w:rsid w:val="688A55FA"/>
    <w:rsid w:val="688B1BF3"/>
    <w:rsid w:val="68947537"/>
    <w:rsid w:val="68960F9C"/>
    <w:rsid w:val="68981051"/>
    <w:rsid w:val="68A575F8"/>
    <w:rsid w:val="68AB7066"/>
    <w:rsid w:val="68AC218B"/>
    <w:rsid w:val="68B473F9"/>
    <w:rsid w:val="68B7484C"/>
    <w:rsid w:val="68B907BE"/>
    <w:rsid w:val="68B910F3"/>
    <w:rsid w:val="68BD7BB4"/>
    <w:rsid w:val="68C005DE"/>
    <w:rsid w:val="68C06926"/>
    <w:rsid w:val="68C46880"/>
    <w:rsid w:val="68C51A40"/>
    <w:rsid w:val="68C71738"/>
    <w:rsid w:val="68C97D90"/>
    <w:rsid w:val="68CC3359"/>
    <w:rsid w:val="68D6764E"/>
    <w:rsid w:val="68DF15C1"/>
    <w:rsid w:val="68E048D2"/>
    <w:rsid w:val="68E07312"/>
    <w:rsid w:val="68E13EB5"/>
    <w:rsid w:val="68EE6029"/>
    <w:rsid w:val="68EF26C2"/>
    <w:rsid w:val="68F006CD"/>
    <w:rsid w:val="68FD48EE"/>
    <w:rsid w:val="69006D22"/>
    <w:rsid w:val="69085BD7"/>
    <w:rsid w:val="690A3EED"/>
    <w:rsid w:val="690B00FF"/>
    <w:rsid w:val="690E58E3"/>
    <w:rsid w:val="691102DE"/>
    <w:rsid w:val="69110F2F"/>
    <w:rsid w:val="69112BF5"/>
    <w:rsid w:val="69141BAF"/>
    <w:rsid w:val="69162463"/>
    <w:rsid w:val="6917135A"/>
    <w:rsid w:val="69194516"/>
    <w:rsid w:val="69222494"/>
    <w:rsid w:val="6925529E"/>
    <w:rsid w:val="692865B6"/>
    <w:rsid w:val="692A3C2B"/>
    <w:rsid w:val="692B0A88"/>
    <w:rsid w:val="692E7D33"/>
    <w:rsid w:val="69351573"/>
    <w:rsid w:val="69364F30"/>
    <w:rsid w:val="69365F48"/>
    <w:rsid w:val="693754A4"/>
    <w:rsid w:val="693A32EC"/>
    <w:rsid w:val="69414E41"/>
    <w:rsid w:val="694A7164"/>
    <w:rsid w:val="694F14C3"/>
    <w:rsid w:val="694F3806"/>
    <w:rsid w:val="6952677F"/>
    <w:rsid w:val="69560740"/>
    <w:rsid w:val="69590DB6"/>
    <w:rsid w:val="695A2B23"/>
    <w:rsid w:val="69605A13"/>
    <w:rsid w:val="69637EFF"/>
    <w:rsid w:val="69644E17"/>
    <w:rsid w:val="69651901"/>
    <w:rsid w:val="69710167"/>
    <w:rsid w:val="69744BF1"/>
    <w:rsid w:val="69765268"/>
    <w:rsid w:val="69780837"/>
    <w:rsid w:val="697933D9"/>
    <w:rsid w:val="697A7C87"/>
    <w:rsid w:val="697E66F5"/>
    <w:rsid w:val="69817B62"/>
    <w:rsid w:val="698755F5"/>
    <w:rsid w:val="69880B41"/>
    <w:rsid w:val="69886A89"/>
    <w:rsid w:val="698C6808"/>
    <w:rsid w:val="69901BAA"/>
    <w:rsid w:val="69925649"/>
    <w:rsid w:val="69990BA1"/>
    <w:rsid w:val="69994D37"/>
    <w:rsid w:val="699E7587"/>
    <w:rsid w:val="69A36E31"/>
    <w:rsid w:val="69A94AF3"/>
    <w:rsid w:val="69AC2A06"/>
    <w:rsid w:val="69B06269"/>
    <w:rsid w:val="69B51F43"/>
    <w:rsid w:val="69B67B1C"/>
    <w:rsid w:val="69B75111"/>
    <w:rsid w:val="69B813AB"/>
    <w:rsid w:val="69BB1D1F"/>
    <w:rsid w:val="69BB7793"/>
    <w:rsid w:val="69C00657"/>
    <w:rsid w:val="69C560EB"/>
    <w:rsid w:val="69D039FF"/>
    <w:rsid w:val="69D2308E"/>
    <w:rsid w:val="69D86BE7"/>
    <w:rsid w:val="69DA217A"/>
    <w:rsid w:val="69E50E27"/>
    <w:rsid w:val="69E55FA5"/>
    <w:rsid w:val="69E61049"/>
    <w:rsid w:val="69ED2CBB"/>
    <w:rsid w:val="69EF1796"/>
    <w:rsid w:val="69F22F58"/>
    <w:rsid w:val="69FA2229"/>
    <w:rsid w:val="69FD11C2"/>
    <w:rsid w:val="6A0235B7"/>
    <w:rsid w:val="6A033400"/>
    <w:rsid w:val="6A0C7949"/>
    <w:rsid w:val="6A170B8F"/>
    <w:rsid w:val="6A1C7BA3"/>
    <w:rsid w:val="6A1D4B9A"/>
    <w:rsid w:val="6A1E1971"/>
    <w:rsid w:val="6A1E46AB"/>
    <w:rsid w:val="6A234FFD"/>
    <w:rsid w:val="6A274783"/>
    <w:rsid w:val="6A295D2C"/>
    <w:rsid w:val="6A2C0629"/>
    <w:rsid w:val="6A2D7A9D"/>
    <w:rsid w:val="6A30127F"/>
    <w:rsid w:val="6A30232D"/>
    <w:rsid w:val="6A32409A"/>
    <w:rsid w:val="6A331315"/>
    <w:rsid w:val="6A3852DF"/>
    <w:rsid w:val="6A3E1C4F"/>
    <w:rsid w:val="6A411085"/>
    <w:rsid w:val="6A432F0A"/>
    <w:rsid w:val="6A472CE6"/>
    <w:rsid w:val="6A4741BF"/>
    <w:rsid w:val="6A475399"/>
    <w:rsid w:val="6A512521"/>
    <w:rsid w:val="6A56380A"/>
    <w:rsid w:val="6A576E16"/>
    <w:rsid w:val="6A5A42C5"/>
    <w:rsid w:val="6A5C0D00"/>
    <w:rsid w:val="6A65616F"/>
    <w:rsid w:val="6A6B4184"/>
    <w:rsid w:val="6A6E5867"/>
    <w:rsid w:val="6A7A2B04"/>
    <w:rsid w:val="6A7B25F3"/>
    <w:rsid w:val="6A7E0847"/>
    <w:rsid w:val="6A7E25F5"/>
    <w:rsid w:val="6A825A00"/>
    <w:rsid w:val="6A835244"/>
    <w:rsid w:val="6A8462DC"/>
    <w:rsid w:val="6A89186A"/>
    <w:rsid w:val="6A8A71EB"/>
    <w:rsid w:val="6A8C3DE5"/>
    <w:rsid w:val="6A906196"/>
    <w:rsid w:val="6A953306"/>
    <w:rsid w:val="6A964A34"/>
    <w:rsid w:val="6AA560DB"/>
    <w:rsid w:val="6AA8523E"/>
    <w:rsid w:val="6AAD4C88"/>
    <w:rsid w:val="6AAD4CC8"/>
    <w:rsid w:val="6AB02858"/>
    <w:rsid w:val="6AB3235D"/>
    <w:rsid w:val="6AB701CA"/>
    <w:rsid w:val="6ABA3241"/>
    <w:rsid w:val="6ABE1C62"/>
    <w:rsid w:val="6ACC688A"/>
    <w:rsid w:val="6AD0590A"/>
    <w:rsid w:val="6AD06BC8"/>
    <w:rsid w:val="6AD2641B"/>
    <w:rsid w:val="6AD2649C"/>
    <w:rsid w:val="6ADE0BE1"/>
    <w:rsid w:val="6ADE1EA6"/>
    <w:rsid w:val="6AE21919"/>
    <w:rsid w:val="6AE46D52"/>
    <w:rsid w:val="6AE55348"/>
    <w:rsid w:val="6AF532AF"/>
    <w:rsid w:val="6AF72DE6"/>
    <w:rsid w:val="6AFD7627"/>
    <w:rsid w:val="6B0155C6"/>
    <w:rsid w:val="6B0B19AE"/>
    <w:rsid w:val="6B0C5F66"/>
    <w:rsid w:val="6B0E444D"/>
    <w:rsid w:val="6B10486E"/>
    <w:rsid w:val="6B161090"/>
    <w:rsid w:val="6B19733C"/>
    <w:rsid w:val="6B2A606B"/>
    <w:rsid w:val="6B2B284A"/>
    <w:rsid w:val="6B2D5529"/>
    <w:rsid w:val="6B34678C"/>
    <w:rsid w:val="6B393020"/>
    <w:rsid w:val="6B3978E5"/>
    <w:rsid w:val="6B3A1A71"/>
    <w:rsid w:val="6B3E1A6A"/>
    <w:rsid w:val="6B40458F"/>
    <w:rsid w:val="6B4D207A"/>
    <w:rsid w:val="6B551584"/>
    <w:rsid w:val="6B570EC0"/>
    <w:rsid w:val="6B580621"/>
    <w:rsid w:val="6B5A25D4"/>
    <w:rsid w:val="6B5D03D4"/>
    <w:rsid w:val="6B5D4F72"/>
    <w:rsid w:val="6B5F73CB"/>
    <w:rsid w:val="6B620C02"/>
    <w:rsid w:val="6B63086B"/>
    <w:rsid w:val="6B6E14E6"/>
    <w:rsid w:val="6B6F34BB"/>
    <w:rsid w:val="6B702EC7"/>
    <w:rsid w:val="6B76291A"/>
    <w:rsid w:val="6B79572D"/>
    <w:rsid w:val="6B7C4061"/>
    <w:rsid w:val="6B93053B"/>
    <w:rsid w:val="6B986889"/>
    <w:rsid w:val="6B992ED8"/>
    <w:rsid w:val="6B9A6EAE"/>
    <w:rsid w:val="6B9C6EE1"/>
    <w:rsid w:val="6BA22313"/>
    <w:rsid w:val="6BA8544F"/>
    <w:rsid w:val="6BAA51A1"/>
    <w:rsid w:val="6BAC7340"/>
    <w:rsid w:val="6BB05E1A"/>
    <w:rsid w:val="6BB1228C"/>
    <w:rsid w:val="6BB12C87"/>
    <w:rsid w:val="6BC03837"/>
    <w:rsid w:val="6BC26B3B"/>
    <w:rsid w:val="6BC90CA9"/>
    <w:rsid w:val="6BC93D43"/>
    <w:rsid w:val="6BCA1CB1"/>
    <w:rsid w:val="6BCB0C6B"/>
    <w:rsid w:val="6BCE3108"/>
    <w:rsid w:val="6BCF0C2E"/>
    <w:rsid w:val="6BD36970"/>
    <w:rsid w:val="6BD63B2D"/>
    <w:rsid w:val="6BD73442"/>
    <w:rsid w:val="6BE0108D"/>
    <w:rsid w:val="6BE7671C"/>
    <w:rsid w:val="6BE9365C"/>
    <w:rsid w:val="6BEB169A"/>
    <w:rsid w:val="6BEE2C86"/>
    <w:rsid w:val="6BF57E54"/>
    <w:rsid w:val="6BF73D5E"/>
    <w:rsid w:val="6BF76B46"/>
    <w:rsid w:val="6BF83483"/>
    <w:rsid w:val="6C004EC7"/>
    <w:rsid w:val="6C0C4B05"/>
    <w:rsid w:val="6C10344F"/>
    <w:rsid w:val="6C114F9C"/>
    <w:rsid w:val="6C1247F0"/>
    <w:rsid w:val="6C1D5E3D"/>
    <w:rsid w:val="6C1E1822"/>
    <w:rsid w:val="6C20148A"/>
    <w:rsid w:val="6C212F35"/>
    <w:rsid w:val="6C21333E"/>
    <w:rsid w:val="6C223F7B"/>
    <w:rsid w:val="6C2373DC"/>
    <w:rsid w:val="6C287C78"/>
    <w:rsid w:val="6C2D31DE"/>
    <w:rsid w:val="6C2D7D3D"/>
    <w:rsid w:val="6C30791F"/>
    <w:rsid w:val="6C3337F4"/>
    <w:rsid w:val="6C3A4BA9"/>
    <w:rsid w:val="6C416B5B"/>
    <w:rsid w:val="6C4623E6"/>
    <w:rsid w:val="6C4A7161"/>
    <w:rsid w:val="6C4F6B5B"/>
    <w:rsid w:val="6C532EE4"/>
    <w:rsid w:val="6C53360D"/>
    <w:rsid w:val="6C5A0918"/>
    <w:rsid w:val="6C5B6FED"/>
    <w:rsid w:val="6C5D07D7"/>
    <w:rsid w:val="6C5D2FCA"/>
    <w:rsid w:val="6C604695"/>
    <w:rsid w:val="6C615D2A"/>
    <w:rsid w:val="6C6306A9"/>
    <w:rsid w:val="6C632C7F"/>
    <w:rsid w:val="6C672AB0"/>
    <w:rsid w:val="6C710257"/>
    <w:rsid w:val="6C7930E8"/>
    <w:rsid w:val="6C7A4636"/>
    <w:rsid w:val="6C7C7A14"/>
    <w:rsid w:val="6C7E3A0F"/>
    <w:rsid w:val="6C821DC9"/>
    <w:rsid w:val="6C846928"/>
    <w:rsid w:val="6C851CCF"/>
    <w:rsid w:val="6C8610BC"/>
    <w:rsid w:val="6C8A68B4"/>
    <w:rsid w:val="6C922387"/>
    <w:rsid w:val="6C930A13"/>
    <w:rsid w:val="6C945E7B"/>
    <w:rsid w:val="6C953C26"/>
    <w:rsid w:val="6C976054"/>
    <w:rsid w:val="6C9D4BBD"/>
    <w:rsid w:val="6CA0625E"/>
    <w:rsid w:val="6CA945DF"/>
    <w:rsid w:val="6CAD3F5D"/>
    <w:rsid w:val="6CB22ACD"/>
    <w:rsid w:val="6CB70040"/>
    <w:rsid w:val="6CB73B9C"/>
    <w:rsid w:val="6CC21212"/>
    <w:rsid w:val="6CC2435C"/>
    <w:rsid w:val="6CC6118D"/>
    <w:rsid w:val="6CC62AD0"/>
    <w:rsid w:val="6CC77B7C"/>
    <w:rsid w:val="6CD109DA"/>
    <w:rsid w:val="6CD503BA"/>
    <w:rsid w:val="6CDC3602"/>
    <w:rsid w:val="6CDE737B"/>
    <w:rsid w:val="6CE04AA9"/>
    <w:rsid w:val="6CE3397A"/>
    <w:rsid w:val="6CE36AAC"/>
    <w:rsid w:val="6CE57EA9"/>
    <w:rsid w:val="6CE77559"/>
    <w:rsid w:val="6CE93F71"/>
    <w:rsid w:val="6CEE4880"/>
    <w:rsid w:val="6CF34FF6"/>
    <w:rsid w:val="6CF40785"/>
    <w:rsid w:val="6CF429B2"/>
    <w:rsid w:val="6CFC710B"/>
    <w:rsid w:val="6CFF0344"/>
    <w:rsid w:val="6D004047"/>
    <w:rsid w:val="6D004EBA"/>
    <w:rsid w:val="6D071A78"/>
    <w:rsid w:val="6D082743"/>
    <w:rsid w:val="6D0E31A9"/>
    <w:rsid w:val="6D0F3924"/>
    <w:rsid w:val="6D11537B"/>
    <w:rsid w:val="6D1278CF"/>
    <w:rsid w:val="6D176D30"/>
    <w:rsid w:val="6D1B0D24"/>
    <w:rsid w:val="6D1D5A62"/>
    <w:rsid w:val="6D225E63"/>
    <w:rsid w:val="6D246B10"/>
    <w:rsid w:val="6D25144D"/>
    <w:rsid w:val="6D266F73"/>
    <w:rsid w:val="6D283D50"/>
    <w:rsid w:val="6D286848"/>
    <w:rsid w:val="6D2A6A64"/>
    <w:rsid w:val="6D2D3039"/>
    <w:rsid w:val="6D2F5237"/>
    <w:rsid w:val="6D350292"/>
    <w:rsid w:val="6D351BC8"/>
    <w:rsid w:val="6D3C26AA"/>
    <w:rsid w:val="6D4117DE"/>
    <w:rsid w:val="6D45202F"/>
    <w:rsid w:val="6D4B1CD0"/>
    <w:rsid w:val="6D4E4F8E"/>
    <w:rsid w:val="6D4E541C"/>
    <w:rsid w:val="6D4F67B8"/>
    <w:rsid w:val="6D5535C3"/>
    <w:rsid w:val="6D64712F"/>
    <w:rsid w:val="6D656128"/>
    <w:rsid w:val="6D66273C"/>
    <w:rsid w:val="6D6764E4"/>
    <w:rsid w:val="6D744F2B"/>
    <w:rsid w:val="6D781A16"/>
    <w:rsid w:val="6D7C2EC8"/>
    <w:rsid w:val="6D7F460B"/>
    <w:rsid w:val="6D832BA4"/>
    <w:rsid w:val="6D883583"/>
    <w:rsid w:val="6D885538"/>
    <w:rsid w:val="6D9005E6"/>
    <w:rsid w:val="6D936015"/>
    <w:rsid w:val="6D98149C"/>
    <w:rsid w:val="6D9A6AE4"/>
    <w:rsid w:val="6D9B1C9B"/>
    <w:rsid w:val="6D9C0B83"/>
    <w:rsid w:val="6DA90135"/>
    <w:rsid w:val="6DAF7572"/>
    <w:rsid w:val="6DB85452"/>
    <w:rsid w:val="6DC17362"/>
    <w:rsid w:val="6DC20E49"/>
    <w:rsid w:val="6DC43284"/>
    <w:rsid w:val="6DC54ACD"/>
    <w:rsid w:val="6DCF654B"/>
    <w:rsid w:val="6DD50D28"/>
    <w:rsid w:val="6DDC6062"/>
    <w:rsid w:val="6DE0480B"/>
    <w:rsid w:val="6DE149AF"/>
    <w:rsid w:val="6DEA6AEB"/>
    <w:rsid w:val="6DEB6B57"/>
    <w:rsid w:val="6DEC6C44"/>
    <w:rsid w:val="6DED0E50"/>
    <w:rsid w:val="6DF13DBA"/>
    <w:rsid w:val="6DF618C1"/>
    <w:rsid w:val="6DF63F9D"/>
    <w:rsid w:val="6DF95F1D"/>
    <w:rsid w:val="6E03726A"/>
    <w:rsid w:val="6E0C6E60"/>
    <w:rsid w:val="6E0D0036"/>
    <w:rsid w:val="6E0D1551"/>
    <w:rsid w:val="6E0D6B47"/>
    <w:rsid w:val="6E193413"/>
    <w:rsid w:val="6E1B63AC"/>
    <w:rsid w:val="6E203EF6"/>
    <w:rsid w:val="6E222561"/>
    <w:rsid w:val="6E240D84"/>
    <w:rsid w:val="6E2A6F3C"/>
    <w:rsid w:val="6E2C03AA"/>
    <w:rsid w:val="6E3277EF"/>
    <w:rsid w:val="6E3361DC"/>
    <w:rsid w:val="6E3556C0"/>
    <w:rsid w:val="6E386214"/>
    <w:rsid w:val="6E405A9B"/>
    <w:rsid w:val="6E450DBC"/>
    <w:rsid w:val="6E492BB0"/>
    <w:rsid w:val="6E4A02E7"/>
    <w:rsid w:val="6E522AC7"/>
    <w:rsid w:val="6E553D92"/>
    <w:rsid w:val="6E5A4318"/>
    <w:rsid w:val="6E5C0E9F"/>
    <w:rsid w:val="6E6013DB"/>
    <w:rsid w:val="6E61776F"/>
    <w:rsid w:val="6E692BD2"/>
    <w:rsid w:val="6E6B2E90"/>
    <w:rsid w:val="6E6E2B03"/>
    <w:rsid w:val="6E6E4B92"/>
    <w:rsid w:val="6E7066F8"/>
    <w:rsid w:val="6E720F02"/>
    <w:rsid w:val="6E74002F"/>
    <w:rsid w:val="6E74363E"/>
    <w:rsid w:val="6E75235C"/>
    <w:rsid w:val="6E775CD9"/>
    <w:rsid w:val="6E777BD3"/>
    <w:rsid w:val="6E7C24F0"/>
    <w:rsid w:val="6E80463B"/>
    <w:rsid w:val="6E82066B"/>
    <w:rsid w:val="6E8423DB"/>
    <w:rsid w:val="6E8C64A2"/>
    <w:rsid w:val="6E8E7AB6"/>
    <w:rsid w:val="6E902963"/>
    <w:rsid w:val="6E91666F"/>
    <w:rsid w:val="6E92169B"/>
    <w:rsid w:val="6E92685C"/>
    <w:rsid w:val="6E936C9D"/>
    <w:rsid w:val="6E960096"/>
    <w:rsid w:val="6E971E62"/>
    <w:rsid w:val="6EAB74ED"/>
    <w:rsid w:val="6EB354DC"/>
    <w:rsid w:val="6EB859D4"/>
    <w:rsid w:val="6EBC7C03"/>
    <w:rsid w:val="6EBF24B5"/>
    <w:rsid w:val="6EBF7C57"/>
    <w:rsid w:val="6ECF62A2"/>
    <w:rsid w:val="6ED121B7"/>
    <w:rsid w:val="6EE92BDF"/>
    <w:rsid w:val="6EEC2F5B"/>
    <w:rsid w:val="6EEF769D"/>
    <w:rsid w:val="6EF53865"/>
    <w:rsid w:val="6EF72978"/>
    <w:rsid w:val="6EF81A16"/>
    <w:rsid w:val="6EFB5485"/>
    <w:rsid w:val="6EFE3E93"/>
    <w:rsid w:val="6F0070DE"/>
    <w:rsid w:val="6F020914"/>
    <w:rsid w:val="6F072869"/>
    <w:rsid w:val="6F073C50"/>
    <w:rsid w:val="6F0A7BFB"/>
    <w:rsid w:val="6F0E7CBF"/>
    <w:rsid w:val="6F0F0EBF"/>
    <w:rsid w:val="6F146B46"/>
    <w:rsid w:val="6F160E18"/>
    <w:rsid w:val="6F1C4DC3"/>
    <w:rsid w:val="6F2119AA"/>
    <w:rsid w:val="6F2B1B3A"/>
    <w:rsid w:val="6F2C7085"/>
    <w:rsid w:val="6F305E87"/>
    <w:rsid w:val="6F3C43AC"/>
    <w:rsid w:val="6F3E05A4"/>
    <w:rsid w:val="6F40431D"/>
    <w:rsid w:val="6F4058FE"/>
    <w:rsid w:val="6F41556E"/>
    <w:rsid w:val="6F444FE9"/>
    <w:rsid w:val="6F475D81"/>
    <w:rsid w:val="6F487EA1"/>
    <w:rsid w:val="6F525A57"/>
    <w:rsid w:val="6F5A2F04"/>
    <w:rsid w:val="6F5D2896"/>
    <w:rsid w:val="6F5E0C32"/>
    <w:rsid w:val="6F5E641D"/>
    <w:rsid w:val="6F5F5387"/>
    <w:rsid w:val="6F643717"/>
    <w:rsid w:val="6F656188"/>
    <w:rsid w:val="6F6649B1"/>
    <w:rsid w:val="6F683873"/>
    <w:rsid w:val="6F690D07"/>
    <w:rsid w:val="6F727148"/>
    <w:rsid w:val="6F740EA5"/>
    <w:rsid w:val="6F77738F"/>
    <w:rsid w:val="6F7915DC"/>
    <w:rsid w:val="6F7B4BDC"/>
    <w:rsid w:val="6F7F0361"/>
    <w:rsid w:val="6F824FED"/>
    <w:rsid w:val="6F952937"/>
    <w:rsid w:val="6F967E3F"/>
    <w:rsid w:val="6FA0300D"/>
    <w:rsid w:val="6FA06921"/>
    <w:rsid w:val="6FA33146"/>
    <w:rsid w:val="6FA44375"/>
    <w:rsid w:val="6FA649F3"/>
    <w:rsid w:val="6FA74AC1"/>
    <w:rsid w:val="6FB04846"/>
    <w:rsid w:val="6FB25371"/>
    <w:rsid w:val="6FB70357"/>
    <w:rsid w:val="6FB9646E"/>
    <w:rsid w:val="6FBA22ED"/>
    <w:rsid w:val="6FBB5F96"/>
    <w:rsid w:val="6FBE7937"/>
    <w:rsid w:val="6FC504D0"/>
    <w:rsid w:val="6FC53FCE"/>
    <w:rsid w:val="6FC549DB"/>
    <w:rsid w:val="6FC62469"/>
    <w:rsid w:val="6FC869B5"/>
    <w:rsid w:val="6FCA2A16"/>
    <w:rsid w:val="6FD3272D"/>
    <w:rsid w:val="6FDA3F81"/>
    <w:rsid w:val="6FDA70F9"/>
    <w:rsid w:val="6FE02C6C"/>
    <w:rsid w:val="6FE27CE1"/>
    <w:rsid w:val="6FE43733"/>
    <w:rsid w:val="6FE72581"/>
    <w:rsid w:val="6FE86762"/>
    <w:rsid w:val="6FEC5674"/>
    <w:rsid w:val="6FEC7878"/>
    <w:rsid w:val="6FF2313D"/>
    <w:rsid w:val="6FF55D26"/>
    <w:rsid w:val="6FF84BF7"/>
    <w:rsid w:val="6FFB7673"/>
    <w:rsid w:val="6FFD045F"/>
    <w:rsid w:val="70026742"/>
    <w:rsid w:val="700418E7"/>
    <w:rsid w:val="700839B7"/>
    <w:rsid w:val="70123DAD"/>
    <w:rsid w:val="70194B6E"/>
    <w:rsid w:val="701A472D"/>
    <w:rsid w:val="701E1BF1"/>
    <w:rsid w:val="702529F7"/>
    <w:rsid w:val="702B137A"/>
    <w:rsid w:val="70387933"/>
    <w:rsid w:val="70392A07"/>
    <w:rsid w:val="70455963"/>
    <w:rsid w:val="7048070A"/>
    <w:rsid w:val="704D58B1"/>
    <w:rsid w:val="704F1D34"/>
    <w:rsid w:val="705636CC"/>
    <w:rsid w:val="70595347"/>
    <w:rsid w:val="706B6ECE"/>
    <w:rsid w:val="706D5FD1"/>
    <w:rsid w:val="707024BD"/>
    <w:rsid w:val="70716758"/>
    <w:rsid w:val="707649EE"/>
    <w:rsid w:val="70785ED4"/>
    <w:rsid w:val="70827584"/>
    <w:rsid w:val="708A3693"/>
    <w:rsid w:val="709138BD"/>
    <w:rsid w:val="70942993"/>
    <w:rsid w:val="709D13EE"/>
    <w:rsid w:val="70A1703D"/>
    <w:rsid w:val="70AA78FB"/>
    <w:rsid w:val="70B26F93"/>
    <w:rsid w:val="70B57D43"/>
    <w:rsid w:val="70B91BB5"/>
    <w:rsid w:val="70B96C2C"/>
    <w:rsid w:val="70C361E2"/>
    <w:rsid w:val="70C51379"/>
    <w:rsid w:val="70C557E1"/>
    <w:rsid w:val="70C726E8"/>
    <w:rsid w:val="70CA2510"/>
    <w:rsid w:val="70CA663D"/>
    <w:rsid w:val="70CC3108"/>
    <w:rsid w:val="70CE694A"/>
    <w:rsid w:val="70D14095"/>
    <w:rsid w:val="70D36BE5"/>
    <w:rsid w:val="70D60BE8"/>
    <w:rsid w:val="70D86B01"/>
    <w:rsid w:val="70EB475C"/>
    <w:rsid w:val="70ED721E"/>
    <w:rsid w:val="70F00C58"/>
    <w:rsid w:val="70F353BF"/>
    <w:rsid w:val="70F724C4"/>
    <w:rsid w:val="70F967FA"/>
    <w:rsid w:val="71077921"/>
    <w:rsid w:val="71083E61"/>
    <w:rsid w:val="710B4CA5"/>
    <w:rsid w:val="710C3E7E"/>
    <w:rsid w:val="710D1EAF"/>
    <w:rsid w:val="71110B0E"/>
    <w:rsid w:val="711271B1"/>
    <w:rsid w:val="71145FE4"/>
    <w:rsid w:val="711A0B9D"/>
    <w:rsid w:val="711A733D"/>
    <w:rsid w:val="711F0571"/>
    <w:rsid w:val="71200B13"/>
    <w:rsid w:val="71210FBA"/>
    <w:rsid w:val="71290E6F"/>
    <w:rsid w:val="712A2F9D"/>
    <w:rsid w:val="712B3BA9"/>
    <w:rsid w:val="712E64A2"/>
    <w:rsid w:val="712F0F58"/>
    <w:rsid w:val="713779A1"/>
    <w:rsid w:val="7141381D"/>
    <w:rsid w:val="714147CF"/>
    <w:rsid w:val="71461BDB"/>
    <w:rsid w:val="714C20FA"/>
    <w:rsid w:val="714D0F73"/>
    <w:rsid w:val="71500A63"/>
    <w:rsid w:val="715037F7"/>
    <w:rsid w:val="71525AFF"/>
    <w:rsid w:val="71553388"/>
    <w:rsid w:val="71560D9D"/>
    <w:rsid w:val="715643B7"/>
    <w:rsid w:val="715A3821"/>
    <w:rsid w:val="715F1728"/>
    <w:rsid w:val="7161560D"/>
    <w:rsid w:val="7163442E"/>
    <w:rsid w:val="71664000"/>
    <w:rsid w:val="71665B90"/>
    <w:rsid w:val="716756F1"/>
    <w:rsid w:val="716C6A98"/>
    <w:rsid w:val="716F7D77"/>
    <w:rsid w:val="717010B0"/>
    <w:rsid w:val="7170382E"/>
    <w:rsid w:val="71775D4C"/>
    <w:rsid w:val="71793B16"/>
    <w:rsid w:val="717F0EB7"/>
    <w:rsid w:val="7183791B"/>
    <w:rsid w:val="718B55F7"/>
    <w:rsid w:val="718F6E95"/>
    <w:rsid w:val="719A3479"/>
    <w:rsid w:val="719D12CC"/>
    <w:rsid w:val="719D6311"/>
    <w:rsid w:val="71A14BCB"/>
    <w:rsid w:val="71A47A2D"/>
    <w:rsid w:val="71A87217"/>
    <w:rsid w:val="71AA067C"/>
    <w:rsid w:val="71AA1E72"/>
    <w:rsid w:val="71AB7A47"/>
    <w:rsid w:val="71AC6C31"/>
    <w:rsid w:val="71B0334B"/>
    <w:rsid w:val="71B27028"/>
    <w:rsid w:val="71B40FF2"/>
    <w:rsid w:val="71C0289C"/>
    <w:rsid w:val="71C141F7"/>
    <w:rsid w:val="71C302C1"/>
    <w:rsid w:val="71C32FE3"/>
    <w:rsid w:val="71C66B63"/>
    <w:rsid w:val="71C971CF"/>
    <w:rsid w:val="71CC2A22"/>
    <w:rsid w:val="71CE3C33"/>
    <w:rsid w:val="71CF3F9D"/>
    <w:rsid w:val="71D1450C"/>
    <w:rsid w:val="71D241EF"/>
    <w:rsid w:val="71E24C44"/>
    <w:rsid w:val="71F162AC"/>
    <w:rsid w:val="71F45129"/>
    <w:rsid w:val="71F80EDE"/>
    <w:rsid w:val="7203677B"/>
    <w:rsid w:val="72043CCB"/>
    <w:rsid w:val="720F6228"/>
    <w:rsid w:val="72171306"/>
    <w:rsid w:val="721A7D20"/>
    <w:rsid w:val="72231CD3"/>
    <w:rsid w:val="722A0EF4"/>
    <w:rsid w:val="722B5EB5"/>
    <w:rsid w:val="722C54FD"/>
    <w:rsid w:val="722E6995"/>
    <w:rsid w:val="723A0349"/>
    <w:rsid w:val="723C4DB9"/>
    <w:rsid w:val="723C62EB"/>
    <w:rsid w:val="724D67C9"/>
    <w:rsid w:val="724E5335"/>
    <w:rsid w:val="7250081B"/>
    <w:rsid w:val="72512341"/>
    <w:rsid w:val="7251239D"/>
    <w:rsid w:val="72520376"/>
    <w:rsid w:val="7253164E"/>
    <w:rsid w:val="72541EB4"/>
    <w:rsid w:val="725427F0"/>
    <w:rsid w:val="72587BCF"/>
    <w:rsid w:val="725E6B92"/>
    <w:rsid w:val="726019D2"/>
    <w:rsid w:val="7263738C"/>
    <w:rsid w:val="726A4710"/>
    <w:rsid w:val="726E06C3"/>
    <w:rsid w:val="72723293"/>
    <w:rsid w:val="72886439"/>
    <w:rsid w:val="728F4353"/>
    <w:rsid w:val="72971170"/>
    <w:rsid w:val="729A4984"/>
    <w:rsid w:val="72A12302"/>
    <w:rsid w:val="72A36FD8"/>
    <w:rsid w:val="72A532CD"/>
    <w:rsid w:val="72AB6A5F"/>
    <w:rsid w:val="72B362DD"/>
    <w:rsid w:val="72B73EB2"/>
    <w:rsid w:val="72C319EE"/>
    <w:rsid w:val="72C708F5"/>
    <w:rsid w:val="72D401EB"/>
    <w:rsid w:val="72D51220"/>
    <w:rsid w:val="72D81C70"/>
    <w:rsid w:val="72DA6A22"/>
    <w:rsid w:val="72E32E84"/>
    <w:rsid w:val="72E571EE"/>
    <w:rsid w:val="72E70279"/>
    <w:rsid w:val="72E83FEC"/>
    <w:rsid w:val="72ED2DC7"/>
    <w:rsid w:val="72F12550"/>
    <w:rsid w:val="72F3460C"/>
    <w:rsid w:val="72F906B3"/>
    <w:rsid w:val="72F94DF5"/>
    <w:rsid w:val="73020DCB"/>
    <w:rsid w:val="73042B56"/>
    <w:rsid w:val="73093A50"/>
    <w:rsid w:val="730A2955"/>
    <w:rsid w:val="730D09BA"/>
    <w:rsid w:val="730D1526"/>
    <w:rsid w:val="73162F5C"/>
    <w:rsid w:val="731729EE"/>
    <w:rsid w:val="731739B4"/>
    <w:rsid w:val="731A07AF"/>
    <w:rsid w:val="731F2CD8"/>
    <w:rsid w:val="73271FB1"/>
    <w:rsid w:val="73276853"/>
    <w:rsid w:val="732B25B2"/>
    <w:rsid w:val="732E63FE"/>
    <w:rsid w:val="732F4F86"/>
    <w:rsid w:val="73355F0F"/>
    <w:rsid w:val="733D10E6"/>
    <w:rsid w:val="733E62A4"/>
    <w:rsid w:val="73437797"/>
    <w:rsid w:val="734B3CE7"/>
    <w:rsid w:val="734E3771"/>
    <w:rsid w:val="73523EFB"/>
    <w:rsid w:val="7356031E"/>
    <w:rsid w:val="73593BFF"/>
    <w:rsid w:val="73614861"/>
    <w:rsid w:val="73621D19"/>
    <w:rsid w:val="73634DF7"/>
    <w:rsid w:val="736423DB"/>
    <w:rsid w:val="736B3932"/>
    <w:rsid w:val="736E2347"/>
    <w:rsid w:val="736F16D5"/>
    <w:rsid w:val="73705EF4"/>
    <w:rsid w:val="737E1CF6"/>
    <w:rsid w:val="73876DFD"/>
    <w:rsid w:val="73885B0B"/>
    <w:rsid w:val="738D53D8"/>
    <w:rsid w:val="738E0D20"/>
    <w:rsid w:val="739229C8"/>
    <w:rsid w:val="739567AF"/>
    <w:rsid w:val="739873A2"/>
    <w:rsid w:val="739B3DA5"/>
    <w:rsid w:val="739C3532"/>
    <w:rsid w:val="739F6A57"/>
    <w:rsid w:val="73A256EB"/>
    <w:rsid w:val="73A57105"/>
    <w:rsid w:val="73A864D7"/>
    <w:rsid w:val="73A928B8"/>
    <w:rsid w:val="73AA6D91"/>
    <w:rsid w:val="73AC3271"/>
    <w:rsid w:val="73AD18F6"/>
    <w:rsid w:val="73B34B1C"/>
    <w:rsid w:val="73B75086"/>
    <w:rsid w:val="73BB1663"/>
    <w:rsid w:val="73BD014B"/>
    <w:rsid w:val="73C41AFA"/>
    <w:rsid w:val="73C51B92"/>
    <w:rsid w:val="73C60E10"/>
    <w:rsid w:val="73C66A22"/>
    <w:rsid w:val="73C73171"/>
    <w:rsid w:val="73D7426C"/>
    <w:rsid w:val="73DA0CAB"/>
    <w:rsid w:val="73DE4104"/>
    <w:rsid w:val="73E238FF"/>
    <w:rsid w:val="73E5505E"/>
    <w:rsid w:val="73E5763A"/>
    <w:rsid w:val="73E84B95"/>
    <w:rsid w:val="73F42D7C"/>
    <w:rsid w:val="73F6097E"/>
    <w:rsid w:val="73F711A6"/>
    <w:rsid w:val="73F959A5"/>
    <w:rsid w:val="73FB53A4"/>
    <w:rsid w:val="7405230A"/>
    <w:rsid w:val="740A314B"/>
    <w:rsid w:val="7411780C"/>
    <w:rsid w:val="741E2752"/>
    <w:rsid w:val="74265B73"/>
    <w:rsid w:val="74274039"/>
    <w:rsid w:val="74290773"/>
    <w:rsid w:val="742B746E"/>
    <w:rsid w:val="742D1D9A"/>
    <w:rsid w:val="743151DE"/>
    <w:rsid w:val="7438294E"/>
    <w:rsid w:val="743B5870"/>
    <w:rsid w:val="7443012E"/>
    <w:rsid w:val="74452D42"/>
    <w:rsid w:val="744B51B4"/>
    <w:rsid w:val="744C45E8"/>
    <w:rsid w:val="744D5E61"/>
    <w:rsid w:val="74543F13"/>
    <w:rsid w:val="74561CD0"/>
    <w:rsid w:val="74563498"/>
    <w:rsid w:val="745805C5"/>
    <w:rsid w:val="745919DD"/>
    <w:rsid w:val="745A7F35"/>
    <w:rsid w:val="745D4997"/>
    <w:rsid w:val="74617257"/>
    <w:rsid w:val="7466165B"/>
    <w:rsid w:val="746A5998"/>
    <w:rsid w:val="746E7115"/>
    <w:rsid w:val="7473539A"/>
    <w:rsid w:val="74750310"/>
    <w:rsid w:val="747C0E37"/>
    <w:rsid w:val="74803925"/>
    <w:rsid w:val="74816ABB"/>
    <w:rsid w:val="748443B2"/>
    <w:rsid w:val="74854B5B"/>
    <w:rsid w:val="74885AE1"/>
    <w:rsid w:val="7489577F"/>
    <w:rsid w:val="748A6F8E"/>
    <w:rsid w:val="748B25AE"/>
    <w:rsid w:val="74923913"/>
    <w:rsid w:val="74981EA7"/>
    <w:rsid w:val="749913BC"/>
    <w:rsid w:val="749C18A4"/>
    <w:rsid w:val="749E3893"/>
    <w:rsid w:val="74A569D0"/>
    <w:rsid w:val="74AC7D5E"/>
    <w:rsid w:val="74B239E9"/>
    <w:rsid w:val="74BC065E"/>
    <w:rsid w:val="74C92D40"/>
    <w:rsid w:val="74CC0E69"/>
    <w:rsid w:val="74D76F7A"/>
    <w:rsid w:val="74D8394A"/>
    <w:rsid w:val="74ED2B8C"/>
    <w:rsid w:val="74F61E9A"/>
    <w:rsid w:val="74F6450E"/>
    <w:rsid w:val="74F811F5"/>
    <w:rsid w:val="74FA645E"/>
    <w:rsid w:val="74FC0CE6"/>
    <w:rsid w:val="750220C9"/>
    <w:rsid w:val="750804F9"/>
    <w:rsid w:val="75120509"/>
    <w:rsid w:val="75134281"/>
    <w:rsid w:val="751C4C7D"/>
    <w:rsid w:val="751D7233"/>
    <w:rsid w:val="751E2BA7"/>
    <w:rsid w:val="75211D09"/>
    <w:rsid w:val="752124FA"/>
    <w:rsid w:val="7522557B"/>
    <w:rsid w:val="75226272"/>
    <w:rsid w:val="752A2DD5"/>
    <w:rsid w:val="752D705D"/>
    <w:rsid w:val="7533413A"/>
    <w:rsid w:val="75357D54"/>
    <w:rsid w:val="753B6321"/>
    <w:rsid w:val="754D199A"/>
    <w:rsid w:val="75502702"/>
    <w:rsid w:val="7557252F"/>
    <w:rsid w:val="755C4B1E"/>
    <w:rsid w:val="755C71A8"/>
    <w:rsid w:val="756248C1"/>
    <w:rsid w:val="7564244E"/>
    <w:rsid w:val="75686922"/>
    <w:rsid w:val="756E14B8"/>
    <w:rsid w:val="75721835"/>
    <w:rsid w:val="75763252"/>
    <w:rsid w:val="757D205B"/>
    <w:rsid w:val="758065B0"/>
    <w:rsid w:val="75811530"/>
    <w:rsid w:val="758777A8"/>
    <w:rsid w:val="758A24B2"/>
    <w:rsid w:val="75943004"/>
    <w:rsid w:val="75A3343A"/>
    <w:rsid w:val="75A373B3"/>
    <w:rsid w:val="75AB61EF"/>
    <w:rsid w:val="75BA542C"/>
    <w:rsid w:val="75BA64AB"/>
    <w:rsid w:val="75BD0103"/>
    <w:rsid w:val="75C612F4"/>
    <w:rsid w:val="75C80BC8"/>
    <w:rsid w:val="75CC4DAF"/>
    <w:rsid w:val="75D147B8"/>
    <w:rsid w:val="75D175A2"/>
    <w:rsid w:val="75D27C98"/>
    <w:rsid w:val="75D62329"/>
    <w:rsid w:val="75DA1120"/>
    <w:rsid w:val="75E04A92"/>
    <w:rsid w:val="75E83CC2"/>
    <w:rsid w:val="75EA210B"/>
    <w:rsid w:val="75EE15C4"/>
    <w:rsid w:val="75EF6ECB"/>
    <w:rsid w:val="75F53F1A"/>
    <w:rsid w:val="75FA28F6"/>
    <w:rsid w:val="75FC6AC3"/>
    <w:rsid w:val="761364A1"/>
    <w:rsid w:val="76142D94"/>
    <w:rsid w:val="76180B08"/>
    <w:rsid w:val="76204FF6"/>
    <w:rsid w:val="762A7723"/>
    <w:rsid w:val="762F7F83"/>
    <w:rsid w:val="763314B3"/>
    <w:rsid w:val="7641097A"/>
    <w:rsid w:val="76431932"/>
    <w:rsid w:val="76434ADE"/>
    <w:rsid w:val="76467535"/>
    <w:rsid w:val="764B63CE"/>
    <w:rsid w:val="764C17F9"/>
    <w:rsid w:val="764D0E7C"/>
    <w:rsid w:val="76522F33"/>
    <w:rsid w:val="76530A5D"/>
    <w:rsid w:val="76553877"/>
    <w:rsid w:val="76561E38"/>
    <w:rsid w:val="76591D5A"/>
    <w:rsid w:val="76624793"/>
    <w:rsid w:val="76646FD1"/>
    <w:rsid w:val="766910E0"/>
    <w:rsid w:val="766E77A6"/>
    <w:rsid w:val="7671645D"/>
    <w:rsid w:val="767D375B"/>
    <w:rsid w:val="76825F45"/>
    <w:rsid w:val="76826884"/>
    <w:rsid w:val="768A6DAD"/>
    <w:rsid w:val="768E5753"/>
    <w:rsid w:val="769043F3"/>
    <w:rsid w:val="7693003E"/>
    <w:rsid w:val="76937428"/>
    <w:rsid w:val="76A64435"/>
    <w:rsid w:val="76A917D8"/>
    <w:rsid w:val="76AF5EF5"/>
    <w:rsid w:val="76B871F4"/>
    <w:rsid w:val="76BC6D48"/>
    <w:rsid w:val="76BE3CB7"/>
    <w:rsid w:val="76C42B65"/>
    <w:rsid w:val="76C42C85"/>
    <w:rsid w:val="76C9197B"/>
    <w:rsid w:val="76CC1E7F"/>
    <w:rsid w:val="76CD35CB"/>
    <w:rsid w:val="76D812DE"/>
    <w:rsid w:val="76DB492B"/>
    <w:rsid w:val="76DE79B7"/>
    <w:rsid w:val="76E57CE4"/>
    <w:rsid w:val="76E618C8"/>
    <w:rsid w:val="76E91EB9"/>
    <w:rsid w:val="76E97B76"/>
    <w:rsid w:val="76EF00BC"/>
    <w:rsid w:val="76EF6628"/>
    <w:rsid w:val="76FF2D0F"/>
    <w:rsid w:val="76FF70B9"/>
    <w:rsid w:val="7703131B"/>
    <w:rsid w:val="770316D4"/>
    <w:rsid w:val="770A0C99"/>
    <w:rsid w:val="770C0F88"/>
    <w:rsid w:val="770D739E"/>
    <w:rsid w:val="77106CCA"/>
    <w:rsid w:val="7720194F"/>
    <w:rsid w:val="77293B4A"/>
    <w:rsid w:val="772F05CC"/>
    <w:rsid w:val="77303A20"/>
    <w:rsid w:val="773334CE"/>
    <w:rsid w:val="77385865"/>
    <w:rsid w:val="773869D8"/>
    <w:rsid w:val="774700FC"/>
    <w:rsid w:val="774A4784"/>
    <w:rsid w:val="7762504C"/>
    <w:rsid w:val="77651A9D"/>
    <w:rsid w:val="77687484"/>
    <w:rsid w:val="776F3C10"/>
    <w:rsid w:val="777047B1"/>
    <w:rsid w:val="777209A8"/>
    <w:rsid w:val="77734070"/>
    <w:rsid w:val="77737A55"/>
    <w:rsid w:val="778832B2"/>
    <w:rsid w:val="779001A9"/>
    <w:rsid w:val="779004E1"/>
    <w:rsid w:val="77906E24"/>
    <w:rsid w:val="77925931"/>
    <w:rsid w:val="77935205"/>
    <w:rsid w:val="77942C96"/>
    <w:rsid w:val="77950673"/>
    <w:rsid w:val="779A47E6"/>
    <w:rsid w:val="779D1A1C"/>
    <w:rsid w:val="779F6E1B"/>
    <w:rsid w:val="77A477F5"/>
    <w:rsid w:val="77A6364A"/>
    <w:rsid w:val="77A72407"/>
    <w:rsid w:val="77A73445"/>
    <w:rsid w:val="77A738AB"/>
    <w:rsid w:val="77A82527"/>
    <w:rsid w:val="77AD0A6A"/>
    <w:rsid w:val="77B03B50"/>
    <w:rsid w:val="77B1707B"/>
    <w:rsid w:val="77B454DE"/>
    <w:rsid w:val="77BD585A"/>
    <w:rsid w:val="77BF424C"/>
    <w:rsid w:val="77BF4B39"/>
    <w:rsid w:val="77C517E3"/>
    <w:rsid w:val="77CB0F32"/>
    <w:rsid w:val="77CC5559"/>
    <w:rsid w:val="77CE2EA7"/>
    <w:rsid w:val="77D45658"/>
    <w:rsid w:val="77D47CF8"/>
    <w:rsid w:val="77D72A16"/>
    <w:rsid w:val="77DD1DFB"/>
    <w:rsid w:val="77DE0515"/>
    <w:rsid w:val="77E031AA"/>
    <w:rsid w:val="77E26095"/>
    <w:rsid w:val="77E8017E"/>
    <w:rsid w:val="77E862CD"/>
    <w:rsid w:val="77E87D58"/>
    <w:rsid w:val="77E97449"/>
    <w:rsid w:val="77EC01B3"/>
    <w:rsid w:val="77ED30CD"/>
    <w:rsid w:val="77F02658"/>
    <w:rsid w:val="77F14919"/>
    <w:rsid w:val="77F87A50"/>
    <w:rsid w:val="77FB41C9"/>
    <w:rsid w:val="77FE267E"/>
    <w:rsid w:val="78003F82"/>
    <w:rsid w:val="78005F7B"/>
    <w:rsid w:val="78006E67"/>
    <w:rsid w:val="78070DD1"/>
    <w:rsid w:val="7808150B"/>
    <w:rsid w:val="780D6005"/>
    <w:rsid w:val="780E4CA2"/>
    <w:rsid w:val="7810242C"/>
    <w:rsid w:val="78120536"/>
    <w:rsid w:val="78175E36"/>
    <w:rsid w:val="781D165B"/>
    <w:rsid w:val="781D7A64"/>
    <w:rsid w:val="781E0CC6"/>
    <w:rsid w:val="781F7F97"/>
    <w:rsid w:val="78262341"/>
    <w:rsid w:val="78287CC6"/>
    <w:rsid w:val="782D71DD"/>
    <w:rsid w:val="782E2696"/>
    <w:rsid w:val="783111B7"/>
    <w:rsid w:val="78324A1E"/>
    <w:rsid w:val="78355234"/>
    <w:rsid w:val="78372827"/>
    <w:rsid w:val="7839160A"/>
    <w:rsid w:val="78434E7D"/>
    <w:rsid w:val="784B674F"/>
    <w:rsid w:val="7851484D"/>
    <w:rsid w:val="7858084F"/>
    <w:rsid w:val="78583490"/>
    <w:rsid w:val="785B22C0"/>
    <w:rsid w:val="785E7A14"/>
    <w:rsid w:val="785F51D3"/>
    <w:rsid w:val="7860333A"/>
    <w:rsid w:val="78680440"/>
    <w:rsid w:val="786961BA"/>
    <w:rsid w:val="78746401"/>
    <w:rsid w:val="78747450"/>
    <w:rsid w:val="787D150D"/>
    <w:rsid w:val="78874D6A"/>
    <w:rsid w:val="78875BE6"/>
    <w:rsid w:val="788D2783"/>
    <w:rsid w:val="78995EFC"/>
    <w:rsid w:val="789C1508"/>
    <w:rsid w:val="789F2118"/>
    <w:rsid w:val="78A00AA9"/>
    <w:rsid w:val="78A53A59"/>
    <w:rsid w:val="78AC2786"/>
    <w:rsid w:val="78AC2D7B"/>
    <w:rsid w:val="78AF121B"/>
    <w:rsid w:val="78B27E30"/>
    <w:rsid w:val="78B574CE"/>
    <w:rsid w:val="78B864E3"/>
    <w:rsid w:val="78B922BD"/>
    <w:rsid w:val="78BA015C"/>
    <w:rsid w:val="78BB5CB4"/>
    <w:rsid w:val="78BC0AF2"/>
    <w:rsid w:val="78C15583"/>
    <w:rsid w:val="78C231B3"/>
    <w:rsid w:val="78C733B9"/>
    <w:rsid w:val="78C769A8"/>
    <w:rsid w:val="78C87934"/>
    <w:rsid w:val="78C87DFA"/>
    <w:rsid w:val="78CA1E86"/>
    <w:rsid w:val="78CE58CB"/>
    <w:rsid w:val="78D10AAC"/>
    <w:rsid w:val="78D61857"/>
    <w:rsid w:val="78D71749"/>
    <w:rsid w:val="78DA6689"/>
    <w:rsid w:val="78E17139"/>
    <w:rsid w:val="78E22076"/>
    <w:rsid w:val="78E36519"/>
    <w:rsid w:val="78E61FA6"/>
    <w:rsid w:val="78EE6B97"/>
    <w:rsid w:val="78F11482"/>
    <w:rsid w:val="78F17E14"/>
    <w:rsid w:val="78F85C68"/>
    <w:rsid w:val="78F91C78"/>
    <w:rsid w:val="78FA52B9"/>
    <w:rsid w:val="78FD4950"/>
    <w:rsid w:val="790074AF"/>
    <w:rsid w:val="79052274"/>
    <w:rsid w:val="79073671"/>
    <w:rsid w:val="790A2AE6"/>
    <w:rsid w:val="790B3E5A"/>
    <w:rsid w:val="790F6BB5"/>
    <w:rsid w:val="7910069E"/>
    <w:rsid w:val="791A1006"/>
    <w:rsid w:val="791A3E30"/>
    <w:rsid w:val="792021EA"/>
    <w:rsid w:val="79206FB5"/>
    <w:rsid w:val="79212029"/>
    <w:rsid w:val="79235954"/>
    <w:rsid w:val="792570E7"/>
    <w:rsid w:val="79280A93"/>
    <w:rsid w:val="79320844"/>
    <w:rsid w:val="793633D6"/>
    <w:rsid w:val="793B41D1"/>
    <w:rsid w:val="793D2DD2"/>
    <w:rsid w:val="79440EAD"/>
    <w:rsid w:val="794A70CC"/>
    <w:rsid w:val="79504F53"/>
    <w:rsid w:val="79507852"/>
    <w:rsid w:val="79507E21"/>
    <w:rsid w:val="795413AF"/>
    <w:rsid w:val="79562D13"/>
    <w:rsid w:val="79613FD1"/>
    <w:rsid w:val="7962019C"/>
    <w:rsid w:val="796C0D7E"/>
    <w:rsid w:val="79724879"/>
    <w:rsid w:val="7972646E"/>
    <w:rsid w:val="797703F3"/>
    <w:rsid w:val="79805F00"/>
    <w:rsid w:val="79860E04"/>
    <w:rsid w:val="7988332F"/>
    <w:rsid w:val="798D69C8"/>
    <w:rsid w:val="798F7243"/>
    <w:rsid w:val="79973843"/>
    <w:rsid w:val="799E2799"/>
    <w:rsid w:val="79A33BBA"/>
    <w:rsid w:val="79A61220"/>
    <w:rsid w:val="79B20CB8"/>
    <w:rsid w:val="79B3393D"/>
    <w:rsid w:val="79B87E81"/>
    <w:rsid w:val="79BA69D4"/>
    <w:rsid w:val="79BB2CA9"/>
    <w:rsid w:val="79BD6142"/>
    <w:rsid w:val="79BF0DAF"/>
    <w:rsid w:val="79C11947"/>
    <w:rsid w:val="79C74F18"/>
    <w:rsid w:val="79C9124C"/>
    <w:rsid w:val="79C97604"/>
    <w:rsid w:val="79CE462E"/>
    <w:rsid w:val="79D1234D"/>
    <w:rsid w:val="79D867AF"/>
    <w:rsid w:val="79E13F3E"/>
    <w:rsid w:val="79E166FC"/>
    <w:rsid w:val="79E30E8C"/>
    <w:rsid w:val="79E80649"/>
    <w:rsid w:val="79EB1329"/>
    <w:rsid w:val="79ED371A"/>
    <w:rsid w:val="79FA2DCB"/>
    <w:rsid w:val="7A0E571B"/>
    <w:rsid w:val="7A113E35"/>
    <w:rsid w:val="7A117AED"/>
    <w:rsid w:val="7A121919"/>
    <w:rsid w:val="7A126383"/>
    <w:rsid w:val="7A1514C9"/>
    <w:rsid w:val="7A1976CE"/>
    <w:rsid w:val="7A1D6DCF"/>
    <w:rsid w:val="7A232B99"/>
    <w:rsid w:val="7A24307E"/>
    <w:rsid w:val="7A2C2826"/>
    <w:rsid w:val="7A2E7D08"/>
    <w:rsid w:val="7A371BA5"/>
    <w:rsid w:val="7A3C753C"/>
    <w:rsid w:val="7A3D7E72"/>
    <w:rsid w:val="7A4822D7"/>
    <w:rsid w:val="7A5433B2"/>
    <w:rsid w:val="7A596FBE"/>
    <w:rsid w:val="7A5F7E01"/>
    <w:rsid w:val="7A60222B"/>
    <w:rsid w:val="7A6412E3"/>
    <w:rsid w:val="7A685F70"/>
    <w:rsid w:val="7A6A11D9"/>
    <w:rsid w:val="7A6D4434"/>
    <w:rsid w:val="7A6F3F13"/>
    <w:rsid w:val="7A750BD8"/>
    <w:rsid w:val="7A777060"/>
    <w:rsid w:val="7A780E3C"/>
    <w:rsid w:val="7A79215A"/>
    <w:rsid w:val="7A797F94"/>
    <w:rsid w:val="7A7A3C78"/>
    <w:rsid w:val="7A7F7C39"/>
    <w:rsid w:val="7A861229"/>
    <w:rsid w:val="7A8C44D3"/>
    <w:rsid w:val="7A8F67EF"/>
    <w:rsid w:val="7A91596F"/>
    <w:rsid w:val="7AA07DDB"/>
    <w:rsid w:val="7AA11299"/>
    <w:rsid w:val="7AA20EE0"/>
    <w:rsid w:val="7AA419B0"/>
    <w:rsid w:val="7AA66192"/>
    <w:rsid w:val="7AA92326"/>
    <w:rsid w:val="7AB12572"/>
    <w:rsid w:val="7AB16063"/>
    <w:rsid w:val="7ABA0C78"/>
    <w:rsid w:val="7ABF2C1D"/>
    <w:rsid w:val="7AC479CF"/>
    <w:rsid w:val="7AC76D93"/>
    <w:rsid w:val="7ACA5D7E"/>
    <w:rsid w:val="7ACF0CF3"/>
    <w:rsid w:val="7ACF3AFC"/>
    <w:rsid w:val="7ADD109C"/>
    <w:rsid w:val="7ADE7FBC"/>
    <w:rsid w:val="7AF26748"/>
    <w:rsid w:val="7AFC6058"/>
    <w:rsid w:val="7AFE0331"/>
    <w:rsid w:val="7B055C1E"/>
    <w:rsid w:val="7B10480D"/>
    <w:rsid w:val="7B133A12"/>
    <w:rsid w:val="7B184170"/>
    <w:rsid w:val="7B1D27E7"/>
    <w:rsid w:val="7B2A2E85"/>
    <w:rsid w:val="7B2C31E8"/>
    <w:rsid w:val="7B2D4237"/>
    <w:rsid w:val="7B2E56D4"/>
    <w:rsid w:val="7B38059E"/>
    <w:rsid w:val="7B383E27"/>
    <w:rsid w:val="7B445469"/>
    <w:rsid w:val="7B474C85"/>
    <w:rsid w:val="7B4B4CEF"/>
    <w:rsid w:val="7B4C0C41"/>
    <w:rsid w:val="7B4D7F67"/>
    <w:rsid w:val="7B4E0760"/>
    <w:rsid w:val="7B5048DD"/>
    <w:rsid w:val="7B5B445D"/>
    <w:rsid w:val="7B642B1F"/>
    <w:rsid w:val="7B665A9D"/>
    <w:rsid w:val="7B7A4F03"/>
    <w:rsid w:val="7B8467F2"/>
    <w:rsid w:val="7B87474E"/>
    <w:rsid w:val="7B8D17E1"/>
    <w:rsid w:val="7B9045EF"/>
    <w:rsid w:val="7B912B0B"/>
    <w:rsid w:val="7B995294"/>
    <w:rsid w:val="7B9A05A5"/>
    <w:rsid w:val="7B9E33D6"/>
    <w:rsid w:val="7BAE34BE"/>
    <w:rsid w:val="7BAE43DB"/>
    <w:rsid w:val="7BB16230"/>
    <w:rsid w:val="7BB21CB6"/>
    <w:rsid w:val="7BB66976"/>
    <w:rsid w:val="7BB9282F"/>
    <w:rsid w:val="7BBA38DA"/>
    <w:rsid w:val="7BC534B5"/>
    <w:rsid w:val="7BC82526"/>
    <w:rsid w:val="7BC9792D"/>
    <w:rsid w:val="7BCC2E57"/>
    <w:rsid w:val="7BD458FF"/>
    <w:rsid w:val="7BD872A4"/>
    <w:rsid w:val="7BDD6891"/>
    <w:rsid w:val="7BDF7F5A"/>
    <w:rsid w:val="7BE17423"/>
    <w:rsid w:val="7BE40416"/>
    <w:rsid w:val="7BE40DE4"/>
    <w:rsid w:val="7BF47271"/>
    <w:rsid w:val="7BFA5EE7"/>
    <w:rsid w:val="7BFC0A60"/>
    <w:rsid w:val="7BFF07F5"/>
    <w:rsid w:val="7BFF6159"/>
    <w:rsid w:val="7C04032E"/>
    <w:rsid w:val="7C046812"/>
    <w:rsid w:val="7C0C417E"/>
    <w:rsid w:val="7C0D107D"/>
    <w:rsid w:val="7C0E1C6B"/>
    <w:rsid w:val="7C103C8F"/>
    <w:rsid w:val="7C122B9D"/>
    <w:rsid w:val="7C137C33"/>
    <w:rsid w:val="7C151FF6"/>
    <w:rsid w:val="7C2409D4"/>
    <w:rsid w:val="7C247DD5"/>
    <w:rsid w:val="7C2654C8"/>
    <w:rsid w:val="7C2B5359"/>
    <w:rsid w:val="7C2F7ACB"/>
    <w:rsid w:val="7C313EBD"/>
    <w:rsid w:val="7C331792"/>
    <w:rsid w:val="7C371AA0"/>
    <w:rsid w:val="7C434F54"/>
    <w:rsid w:val="7C48077E"/>
    <w:rsid w:val="7C484225"/>
    <w:rsid w:val="7C486F1F"/>
    <w:rsid w:val="7C4F41B8"/>
    <w:rsid w:val="7C507B69"/>
    <w:rsid w:val="7C52036A"/>
    <w:rsid w:val="7C5A0344"/>
    <w:rsid w:val="7C5A373B"/>
    <w:rsid w:val="7C624410"/>
    <w:rsid w:val="7C6453C2"/>
    <w:rsid w:val="7C661A55"/>
    <w:rsid w:val="7C675A1D"/>
    <w:rsid w:val="7C6906EF"/>
    <w:rsid w:val="7C6A15B3"/>
    <w:rsid w:val="7C76619B"/>
    <w:rsid w:val="7C7A110B"/>
    <w:rsid w:val="7C7B618A"/>
    <w:rsid w:val="7C8A4E29"/>
    <w:rsid w:val="7C9158CA"/>
    <w:rsid w:val="7C945592"/>
    <w:rsid w:val="7C972D0E"/>
    <w:rsid w:val="7C993E71"/>
    <w:rsid w:val="7C9C5993"/>
    <w:rsid w:val="7C9E2682"/>
    <w:rsid w:val="7CAC07D5"/>
    <w:rsid w:val="7CAC0903"/>
    <w:rsid w:val="7CAF4DE1"/>
    <w:rsid w:val="7CB2343C"/>
    <w:rsid w:val="7CB35B6A"/>
    <w:rsid w:val="7CB85B52"/>
    <w:rsid w:val="7CBB76D8"/>
    <w:rsid w:val="7CBD0E7E"/>
    <w:rsid w:val="7CCC03A8"/>
    <w:rsid w:val="7CCD740C"/>
    <w:rsid w:val="7CCE578F"/>
    <w:rsid w:val="7CD46054"/>
    <w:rsid w:val="7CD53D93"/>
    <w:rsid w:val="7CD64FA3"/>
    <w:rsid w:val="7CD92DDE"/>
    <w:rsid w:val="7CDB38D7"/>
    <w:rsid w:val="7CE01B89"/>
    <w:rsid w:val="7CE060DA"/>
    <w:rsid w:val="7CE1346B"/>
    <w:rsid w:val="7CE2014E"/>
    <w:rsid w:val="7CE23B85"/>
    <w:rsid w:val="7CE8346C"/>
    <w:rsid w:val="7CEC5AE4"/>
    <w:rsid w:val="7CF037FD"/>
    <w:rsid w:val="7CF159D9"/>
    <w:rsid w:val="7CFD7CDB"/>
    <w:rsid w:val="7D08168E"/>
    <w:rsid w:val="7D0857F6"/>
    <w:rsid w:val="7D0A5F6A"/>
    <w:rsid w:val="7D0A7D18"/>
    <w:rsid w:val="7D0F3580"/>
    <w:rsid w:val="7D101CB5"/>
    <w:rsid w:val="7D113A55"/>
    <w:rsid w:val="7D124895"/>
    <w:rsid w:val="7D1248C6"/>
    <w:rsid w:val="7D1B2772"/>
    <w:rsid w:val="7D1C7A4B"/>
    <w:rsid w:val="7D1D6045"/>
    <w:rsid w:val="7D20450B"/>
    <w:rsid w:val="7D2708CA"/>
    <w:rsid w:val="7D292CA2"/>
    <w:rsid w:val="7D2D2E90"/>
    <w:rsid w:val="7D3431DD"/>
    <w:rsid w:val="7D3D1664"/>
    <w:rsid w:val="7D40198C"/>
    <w:rsid w:val="7D40496E"/>
    <w:rsid w:val="7D48207C"/>
    <w:rsid w:val="7D4F6073"/>
    <w:rsid w:val="7D50405D"/>
    <w:rsid w:val="7D511D51"/>
    <w:rsid w:val="7D532D46"/>
    <w:rsid w:val="7D5B4A17"/>
    <w:rsid w:val="7D5D07AB"/>
    <w:rsid w:val="7D6417AF"/>
    <w:rsid w:val="7D6B687F"/>
    <w:rsid w:val="7D6D587D"/>
    <w:rsid w:val="7D723DBE"/>
    <w:rsid w:val="7D730B4C"/>
    <w:rsid w:val="7D7753FC"/>
    <w:rsid w:val="7D7940F9"/>
    <w:rsid w:val="7D7F2797"/>
    <w:rsid w:val="7D7F2D5A"/>
    <w:rsid w:val="7D826F3A"/>
    <w:rsid w:val="7D8442CA"/>
    <w:rsid w:val="7D8E7678"/>
    <w:rsid w:val="7D906646"/>
    <w:rsid w:val="7D91738E"/>
    <w:rsid w:val="7DA12416"/>
    <w:rsid w:val="7DA77C5D"/>
    <w:rsid w:val="7DA910D7"/>
    <w:rsid w:val="7DB16675"/>
    <w:rsid w:val="7DB20F1E"/>
    <w:rsid w:val="7DBA3CA6"/>
    <w:rsid w:val="7DBB6D5E"/>
    <w:rsid w:val="7DC23BEA"/>
    <w:rsid w:val="7DC367C8"/>
    <w:rsid w:val="7DC40D4A"/>
    <w:rsid w:val="7DDA593C"/>
    <w:rsid w:val="7DDF46E6"/>
    <w:rsid w:val="7DE0456D"/>
    <w:rsid w:val="7DE10FB0"/>
    <w:rsid w:val="7DE13219"/>
    <w:rsid w:val="7DE66C5C"/>
    <w:rsid w:val="7DEF658E"/>
    <w:rsid w:val="7DF369FE"/>
    <w:rsid w:val="7DF85B02"/>
    <w:rsid w:val="7DF86D11"/>
    <w:rsid w:val="7DFD4C6F"/>
    <w:rsid w:val="7DFF6883"/>
    <w:rsid w:val="7E001EE1"/>
    <w:rsid w:val="7E04594E"/>
    <w:rsid w:val="7E0473AC"/>
    <w:rsid w:val="7E0650D5"/>
    <w:rsid w:val="7E0659D9"/>
    <w:rsid w:val="7E080AE1"/>
    <w:rsid w:val="7E0B01EB"/>
    <w:rsid w:val="7E1147BD"/>
    <w:rsid w:val="7E127AE1"/>
    <w:rsid w:val="7E1329D5"/>
    <w:rsid w:val="7E1A45D6"/>
    <w:rsid w:val="7E1E2A32"/>
    <w:rsid w:val="7E2117BD"/>
    <w:rsid w:val="7E226D6A"/>
    <w:rsid w:val="7E2E4B93"/>
    <w:rsid w:val="7E2F5D8F"/>
    <w:rsid w:val="7E300291"/>
    <w:rsid w:val="7E357016"/>
    <w:rsid w:val="7E365875"/>
    <w:rsid w:val="7E3F1C43"/>
    <w:rsid w:val="7E3F2ED6"/>
    <w:rsid w:val="7E4651FF"/>
    <w:rsid w:val="7E48330B"/>
    <w:rsid w:val="7E4A545F"/>
    <w:rsid w:val="7E4E2645"/>
    <w:rsid w:val="7E513924"/>
    <w:rsid w:val="7E5612CB"/>
    <w:rsid w:val="7E56399B"/>
    <w:rsid w:val="7E5E5C24"/>
    <w:rsid w:val="7E622852"/>
    <w:rsid w:val="7E687E82"/>
    <w:rsid w:val="7E6C785F"/>
    <w:rsid w:val="7E6D404B"/>
    <w:rsid w:val="7E6F688A"/>
    <w:rsid w:val="7E803C99"/>
    <w:rsid w:val="7E8315A7"/>
    <w:rsid w:val="7E8413EE"/>
    <w:rsid w:val="7E850D7B"/>
    <w:rsid w:val="7E864400"/>
    <w:rsid w:val="7E8D1859"/>
    <w:rsid w:val="7E8D73C7"/>
    <w:rsid w:val="7E9419D3"/>
    <w:rsid w:val="7E9D21AC"/>
    <w:rsid w:val="7EA965A2"/>
    <w:rsid w:val="7EB1784D"/>
    <w:rsid w:val="7EB45671"/>
    <w:rsid w:val="7EB45EFD"/>
    <w:rsid w:val="7EB74FE8"/>
    <w:rsid w:val="7EBA57A5"/>
    <w:rsid w:val="7EBC7585"/>
    <w:rsid w:val="7EC004E3"/>
    <w:rsid w:val="7EC93702"/>
    <w:rsid w:val="7ECC7971"/>
    <w:rsid w:val="7ED032B9"/>
    <w:rsid w:val="7ED279DB"/>
    <w:rsid w:val="7EDE1CAB"/>
    <w:rsid w:val="7EDF39AB"/>
    <w:rsid w:val="7EE26E6E"/>
    <w:rsid w:val="7EE414E6"/>
    <w:rsid w:val="7EE56BD4"/>
    <w:rsid w:val="7EE670DC"/>
    <w:rsid w:val="7EED6D9D"/>
    <w:rsid w:val="7EEF54C2"/>
    <w:rsid w:val="7EF17EEE"/>
    <w:rsid w:val="7EF43DE6"/>
    <w:rsid w:val="7EF652CA"/>
    <w:rsid w:val="7EF906FC"/>
    <w:rsid w:val="7EFE32A6"/>
    <w:rsid w:val="7F0356FD"/>
    <w:rsid w:val="7F0F0B20"/>
    <w:rsid w:val="7F114E48"/>
    <w:rsid w:val="7F14562A"/>
    <w:rsid w:val="7F1B3017"/>
    <w:rsid w:val="7F1B3638"/>
    <w:rsid w:val="7F237600"/>
    <w:rsid w:val="7F2C663B"/>
    <w:rsid w:val="7F3379FA"/>
    <w:rsid w:val="7F34467C"/>
    <w:rsid w:val="7F360588"/>
    <w:rsid w:val="7F364DF4"/>
    <w:rsid w:val="7F3D3B02"/>
    <w:rsid w:val="7F40215A"/>
    <w:rsid w:val="7F402C51"/>
    <w:rsid w:val="7F406FE6"/>
    <w:rsid w:val="7F4949F2"/>
    <w:rsid w:val="7F4A23F0"/>
    <w:rsid w:val="7F4A57FF"/>
    <w:rsid w:val="7F4B03F8"/>
    <w:rsid w:val="7F524FCB"/>
    <w:rsid w:val="7F540BA0"/>
    <w:rsid w:val="7F556E2A"/>
    <w:rsid w:val="7F571AC4"/>
    <w:rsid w:val="7F5E2FB6"/>
    <w:rsid w:val="7F5F359B"/>
    <w:rsid w:val="7F8208F3"/>
    <w:rsid w:val="7F8518D8"/>
    <w:rsid w:val="7F85752B"/>
    <w:rsid w:val="7F871AF4"/>
    <w:rsid w:val="7F9A3F19"/>
    <w:rsid w:val="7F9D30C5"/>
    <w:rsid w:val="7F9F4D28"/>
    <w:rsid w:val="7FA36202"/>
    <w:rsid w:val="7FAB5AF8"/>
    <w:rsid w:val="7FAE3EEC"/>
    <w:rsid w:val="7FB000B0"/>
    <w:rsid w:val="7FB2376C"/>
    <w:rsid w:val="7FC00B62"/>
    <w:rsid w:val="7FCD4F0C"/>
    <w:rsid w:val="7FCD69C4"/>
    <w:rsid w:val="7FD166E7"/>
    <w:rsid w:val="7FD81014"/>
    <w:rsid w:val="7FD94BE3"/>
    <w:rsid w:val="7FDB4847"/>
    <w:rsid w:val="7FE46E9E"/>
    <w:rsid w:val="7FEF35E7"/>
    <w:rsid w:val="7FF22886"/>
    <w:rsid w:val="7FF77040"/>
    <w:rsid w:val="7FF877D2"/>
    <w:rsid w:val="7FF97424"/>
    <w:rsid w:val="7FFD507D"/>
    <w:rsid w:val="7FFF4CBE"/>
    <w:rsid w:val="F9FD87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qFormat="1" w:unhideWhenUsed="0" w:uiPriority="0" w:name="index 2"/>
    <w:lsdException w:qFormat="1" w:unhideWhenUsed="0" w:uiPriority="0" w:name="index 3"/>
    <w:lsdException w:qFormat="1" w:unhideWhenUsed="0" w:uiPriority="0" w:semiHidden="0" w:name="index 4"/>
    <w:lsdException w:qFormat="1" w:unhideWhenUsed="0" w:uiPriority="0" w:name="index 5"/>
    <w:lsdException w:qFormat="1" w:unhideWhenUsed="0" w:uiPriority="0" w:name="index 6"/>
    <w:lsdException w:qFormat="1" w:unhideWhenUsed="0" w:uiPriority="0" w:name="index 7"/>
    <w:lsdException w:qFormat="1" w:unhideWhenUsed="0" w:uiPriority="0" w:name="index 8"/>
    <w:lsdException w:qFormat="1" w:unhideWhenUsed="0"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name="index heading"/>
    <w:lsdException w:qFormat="1" w:unhideWhenUsed="0" w:uiPriority="99" w:semiHidden="0" w:name="caption"/>
    <w:lsdException w:qFormat="1" w:unhideWhenUsed="0" w:uiPriority="0" w:semiHidden="0" w:name="table of figures"/>
    <w:lsdException w:qFormat="1" w:unhideWhenUsed="0" w:uiPriority="0" w:name="envelope address"/>
    <w:lsdException w:qFormat="1" w:unhideWhenUsed="0" w:uiPriority="0" w:name="envelope return"/>
    <w:lsdException w:qFormat="1" w:unhideWhenUsed="0" w:uiPriority="0" w:semiHidden="0" w:name="footnote reference"/>
    <w:lsdException w:qFormat="1" w:unhideWhenUsed="0" w:uiPriority="99" w:semiHidden="0" w:name="annotation reference"/>
    <w:lsdException w:qFormat="1" w:unhideWhenUsed="0" w:uiPriority="0" w:name="line number"/>
    <w:lsdException w:qFormat="1" w:unhideWhenUsed="0" w:uiPriority="0" w:semiHidden="0" w:name="page number"/>
    <w:lsdException w:qFormat="1" w:unhideWhenUsed="0" w:uiPriority="0" w:name="endnote reference"/>
    <w:lsdException w:qFormat="1" w:unhideWhenUsed="0" w:uiPriority="0" w:name="endnote text"/>
    <w:lsdException w:qFormat="1" w:unhideWhenUsed="0" w:uiPriority="0" w:name="table of authorities"/>
    <w:lsdException w:uiPriority="0" w:name="macro"/>
    <w:lsdException w:qFormat="1" w:unhideWhenUsed="0" w:uiPriority="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name="List 3"/>
    <w:lsdException w:qFormat="1" w:unhideWhenUsed="0" w:uiPriority="0" w:name="List 4"/>
    <w:lsdException w:qFormat="1" w:unhideWhenUsed="0" w:uiPriority="0" w:name="List 5"/>
    <w:lsdException w:qFormat="1" w:unhideWhenUsed="0" w:uiPriority="0" w:name="List Bullet 2"/>
    <w:lsdException w:qFormat="1" w:unhideWhenUsed="0" w:uiPriority="0" w:name="List Bullet 3"/>
    <w:lsdException w:qFormat="1" w:unhideWhenUsed="0" w:uiPriority="0" w:name="List Bullet 4"/>
    <w:lsdException w:qFormat="1" w:unhideWhenUsed="0" w:uiPriority="0" w:name="List Bullet 5"/>
    <w:lsdException w:qFormat="1" w:unhideWhenUsed="0" w:uiPriority="0" w:name="List Number 2"/>
    <w:lsdException w:qFormat="1" w:unhideWhenUsed="0" w:uiPriority="0" w:name="List Number 3"/>
    <w:lsdException w:qFormat="1" w:unhideWhenUsed="0" w:uiPriority="0" w:name="List Number 4"/>
    <w:lsdException w:qFormat="1" w:unhideWhenUsed="0" w:uiPriority="0" w:name="List Number 5"/>
    <w:lsdException w:qFormat="1" w:unhideWhenUsed="0" w:uiPriority="0" w:semiHidden="0" w:name="Title"/>
    <w:lsdException w:qFormat="1" w:unhideWhenUsed="0" w:uiPriority="0" w:name="Closing"/>
    <w:lsdException w:qFormat="1" w:unhideWhenUsed="0" w:uiPriority="0" w:name="Signature"/>
    <w:lsdException w:qFormat="1" w:uiPriority="1" w:name="Default Paragraph Font"/>
    <w:lsdException w:qFormat="1" w:unhideWhenUsed="0" w:uiPriority="1" w:semiHidden="0" w:name="Body Text"/>
    <w:lsdException w:qFormat="1" w:unhideWhenUsed="0" w:uiPriority="0" w:semiHidden="0" w:name="Body Text Indent"/>
    <w:lsdException w:qFormat="1" w:unhideWhenUsed="0" w:uiPriority="0" w:name="List Continue"/>
    <w:lsdException w:qFormat="1" w:unhideWhenUsed="0" w:uiPriority="0" w:semiHidden="0" w:name="List Continue 2"/>
    <w:lsdException w:qFormat="1" w:unhideWhenUsed="0" w:uiPriority="0" w:name="List Continue 3"/>
    <w:lsdException w:qFormat="1" w:unhideWhenUsed="0" w:uiPriority="0" w:name="List Continue 4"/>
    <w:lsdException w:qFormat="1" w:unhideWhenUsed="0" w:uiPriority="0" w:name="List Continue 5"/>
    <w:lsdException w:qFormat="1" w:unhideWhenUsed="0" w:uiPriority="0" w:name="Message Header"/>
    <w:lsdException w:qFormat="1" w:unhideWhenUsed="0" w:uiPriority="0" w:semiHidden="0" w:name="Subtitle"/>
    <w:lsdException w:qFormat="1" w:unhideWhenUsed="0" w:uiPriority="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iPriority="99"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name="E-mail Signature"/>
    <w:lsdException w:qFormat="1" w:unhideWhenUsed="0" w:uiPriority="99" w:semiHidden="0" w:name="Normal (Web)"/>
    <w:lsdException w:qFormat="1" w:unhideWhenUsed="0" w:uiPriority="0" w:name="HTML Acronym"/>
    <w:lsdException w:qFormat="1" w:unhideWhenUsed="0" w:uiPriority="0" w:name="HTML Address"/>
    <w:lsdException w:qFormat="1" w:unhideWhenUsed="0" w:uiPriority="0" w:name="HTML Cite"/>
    <w:lsdException w:qFormat="1" w:unhideWhenUsed="0" w:uiPriority="0" w:name="HTML Code"/>
    <w:lsdException w:qFormat="1" w:unhideWhenUsed="0" w:uiPriority="0" w:name="HTML Definition"/>
    <w:lsdException w:qFormat="1" w:unhideWhenUsed="0" w:uiPriority="0" w:name="HTML Keyboard"/>
    <w:lsdException w:qFormat="1" w:unhideWhenUsed="0" w:uiPriority="0" w:semiHidden="0" w:name="HTML Preformatted"/>
    <w:lsdException w:qFormat="1" w:unhideWhenUsed="0" w:uiPriority="0" w:name="HTML Sample"/>
    <w:lsdException w:qFormat="1" w:unhideWhenUsed="0" w:uiPriority="0" w:semiHidden="0" w:name="HTML Typewriter"/>
    <w:lsdException w:qFormat="1" w:unhideWhenUsed="0" w:uiPriority="0" w:name="HTML Variable"/>
    <w:lsdException w:qFormat="1" w:uiPriority="99" w:name="Normal Table"/>
    <w:lsdException w:qFormat="1" w:unhideWhenUsed="0" w:uiPriority="0" w:semiHidden="0" w:name="annotation subject"/>
    <w:lsdException w:qFormat="1" w:unhideWhenUsed="0" w:uiPriority="0" w:name="Table Simple 1"/>
    <w:lsdException w:qFormat="1" w:unhideWhenUsed="0" w:uiPriority="0" w:name="Table Simple 2"/>
    <w:lsdException w:qFormat="1" w:unhideWhenUsed="0" w:uiPriority="0" w:name="Table Simple 3"/>
    <w:lsdException w:qFormat="1" w:unhideWhenUsed="0" w:uiPriority="0" w:name="Table Classic 1"/>
    <w:lsdException w:qFormat="1" w:unhideWhenUsed="0" w:uiPriority="0" w:name="Table Classic 2"/>
    <w:lsdException w:qFormat="1" w:unhideWhenUsed="0" w:uiPriority="0" w:name="Table Classic 3"/>
    <w:lsdException w:qFormat="1" w:unhideWhenUsed="0" w:uiPriority="0" w:name="Table Classic 4"/>
    <w:lsdException w:qFormat="1" w:unhideWhenUsed="0" w:uiPriority="0" w:name="Table Colorful 1"/>
    <w:lsdException w:qFormat="1" w:unhideWhenUsed="0" w:uiPriority="0" w:name="Table Colorful 2"/>
    <w:lsdException w:qFormat="1" w:unhideWhenUsed="0" w:uiPriority="0" w:name="Table Colorful 3"/>
    <w:lsdException w:qFormat="1" w:unhideWhenUsed="0" w:uiPriority="0" w:name="Table Columns 1"/>
    <w:lsdException w:qFormat="1" w:unhideWhenUsed="0" w:uiPriority="0" w:name="Table Columns 2"/>
    <w:lsdException w:qFormat="1" w:unhideWhenUsed="0" w:uiPriority="0" w:name="Table Columns 3"/>
    <w:lsdException w:qFormat="1" w:unhideWhenUsed="0" w:uiPriority="0" w:name="Table Columns 4"/>
    <w:lsdException w:qFormat="1" w:unhideWhenUsed="0" w:uiPriority="0" w:name="Table Columns 5"/>
    <w:lsdException w:qFormat="1" w:unhideWhenUsed="0" w:uiPriority="0" w:name="Table Grid 1"/>
    <w:lsdException w:qFormat="1" w:unhideWhenUsed="0" w:uiPriority="0" w:name="Table Grid 2"/>
    <w:lsdException w:qFormat="1" w:unhideWhenUsed="0" w:uiPriority="0" w:name="Table Grid 3"/>
    <w:lsdException w:qFormat="1" w:unhideWhenUsed="0" w:uiPriority="0" w:name="Table Grid 4"/>
    <w:lsdException w:qFormat="1" w:unhideWhenUsed="0" w:uiPriority="0" w:name="Table Grid 5"/>
    <w:lsdException w:qFormat="1" w:unhideWhenUsed="0" w:uiPriority="0" w:name="Table Grid 6"/>
    <w:lsdException w:qFormat="1" w:unhideWhenUsed="0" w:uiPriority="0" w:name="Table Grid 7"/>
    <w:lsdException w:qFormat="1" w:unhideWhenUsed="0" w:uiPriority="0" w:name="Table Grid 8"/>
    <w:lsdException w:qFormat="1" w:unhideWhenUsed="0" w:uiPriority="0" w:name="Table List 1"/>
    <w:lsdException w:qFormat="1" w:unhideWhenUsed="0" w:uiPriority="0" w:name="Table List 2"/>
    <w:lsdException w:qFormat="1" w:unhideWhenUsed="0" w:uiPriority="0" w:name="Table List 3"/>
    <w:lsdException w:qFormat="1" w:unhideWhenUsed="0" w:uiPriority="0" w:name="Table List 4"/>
    <w:lsdException w:qFormat="1" w:unhideWhenUsed="0" w:uiPriority="0" w:name="Table List 5"/>
    <w:lsdException w:qFormat="1" w:unhideWhenUsed="0" w:uiPriority="0" w:name="Table List 6"/>
    <w:lsdException w:qFormat="1" w:unhideWhenUsed="0" w:uiPriority="0" w:name="Table List 7"/>
    <w:lsdException w:qFormat="1" w:unhideWhenUsed="0" w:uiPriority="0" w:name="Table List 8"/>
    <w:lsdException w:qFormat="1" w:unhideWhenUsed="0" w:uiPriority="0" w:name="Table 3D effects 1"/>
    <w:lsdException w:qFormat="1" w:unhideWhenUsed="0" w:uiPriority="0" w:name="Table 3D effects 2"/>
    <w:lsdException w:qFormat="1" w:unhideWhenUsed="0" w:uiPriority="0" w:name="Table 3D effects 3"/>
    <w:lsdException w:qFormat="1" w:unhideWhenUsed="0" w:uiPriority="0" w:name="Table Contemporary"/>
    <w:lsdException w:qFormat="1" w:unhideWhenUsed="0" w:uiPriority="0" w:name="Table Elegant"/>
    <w:lsdException w:qFormat="1" w:unhideWhenUsed="0" w:uiPriority="0" w:name="Table Professional"/>
    <w:lsdException w:qFormat="1" w:unhideWhenUsed="0" w:uiPriority="0" w:name="Table Subtle 1"/>
    <w:lsdException w:qFormat="1" w:unhideWhenUsed="0" w:uiPriority="0" w:name="Table Subtle 2"/>
    <w:lsdException w:qFormat="1" w:unhideWhenUsed="0" w:uiPriority="0" w:name="Table Web 1"/>
    <w:lsdException w:qFormat="1" w:unhideWhenUsed="0" w:uiPriority="0" w:name="Table Web 2"/>
    <w:lsdException w:qFormat="1" w:unhideWhenUsed="0" w:uiPriority="0" w:name="Table Web 3"/>
    <w:lsdException w:qFormat="1" w:unhideWhenUsed="0" w:uiPriority="0" w:semiHidden="0" w:name="Balloon Text"/>
    <w:lsdException w:qFormat="1" w:unhideWhenUsed="0" w:uiPriority="39" w:semiHidden="0" w:name="Table Grid"/>
    <w:lsdException w:qFormat="1" w:unhideWhenUsed="0" w:uiPriority="0" w:name="Table Theme"/>
    <w:lsdException w:qFormat="1" w:unhideWhenUsed="0" w:uiPriority="0"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0" w:semiHidden="0" w:name="Quote"/>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tabs>
        <w:tab w:val="left" w:pos="480"/>
      </w:tabs>
      <w:snapToGrid w:val="0"/>
      <w:spacing w:line="360" w:lineRule="auto"/>
      <w:ind w:firstLine="480" w:firstLineChars="200"/>
      <w:jc w:val="both"/>
    </w:pPr>
    <w:rPr>
      <w:rFonts w:ascii="Times New Roman" w:hAnsi="Times New Roman" w:eastAsia="宋体" w:cs="Times New Roman"/>
      <w:color w:val="000000" w:themeColor="text1"/>
      <w:kern w:val="2"/>
      <w:sz w:val="24"/>
      <w:szCs w:val="20"/>
      <w:u w:val="none" w:color="auto"/>
      <w:lang w:val="en-US" w:eastAsia="zh-CN" w:bidi="ar-SA"/>
      <w14:textFill>
        <w14:solidFill>
          <w14:schemeClr w14:val="tx1"/>
        </w14:solidFill>
      </w14:textFill>
    </w:rPr>
  </w:style>
  <w:style w:type="paragraph" w:styleId="2">
    <w:name w:val="heading 1"/>
    <w:basedOn w:val="1"/>
    <w:next w:val="1"/>
    <w:link w:val="697"/>
    <w:qFormat/>
    <w:uiPriority w:val="9"/>
    <w:pPr>
      <w:keepNext/>
      <w:keepLines/>
      <w:numPr>
        <w:ilvl w:val="0"/>
        <w:numId w:val="1"/>
      </w:numPr>
      <w:spacing w:before="340" w:after="330"/>
      <w:outlineLvl w:val="0"/>
    </w:pPr>
    <w:rPr>
      <w:rFonts w:ascii="仿宋_GB2312" w:eastAsia="仿宋_GB2312"/>
      <w:b/>
      <w:bCs/>
      <w:kern w:val="44"/>
      <w:sz w:val="36"/>
      <w:szCs w:val="44"/>
      <w:lang w:val="zh-CN"/>
    </w:rPr>
  </w:style>
  <w:style w:type="paragraph" w:styleId="3">
    <w:name w:val="heading 2"/>
    <w:basedOn w:val="1"/>
    <w:next w:val="1"/>
    <w:link w:val="1868"/>
    <w:qFormat/>
    <w:uiPriority w:val="9"/>
    <w:pPr>
      <w:keepNext/>
      <w:keepLines/>
      <w:numPr>
        <w:ilvl w:val="1"/>
        <w:numId w:val="1"/>
      </w:numPr>
      <w:tabs>
        <w:tab w:val="left" w:pos="630"/>
      </w:tabs>
      <w:spacing w:before="260" w:after="120"/>
      <w:outlineLvl w:val="1"/>
    </w:pPr>
    <w:rPr>
      <w:b/>
      <w:bCs/>
      <w:sz w:val="32"/>
      <w:szCs w:val="32"/>
      <w:lang w:val="zh-CN"/>
    </w:rPr>
  </w:style>
  <w:style w:type="paragraph" w:styleId="4">
    <w:name w:val="heading 3"/>
    <w:basedOn w:val="1"/>
    <w:next w:val="1"/>
    <w:link w:val="483"/>
    <w:qFormat/>
    <w:uiPriority w:val="9"/>
    <w:pPr>
      <w:keepNext/>
      <w:keepLines/>
      <w:numPr>
        <w:ilvl w:val="2"/>
        <w:numId w:val="1"/>
      </w:numPr>
      <w:tabs>
        <w:tab w:val="left" w:pos="840"/>
      </w:tabs>
      <w:spacing w:before="120" w:after="260" w:line="416" w:lineRule="auto"/>
      <w:outlineLvl w:val="2"/>
    </w:pPr>
    <w:rPr>
      <w:rFonts w:ascii="仿宋_GB2312" w:eastAsia="仿宋_GB2312"/>
      <w:b/>
      <w:bCs/>
      <w:sz w:val="30"/>
      <w:szCs w:val="32"/>
      <w:lang w:val="zh-CN"/>
    </w:rPr>
  </w:style>
  <w:style w:type="paragraph" w:styleId="5">
    <w:name w:val="heading 4"/>
    <w:basedOn w:val="1"/>
    <w:next w:val="1"/>
    <w:link w:val="161"/>
    <w:qFormat/>
    <w:uiPriority w:val="9"/>
    <w:pPr>
      <w:keepNext/>
      <w:keepLines/>
      <w:numPr>
        <w:ilvl w:val="3"/>
        <w:numId w:val="1"/>
      </w:numPr>
      <w:spacing w:before="240" w:after="240"/>
      <w:outlineLvl w:val="3"/>
    </w:pPr>
    <w:rPr>
      <w:rFonts w:ascii="仿宋_GB2312" w:hAnsi="宋体" w:eastAsia="仿宋_GB2312"/>
      <w:b/>
      <w:bCs/>
      <w:sz w:val="28"/>
      <w:szCs w:val="28"/>
      <w:lang w:val="zh-CN"/>
    </w:rPr>
  </w:style>
  <w:style w:type="paragraph" w:styleId="6">
    <w:name w:val="heading 5"/>
    <w:basedOn w:val="1"/>
    <w:next w:val="1"/>
    <w:link w:val="484"/>
    <w:qFormat/>
    <w:uiPriority w:val="9"/>
    <w:pPr>
      <w:keepNext/>
      <w:keepLines/>
      <w:numPr>
        <w:ilvl w:val="4"/>
        <w:numId w:val="1"/>
      </w:numPr>
      <w:spacing w:before="60" w:after="60"/>
      <w:ind w:firstLine="0" w:firstLineChars="0"/>
      <w:outlineLvl w:val="4"/>
    </w:pPr>
    <w:rPr>
      <w:rFonts w:ascii="宋体" w:hAnsi="Impact" w:eastAsia="楷体_GB2312"/>
      <w:b/>
      <w:szCs w:val="20"/>
      <w:lang w:val="zh-CN"/>
    </w:rPr>
  </w:style>
  <w:style w:type="paragraph" w:styleId="7">
    <w:name w:val="heading 6"/>
    <w:basedOn w:val="1"/>
    <w:next w:val="1"/>
    <w:link w:val="485"/>
    <w:qFormat/>
    <w:uiPriority w:val="0"/>
    <w:pPr>
      <w:keepNext/>
      <w:keepLines/>
      <w:numPr>
        <w:ilvl w:val="5"/>
        <w:numId w:val="1"/>
      </w:numPr>
      <w:autoSpaceDE w:val="0"/>
      <w:autoSpaceDN w:val="0"/>
      <w:adjustRightInd w:val="0"/>
      <w:spacing w:before="120" w:after="64" w:line="319" w:lineRule="auto"/>
      <w:textAlignment w:val="baseline"/>
      <w:outlineLvl w:val="5"/>
    </w:pPr>
    <w:rPr>
      <w:rFonts w:ascii="Arial" w:hAnsi="Arial" w:eastAsia="楷体_GB2312"/>
      <w:b/>
      <w:kern w:val="24"/>
      <w:szCs w:val="20"/>
      <w:lang w:val="zh-CN"/>
    </w:rPr>
  </w:style>
  <w:style w:type="paragraph" w:styleId="8">
    <w:name w:val="heading 7"/>
    <w:basedOn w:val="1"/>
    <w:next w:val="1"/>
    <w:link w:val="486"/>
    <w:qFormat/>
    <w:uiPriority w:val="0"/>
    <w:pPr>
      <w:keepNext/>
      <w:keepLines/>
      <w:numPr>
        <w:ilvl w:val="6"/>
        <w:numId w:val="1"/>
      </w:numPr>
      <w:autoSpaceDE w:val="0"/>
      <w:autoSpaceDN w:val="0"/>
      <w:adjustRightInd w:val="0"/>
      <w:spacing w:before="240" w:after="64" w:line="320" w:lineRule="auto"/>
      <w:textAlignment w:val="baseline"/>
      <w:outlineLvl w:val="6"/>
    </w:pPr>
    <w:rPr>
      <w:rFonts w:ascii="宋体" w:hAnsi="Impact" w:eastAsia="楷体_GB2312"/>
      <w:b/>
      <w:kern w:val="24"/>
      <w:szCs w:val="20"/>
      <w:lang w:val="zh-CN"/>
    </w:rPr>
  </w:style>
  <w:style w:type="paragraph" w:styleId="9">
    <w:name w:val="heading 8"/>
    <w:basedOn w:val="1"/>
    <w:next w:val="1"/>
    <w:link w:val="487"/>
    <w:qFormat/>
    <w:uiPriority w:val="0"/>
    <w:pPr>
      <w:keepNext/>
      <w:keepLines/>
      <w:numPr>
        <w:ilvl w:val="7"/>
        <w:numId w:val="1"/>
      </w:numPr>
      <w:autoSpaceDE w:val="0"/>
      <w:autoSpaceDN w:val="0"/>
      <w:adjustRightInd w:val="0"/>
      <w:spacing w:before="240" w:after="64" w:line="320" w:lineRule="auto"/>
      <w:textAlignment w:val="baseline"/>
      <w:outlineLvl w:val="7"/>
    </w:pPr>
    <w:rPr>
      <w:rFonts w:ascii="Arial" w:hAnsi="Arial" w:eastAsia="黑体"/>
      <w:kern w:val="24"/>
      <w:szCs w:val="20"/>
      <w:lang w:val="zh-CN"/>
    </w:rPr>
  </w:style>
  <w:style w:type="paragraph" w:styleId="10">
    <w:name w:val="heading 9"/>
    <w:basedOn w:val="1"/>
    <w:next w:val="1"/>
    <w:link w:val="488"/>
    <w:qFormat/>
    <w:uiPriority w:val="0"/>
    <w:pPr>
      <w:keepNext/>
      <w:keepLines/>
      <w:numPr>
        <w:ilvl w:val="8"/>
        <w:numId w:val="1"/>
      </w:numPr>
      <w:autoSpaceDE w:val="0"/>
      <w:autoSpaceDN w:val="0"/>
      <w:adjustRightInd w:val="0"/>
      <w:spacing w:before="240" w:after="64" w:line="320" w:lineRule="auto"/>
      <w:textAlignment w:val="baseline"/>
      <w:outlineLvl w:val="8"/>
    </w:pPr>
    <w:rPr>
      <w:rFonts w:ascii="Arial" w:hAnsi="Arial" w:eastAsia="黑体"/>
      <w:kern w:val="24"/>
      <w:sz w:val="28"/>
      <w:szCs w:val="20"/>
      <w:lang w:val="zh-CN"/>
    </w:rPr>
  </w:style>
  <w:style w:type="character" w:default="1" w:styleId="133">
    <w:name w:val="Default Paragraph Font"/>
    <w:semiHidden/>
    <w:unhideWhenUsed/>
    <w:qFormat/>
    <w:uiPriority w:val="1"/>
  </w:style>
  <w:style w:type="table" w:default="1" w:styleId="88">
    <w:name w:val="Normal Table"/>
    <w:semiHidden/>
    <w:unhideWhenUsed/>
    <w:qFormat/>
    <w:uiPriority w:val="99"/>
    <w:tblPr>
      <w:tblCellMar>
        <w:top w:w="0" w:type="dxa"/>
        <w:left w:w="108" w:type="dxa"/>
        <w:bottom w:w="0" w:type="dxa"/>
        <w:right w:w="108" w:type="dxa"/>
      </w:tblCellMar>
    </w:tblPr>
  </w:style>
  <w:style w:type="paragraph" w:styleId="11">
    <w:name w:val="List 3"/>
    <w:basedOn w:val="1"/>
    <w:semiHidden/>
    <w:qFormat/>
    <w:uiPriority w:val="0"/>
    <w:pPr>
      <w:ind w:left="100" w:leftChars="400" w:hanging="200" w:hangingChars="200"/>
    </w:pPr>
  </w:style>
  <w:style w:type="paragraph" w:styleId="12">
    <w:name w:val="toc 7"/>
    <w:basedOn w:val="1"/>
    <w:next w:val="1"/>
    <w:qFormat/>
    <w:uiPriority w:val="39"/>
    <w:pPr>
      <w:tabs>
        <w:tab w:val="clear" w:pos="480"/>
      </w:tabs>
      <w:ind w:left="1440"/>
      <w:jc w:val="left"/>
    </w:pPr>
    <w:rPr>
      <w:sz w:val="18"/>
      <w:szCs w:val="18"/>
    </w:rPr>
  </w:style>
  <w:style w:type="paragraph" w:styleId="13">
    <w:name w:val="List Number 2"/>
    <w:basedOn w:val="1"/>
    <w:semiHidden/>
    <w:qFormat/>
    <w:uiPriority w:val="0"/>
    <w:pPr>
      <w:tabs>
        <w:tab w:val="left" w:pos="780"/>
      </w:tabs>
      <w:ind w:left="780" w:leftChars="200" w:hanging="360" w:hangingChars="200"/>
    </w:pPr>
  </w:style>
  <w:style w:type="paragraph" w:styleId="14">
    <w:name w:val="table of authorities"/>
    <w:basedOn w:val="1"/>
    <w:next w:val="1"/>
    <w:semiHidden/>
    <w:qFormat/>
    <w:uiPriority w:val="0"/>
    <w:pPr>
      <w:tabs>
        <w:tab w:val="clear" w:pos="480"/>
      </w:tabs>
      <w:spacing w:line="240" w:lineRule="auto"/>
      <w:ind w:left="420" w:leftChars="200"/>
    </w:pPr>
    <w:rPr>
      <w:sz w:val="21"/>
    </w:rPr>
  </w:style>
  <w:style w:type="paragraph" w:styleId="15">
    <w:name w:val="Note Heading"/>
    <w:basedOn w:val="1"/>
    <w:next w:val="1"/>
    <w:link w:val="2318"/>
    <w:qFormat/>
    <w:uiPriority w:val="0"/>
    <w:pPr>
      <w:tabs>
        <w:tab w:val="clear" w:pos="480"/>
      </w:tabs>
      <w:jc w:val="center"/>
    </w:pPr>
    <w:rPr>
      <w:rFonts w:ascii="黑体" w:hAnsi="宋体" w:eastAsia="黑体"/>
      <w:sz w:val="21"/>
      <w:szCs w:val="20"/>
    </w:rPr>
  </w:style>
  <w:style w:type="paragraph" w:styleId="16">
    <w:name w:val="List Bullet 4"/>
    <w:basedOn w:val="1"/>
    <w:semiHidden/>
    <w:qFormat/>
    <w:uiPriority w:val="0"/>
    <w:pPr>
      <w:numPr>
        <w:ilvl w:val="0"/>
        <w:numId w:val="2"/>
      </w:numPr>
    </w:pPr>
  </w:style>
  <w:style w:type="paragraph" w:styleId="17">
    <w:name w:val="index 8"/>
    <w:basedOn w:val="1"/>
    <w:next w:val="1"/>
    <w:semiHidden/>
    <w:qFormat/>
    <w:uiPriority w:val="0"/>
    <w:pPr>
      <w:tabs>
        <w:tab w:val="clear" w:pos="480"/>
      </w:tabs>
      <w:spacing w:line="240" w:lineRule="auto"/>
      <w:ind w:left="1400" w:leftChars="1400"/>
    </w:pPr>
    <w:rPr>
      <w:sz w:val="21"/>
    </w:rPr>
  </w:style>
  <w:style w:type="paragraph" w:styleId="18">
    <w:name w:val="E-mail Signature"/>
    <w:basedOn w:val="1"/>
    <w:semiHidden/>
    <w:qFormat/>
    <w:uiPriority w:val="0"/>
  </w:style>
  <w:style w:type="paragraph" w:styleId="19">
    <w:name w:val="List Number"/>
    <w:basedOn w:val="1"/>
    <w:qFormat/>
    <w:uiPriority w:val="0"/>
    <w:pPr>
      <w:numPr>
        <w:ilvl w:val="0"/>
        <w:numId w:val="3"/>
      </w:numPr>
    </w:pPr>
  </w:style>
  <w:style w:type="paragraph" w:styleId="20">
    <w:name w:val="Normal Indent"/>
    <w:basedOn w:val="1"/>
    <w:next w:val="1"/>
    <w:link w:val="166"/>
    <w:qFormat/>
    <w:uiPriority w:val="0"/>
    <w:pPr>
      <w:ind w:firstLine="420"/>
    </w:pPr>
  </w:style>
  <w:style w:type="paragraph" w:styleId="21">
    <w:name w:val="caption"/>
    <w:basedOn w:val="1"/>
    <w:next w:val="1"/>
    <w:link w:val="172"/>
    <w:qFormat/>
    <w:uiPriority w:val="99"/>
    <w:pPr>
      <w:widowControl/>
      <w:tabs>
        <w:tab w:val="clear" w:pos="480"/>
      </w:tabs>
      <w:adjustRightInd w:val="0"/>
      <w:snapToGrid w:val="0"/>
      <w:spacing w:before="152" w:after="160"/>
      <w:ind w:firstLine="480"/>
      <w:jc w:val="center"/>
    </w:pPr>
    <w:rPr>
      <w:rFonts w:ascii="Arial" w:hAnsi="Arial" w:cs="Arial"/>
      <w:color w:val="000000"/>
      <w:szCs w:val="20"/>
    </w:rPr>
  </w:style>
  <w:style w:type="paragraph" w:styleId="22">
    <w:name w:val="index 5"/>
    <w:basedOn w:val="1"/>
    <w:next w:val="1"/>
    <w:semiHidden/>
    <w:qFormat/>
    <w:uiPriority w:val="0"/>
    <w:pPr>
      <w:tabs>
        <w:tab w:val="clear" w:pos="480"/>
      </w:tabs>
      <w:spacing w:line="240" w:lineRule="auto"/>
      <w:ind w:left="800" w:leftChars="800"/>
    </w:pPr>
    <w:rPr>
      <w:sz w:val="21"/>
    </w:rPr>
  </w:style>
  <w:style w:type="paragraph" w:styleId="23">
    <w:name w:val="List Bullet"/>
    <w:basedOn w:val="1"/>
    <w:qFormat/>
    <w:uiPriority w:val="0"/>
    <w:pPr>
      <w:tabs>
        <w:tab w:val="left" w:pos="720"/>
        <w:tab w:val="clear" w:pos="480"/>
      </w:tabs>
      <w:spacing w:line="240" w:lineRule="auto"/>
      <w:ind w:left="720" w:hanging="720"/>
    </w:pPr>
    <w:rPr>
      <w:sz w:val="21"/>
      <w:szCs w:val="20"/>
    </w:rPr>
  </w:style>
  <w:style w:type="paragraph" w:styleId="24">
    <w:name w:val="envelope address"/>
    <w:basedOn w:val="1"/>
    <w:semiHidden/>
    <w:qFormat/>
    <w:uiPriority w:val="0"/>
    <w:pPr>
      <w:framePr w:w="7920" w:h="1980" w:hRule="exact" w:hSpace="180" w:wrap="around" w:vAnchor="margin" w:hAnchor="page" w:xAlign="center" w:yAlign="bottom"/>
      <w:snapToGrid w:val="0"/>
      <w:ind w:left="100" w:leftChars="1400"/>
    </w:pPr>
    <w:rPr>
      <w:rFonts w:ascii="Arial" w:hAnsi="Arial" w:cs="Arial"/>
    </w:rPr>
  </w:style>
  <w:style w:type="paragraph" w:styleId="25">
    <w:name w:val="Document Map"/>
    <w:basedOn w:val="1"/>
    <w:link w:val="489"/>
    <w:qFormat/>
    <w:uiPriority w:val="0"/>
    <w:pPr>
      <w:shd w:val="clear" w:color="auto" w:fill="000080"/>
      <w:tabs>
        <w:tab w:val="clear" w:pos="480"/>
      </w:tabs>
      <w:spacing w:line="240" w:lineRule="auto"/>
    </w:pPr>
    <w:rPr>
      <w:sz w:val="21"/>
    </w:rPr>
  </w:style>
  <w:style w:type="paragraph" w:styleId="26">
    <w:name w:val="toa heading"/>
    <w:basedOn w:val="1"/>
    <w:next w:val="1"/>
    <w:semiHidden/>
    <w:qFormat/>
    <w:uiPriority w:val="0"/>
    <w:pPr>
      <w:tabs>
        <w:tab w:val="clear" w:pos="480"/>
      </w:tabs>
      <w:spacing w:before="120" w:line="240" w:lineRule="auto"/>
    </w:pPr>
    <w:rPr>
      <w:rFonts w:ascii="Arial" w:hAnsi="Arial" w:cs="Arial"/>
    </w:rPr>
  </w:style>
  <w:style w:type="paragraph" w:styleId="27">
    <w:name w:val="annotation text"/>
    <w:basedOn w:val="1"/>
    <w:link w:val="202"/>
    <w:qFormat/>
    <w:uiPriority w:val="99"/>
    <w:pPr>
      <w:tabs>
        <w:tab w:val="clear" w:pos="480"/>
      </w:tabs>
      <w:adjustRightInd w:val="0"/>
      <w:spacing w:line="360" w:lineRule="atLeast"/>
      <w:jc w:val="left"/>
      <w:textAlignment w:val="baseline"/>
    </w:pPr>
    <w:rPr>
      <w:kern w:val="0"/>
      <w:szCs w:val="20"/>
    </w:rPr>
  </w:style>
  <w:style w:type="paragraph" w:styleId="28">
    <w:name w:val="index 6"/>
    <w:basedOn w:val="1"/>
    <w:next w:val="1"/>
    <w:semiHidden/>
    <w:qFormat/>
    <w:uiPriority w:val="0"/>
    <w:pPr>
      <w:tabs>
        <w:tab w:val="clear" w:pos="480"/>
      </w:tabs>
      <w:spacing w:line="240" w:lineRule="auto"/>
      <w:ind w:left="1000" w:leftChars="1000"/>
    </w:pPr>
    <w:rPr>
      <w:sz w:val="21"/>
    </w:rPr>
  </w:style>
  <w:style w:type="paragraph" w:styleId="29">
    <w:name w:val="Salutation"/>
    <w:basedOn w:val="1"/>
    <w:next w:val="1"/>
    <w:link w:val="923"/>
    <w:semiHidden/>
    <w:qFormat/>
    <w:uiPriority w:val="0"/>
  </w:style>
  <w:style w:type="paragraph" w:styleId="30">
    <w:name w:val="Body Text 3"/>
    <w:basedOn w:val="1"/>
    <w:link w:val="775"/>
    <w:qFormat/>
    <w:uiPriority w:val="0"/>
    <w:pPr>
      <w:tabs>
        <w:tab w:val="clear" w:pos="480"/>
      </w:tabs>
      <w:spacing w:line="240" w:lineRule="auto"/>
      <w:jc w:val="center"/>
    </w:pPr>
    <w:rPr>
      <w:rFonts w:eastAsia="仿宋_GB2312"/>
      <w:sz w:val="21"/>
      <w:szCs w:val="20"/>
    </w:rPr>
  </w:style>
  <w:style w:type="paragraph" w:styleId="31">
    <w:name w:val="Closing"/>
    <w:basedOn w:val="1"/>
    <w:semiHidden/>
    <w:qFormat/>
    <w:uiPriority w:val="0"/>
    <w:pPr>
      <w:widowControl/>
      <w:tabs>
        <w:tab w:val="clear" w:pos="480"/>
      </w:tabs>
      <w:spacing w:line="240" w:lineRule="auto"/>
      <w:ind w:left="4252"/>
      <w:jc w:val="left"/>
    </w:pPr>
    <w:rPr>
      <w:rFonts w:ascii="Arial" w:hAnsi="Arial" w:eastAsia="MS Gothic"/>
      <w:spacing w:val="-5"/>
      <w:kern w:val="0"/>
      <w:sz w:val="21"/>
      <w:szCs w:val="20"/>
      <w:lang w:eastAsia="ja-JP" w:bidi="he-IL"/>
    </w:rPr>
  </w:style>
  <w:style w:type="paragraph" w:styleId="32">
    <w:name w:val="List Bullet 3"/>
    <w:basedOn w:val="1"/>
    <w:semiHidden/>
    <w:qFormat/>
    <w:uiPriority w:val="0"/>
    <w:pPr>
      <w:numPr>
        <w:ilvl w:val="0"/>
        <w:numId w:val="4"/>
      </w:numPr>
    </w:pPr>
  </w:style>
  <w:style w:type="paragraph" w:styleId="33">
    <w:name w:val="Body Text"/>
    <w:basedOn w:val="1"/>
    <w:next w:val="1"/>
    <w:link w:val="171"/>
    <w:qFormat/>
    <w:uiPriority w:val="1"/>
    <w:pPr>
      <w:tabs>
        <w:tab w:val="clear" w:pos="480"/>
      </w:tabs>
      <w:spacing w:line="240" w:lineRule="auto"/>
    </w:pPr>
    <w:rPr>
      <w:rFonts w:ascii="宋体" w:hAnsi="宋体"/>
      <w:sz w:val="21"/>
      <w:szCs w:val="20"/>
    </w:rPr>
  </w:style>
  <w:style w:type="paragraph" w:styleId="34">
    <w:name w:val="Body Text Indent"/>
    <w:basedOn w:val="1"/>
    <w:next w:val="35"/>
    <w:link w:val="162"/>
    <w:qFormat/>
    <w:uiPriority w:val="0"/>
    <w:pPr>
      <w:ind w:firstLine="480"/>
    </w:pPr>
  </w:style>
  <w:style w:type="paragraph" w:customStyle="1" w:styleId="35">
    <w:name w:val="样式 正文文本缩进 + 行距: 1.5 倍行距"/>
    <w:basedOn w:val="1"/>
    <w:qFormat/>
    <w:uiPriority w:val="0"/>
    <w:pPr>
      <w:spacing w:after="120"/>
      <w:ind w:left="90" w:leftChars="32" w:firstLine="560" w:firstLineChars="200"/>
    </w:pPr>
    <w:rPr>
      <w:rFonts w:cs="宋体"/>
    </w:rPr>
  </w:style>
  <w:style w:type="paragraph" w:styleId="36">
    <w:name w:val="List Number 3"/>
    <w:basedOn w:val="1"/>
    <w:semiHidden/>
    <w:qFormat/>
    <w:uiPriority w:val="0"/>
    <w:pPr>
      <w:numPr>
        <w:ilvl w:val="0"/>
        <w:numId w:val="5"/>
      </w:numPr>
    </w:pPr>
  </w:style>
  <w:style w:type="paragraph" w:styleId="37">
    <w:name w:val="List 2"/>
    <w:basedOn w:val="1"/>
    <w:qFormat/>
    <w:uiPriority w:val="0"/>
    <w:pPr>
      <w:tabs>
        <w:tab w:val="clear" w:pos="480"/>
      </w:tabs>
      <w:ind w:left="840" w:hanging="420"/>
    </w:pPr>
    <w:rPr>
      <w:szCs w:val="20"/>
    </w:rPr>
  </w:style>
  <w:style w:type="paragraph" w:styleId="38">
    <w:name w:val="List Continue"/>
    <w:basedOn w:val="1"/>
    <w:semiHidden/>
    <w:qFormat/>
    <w:uiPriority w:val="0"/>
    <w:pPr>
      <w:spacing w:after="120"/>
      <w:ind w:left="420" w:leftChars="200"/>
    </w:pPr>
  </w:style>
  <w:style w:type="paragraph" w:styleId="39">
    <w:name w:val="Block Text"/>
    <w:basedOn w:val="1"/>
    <w:qFormat/>
    <w:uiPriority w:val="0"/>
    <w:pPr>
      <w:widowControl/>
      <w:tabs>
        <w:tab w:val="clear" w:pos="480"/>
      </w:tabs>
      <w:adjustRightInd w:val="0"/>
      <w:snapToGrid w:val="0"/>
      <w:ind w:left="-48" w:leftChars="-20" w:right="-48" w:rightChars="-20" w:firstLine="480"/>
    </w:pPr>
    <w:rPr>
      <w:rFonts w:ascii="宋体" w:hAnsi="宋体"/>
      <w:color w:val="0000FF"/>
    </w:rPr>
  </w:style>
  <w:style w:type="paragraph" w:styleId="40">
    <w:name w:val="List Bullet 2"/>
    <w:basedOn w:val="1"/>
    <w:semiHidden/>
    <w:qFormat/>
    <w:uiPriority w:val="0"/>
    <w:pPr>
      <w:numPr>
        <w:ilvl w:val="0"/>
        <w:numId w:val="6"/>
      </w:numPr>
    </w:pPr>
  </w:style>
  <w:style w:type="paragraph" w:styleId="41">
    <w:name w:val="HTML Address"/>
    <w:basedOn w:val="1"/>
    <w:semiHidden/>
    <w:qFormat/>
    <w:uiPriority w:val="0"/>
    <w:rPr>
      <w:i/>
      <w:iCs/>
    </w:rPr>
  </w:style>
  <w:style w:type="paragraph" w:styleId="42">
    <w:name w:val="index 4"/>
    <w:basedOn w:val="1"/>
    <w:next w:val="1"/>
    <w:qFormat/>
    <w:uiPriority w:val="0"/>
    <w:pPr>
      <w:tabs>
        <w:tab w:val="clear" w:pos="480"/>
      </w:tabs>
      <w:spacing w:line="240" w:lineRule="auto"/>
      <w:ind w:left="840" w:hanging="210"/>
      <w:jc w:val="left"/>
    </w:pPr>
    <w:rPr>
      <w:sz w:val="21"/>
      <w:szCs w:val="21"/>
    </w:rPr>
  </w:style>
  <w:style w:type="paragraph" w:styleId="43">
    <w:name w:val="toc 5"/>
    <w:basedOn w:val="1"/>
    <w:next w:val="1"/>
    <w:qFormat/>
    <w:uiPriority w:val="39"/>
    <w:pPr>
      <w:tabs>
        <w:tab w:val="clear" w:pos="480"/>
      </w:tabs>
      <w:ind w:left="960"/>
      <w:jc w:val="left"/>
    </w:pPr>
    <w:rPr>
      <w:sz w:val="18"/>
      <w:szCs w:val="18"/>
    </w:rPr>
  </w:style>
  <w:style w:type="paragraph" w:styleId="44">
    <w:name w:val="toc 3"/>
    <w:basedOn w:val="1"/>
    <w:next w:val="1"/>
    <w:qFormat/>
    <w:uiPriority w:val="39"/>
    <w:pPr>
      <w:tabs>
        <w:tab w:val="clear" w:pos="480"/>
      </w:tabs>
      <w:ind w:left="480"/>
      <w:jc w:val="left"/>
    </w:pPr>
    <w:rPr>
      <w:i/>
      <w:iCs/>
      <w:sz w:val="20"/>
      <w:szCs w:val="20"/>
    </w:rPr>
  </w:style>
  <w:style w:type="paragraph" w:styleId="45">
    <w:name w:val="Plain Text"/>
    <w:basedOn w:val="1"/>
    <w:link w:val="2132"/>
    <w:qFormat/>
    <w:uiPriority w:val="0"/>
    <w:pPr>
      <w:tabs>
        <w:tab w:val="clear" w:pos="480"/>
      </w:tabs>
      <w:spacing w:line="240" w:lineRule="auto"/>
    </w:pPr>
    <w:rPr>
      <w:rFonts w:ascii="宋体" w:hAnsi="Courier New"/>
      <w:sz w:val="21"/>
      <w:szCs w:val="20"/>
    </w:rPr>
  </w:style>
  <w:style w:type="paragraph" w:styleId="46">
    <w:name w:val="List Bullet 5"/>
    <w:basedOn w:val="1"/>
    <w:semiHidden/>
    <w:qFormat/>
    <w:uiPriority w:val="0"/>
    <w:pPr>
      <w:numPr>
        <w:ilvl w:val="0"/>
        <w:numId w:val="7"/>
      </w:numPr>
    </w:pPr>
  </w:style>
  <w:style w:type="paragraph" w:styleId="47">
    <w:name w:val="List Number 4"/>
    <w:basedOn w:val="1"/>
    <w:semiHidden/>
    <w:qFormat/>
    <w:uiPriority w:val="0"/>
    <w:pPr>
      <w:numPr>
        <w:ilvl w:val="0"/>
        <w:numId w:val="8"/>
      </w:numPr>
    </w:pPr>
  </w:style>
  <w:style w:type="paragraph" w:styleId="48">
    <w:name w:val="toc 8"/>
    <w:basedOn w:val="1"/>
    <w:next w:val="1"/>
    <w:qFormat/>
    <w:uiPriority w:val="39"/>
    <w:pPr>
      <w:tabs>
        <w:tab w:val="clear" w:pos="480"/>
      </w:tabs>
      <w:ind w:left="1680"/>
      <w:jc w:val="left"/>
    </w:pPr>
    <w:rPr>
      <w:sz w:val="18"/>
      <w:szCs w:val="18"/>
    </w:rPr>
  </w:style>
  <w:style w:type="paragraph" w:styleId="49">
    <w:name w:val="index 3"/>
    <w:basedOn w:val="1"/>
    <w:next w:val="1"/>
    <w:semiHidden/>
    <w:qFormat/>
    <w:uiPriority w:val="0"/>
    <w:pPr>
      <w:tabs>
        <w:tab w:val="clear" w:pos="480"/>
      </w:tabs>
      <w:spacing w:line="240" w:lineRule="auto"/>
      <w:ind w:left="400" w:leftChars="400"/>
    </w:pPr>
    <w:rPr>
      <w:sz w:val="21"/>
    </w:rPr>
  </w:style>
  <w:style w:type="paragraph" w:styleId="50">
    <w:name w:val="Date"/>
    <w:basedOn w:val="1"/>
    <w:next w:val="1"/>
    <w:link w:val="760"/>
    <w:qFormat/>
    <w:uiPriority w:val="0"/>
    <w:pPr>
      <w:tabs>
        <w:tab w:val="clear" w:pos="480"/>
      </w:tabs>
      <w:spacing w:line="240" w:lineRule="auto"/>
      <w:ind w:left="100" w:leftChars="2500"/>
    </w:pPr>
    <w:rPr>
      <w:spacing w:val="-18"/>
      <w:kern w:val="11"/>
      <w:sz w:val="36"/>
    </w:rPr>
  </w:style>
  <w:style w:type="paragraph" w:styleId="51">
    <w:name w:val="Body Text Indent 2"/>
    <w:basedOn w:val="1"/>
    <w:link w:val="499"/>
    <w:qFormat/>
    <w:uiPriority w:val="0"/>
    <w:pPr>
      <w:tabs>
        <w:tab w:val="clear" w:pos="480"/>
      </w:tabs>
      <w:spacing w:line="240" w:lineRule="auto"/>
      <w:ind w:left="103" w:firstLine="945" w:firstLineChars="358"/>
    </w:pPr>
    <w:rPr>
      <w:spacing w:val="-18"/>
      <w:kern w:val="11"/>
      <w:sz w:val="30"/>
    </w:rPr>
  </w:style>
  <w:style w:type="paragraph" w:styleId="52">
    <w:name w:val="endnote text"/>
    <w:basedOn w:val="1"/>
    <w:semiHidden/>
    <w:qFormat/>
    <w:uiPriority w:val="0"/>
    <w:pPr>
      <w:widowControl/>
      <w:tabs>
        <w:tab w:val="clear" w:pos="480"/>
      </w:tabs>
      <w:spacing w:line="240" w:lineRule="auto"/>
      <w:jc w:val="left"/>
    </w:pPr>
    <w:rPr>
      <w:rFonts w:ascii="宋体" w:hAnsi="宋体"/>
      <w:kern w:val="0"/>
      <w:sz w:val="21"/>
    </w:rPr>
  </w:style>
  <w:style w:type="paragraph" w:styleId="53">
    <w:name w:val="List Continue 5"/>
    <w:basedOn w:val="1"/>
    <w:semiHidden/>
    <w:qFormat/>
    <w:uiPriority w:val="0"/>
    <w:pPr>
      <w:spacing w:after="120"/>
      <w:ind w:left="2100" w:leftChars="1000"/>
    </w:pPr>
  </w:style>
  <w:style w:type="paragraph" w:styleId="54">
    <w:name w:val="Balloon Text"/>
    <w:basedOn w:val="1"/>
    <w:link w:val="491"/>
    <w:qFormat/>
    <w:uiPriority w:val="0"/>
    <w:rPr>
      <w:sz w:val="18"/>
      <w:szCs w:val="18"/>
    </w:rPr>
  </w:style>
  <w:style w:type="paragraph" w:styleId="55">
    <w:name w:val="footer"/>
    <w:basedOn w:val="1"/>
    <w:link w:val="492"/>
    <w:qFormat/>
    <w:uiPriority w:val="99"/>
    <w:pPr>
      <w:tabs>
        <w:tab w:val="center" w:pos="4153"/>
        <w:tab w:val="right" w:pos="8306"/>
      </w:tabs>
      <w:snapToGrid w:val="0"/>
      <w:jc w:val="left"/>
    </w:pPr>
    <w:rPr>
      <w:sz w:val="18"/>
      <w:szCs w:val="18"/>
    </w:rPr>
  </w:style>
  <w:style w:type="paragraph" w:styleId="56">
    <w:name w:val="envelope return"/>
    <w:basedOn w:val="1"/>
    <w:semiHidden/>
    <w:qFormat/>
    <w:uiPriority w:val="0"/>
    <w:pPr>
      <w:snapToGrid w:val="0"/>
    </w:pPr>
    <w:rPr>
      <w:rFonts w:ascii="Arial" w:hAnsi="Arial" w:cs="Arial"/>
    </w:rPr>
  </w:style>
  <w:style w:type="paragraph" w:styleId="57">
    <w:name w:val="header"/>
    <w:basedOn w:val="1"/>
    <w:link w:val="500"/>
    <w:qFormat/>
    <w:uiPriority w:val="99"/>
    <w:pPr>
      <w:pBdr>
        <w:bottom w:val="single" w:color="auto" w:sz="6" w:space="1"/>
      </w:pBdr>
      <w:tabs>
        <w:tab w:val="center" w:pos="4153"/>
        <w:tab w:val="right" w:pos="8306"/>
      </w:tabs>
      <w:snapToGrid w:val="0"/>
      <w:jc w:val="center"/>
    </w:pPr>
    <w:rPr>
      <w:sz w:val="18"/>
      <w:szCs w:val="18"/>
    </w:rPr>
  </w:style>
  <w:style w:type="paragraph" w:styleId="58">
    <w:name w:val="Signature"/>
    <w:basedOn w:val="1"/>
    <w:semiHidden/>
    <w:qFormat/>
    <w:uiPriority w:val="0"/>
    <w:pPr>
      <w:ind w:left="100" w:leftChars="2100"/>
    </w:pPr>
  </w:style>
  <w:style w:type="paragraph" w:styleId="59">
    <w:name w:val="toc 1"/>
    <w:basedOn w:val="1"/>
    <w:next w:val="1"/>
    <w:qFormat/>
    <w:uiPriority w:val="39"/>
    <w:pPr>
      <w:tabs>
        <w:tab w:val="clear" w:pos="480"/>
      </w:tabs>
      <w:spacing w:before="120" w:after="120"/>
      <w:jc w:val="left"/>
    </w:pPr>
    <w:rPr>
      <w:b/>
      <w:bCs/>
      <w:caps/>
      <w:sz w:val="20"/>
      <w:szCs w:val="20"/>
    </w:rPr>
  </w:style>
  <w:style w:type="paragraph" w:styleId="60">
    <w:name w:val="List Continue 4"/>
    <w:basedOn w:val="1"/>
    <w:semiHidden/>
    <w:qFormat/>
    <w:uiPriority w:val="0"/>
    <w:pPr>
      <w:spacing w:after="120"/>
      <w:ind w:left="1680" w:leftChars="800"/>
    </w:pPr>
  </w:style>
  <w:style w:type="paragraph" w:styleId="61">
    <w:name w:val="toc 4"/>
    <w:basedOn w:val="1"/>
    <w:next w:val="1"/>
    <w:qFormat/>
    <w:uiPriority w:val="39"/>
    <w:pPr>
      <w:tabs>
        <w:tab w:val="clear" w:pos="480"/>
      </w:tabs>
      <w:ind w:left="720"/>
      <w:jc w:val="left"/>
    </w:pPr>
    <w:rPr>
      <w:sz w:val="18"/>
      <w:szCs w:val="18"/>
    </w:rPr>
  </w:style>
  <w:style w:type="paragraph" w:styleId="62">
    <w:name w:val="index heading"/>
    <w:basedOn w:val="1"/>
    <w:next w:val="63"/>
    <w:semiHidden/>
    <w:qFormat/>
    <w:uiPriority w:val="0"/>
    <w:pPr>
      <w:tabs>
        <w:tab w:val="clear" w:pos="480"/>
      </w:tabs>
      <w:spacing w:line="240" w:lineRule="auto"/>
    </w:pPr>
    <w:rPr>
      <w:sz w:val="21"/>
    </w:rPr>
  </w:style>
  <w:style w:type="paragraph" w:styleId="63">
    <w:name w:val="index 1"/>
    <w:basedOn w:val="1"/>
    <w:next w:val="1"/>
    <w:qFormat/>
    <w:uiPriority w:val="0"/>
    <w:pPr>
      <w:tabs>
        <w:tab w:val="clear" w:pos="480"/>
      </w:tabs>
      <w:spacing w:line="240" w:lineRule="auto"/>
      <w:jc w:val="center"/>
    </w:pPr>
    <w:rPr>
      <w:rFonts w:eastAsia="仿宋_GB2312"/>
      <w:sz w:val="21"/>
      <w:szCs w:val="21"/>
    </w:rPr>
  </w:style>
  <w:style w:type="paragraph" w:styleId="64">
    <w:name w:val="Subtitle"/>
    <w:basedOn w:val="1"/>
    <w:qFormat/>
    <w:uiPriority w:val="0"/>
    <w:pPr>
      <w:tabs>
        <w:tab w:val="clear" w:pos="480"/>
      </w:tabs>
      <w:spacing w:before="240" w:after="60" w:line="312" w:lineRule="auto"/>
      <w:jc w:val="center"/>
      <w:outlineLvl w:val="1"/>
    </w:pPr>
    <w:rPr>
      <w:rFonts w:ascii="Arial" w:hAnsi="Arial" w:cs="Arial"/>
      <w:b/>
      <w:bCs/>
      <w:kern w:val="28"/>
      <w:sz w:val="32"/>
      <w:szCs w:val="32"/>
    </w:rPr>
  </w:style>
  <w:style w:type="paragraph" w:styleId="65">
    <w:name w:val="List Number 5"/>
    <w:basedOn w:val="1"/>
    <w:semiHidden/>
    <w:qFormat/>
    <w:uiPriority w:val="0"/>
    <w:pPr>
      <w:numPr>
        <w:ilvl w:val="0"/>
        <w:numId w:val="9"/>
      </w:numPr>
    </w:pPr>
  </w:style>
  <w:style w:type="paragraph" w:styleId="66">
    <w:name w:val="List"/>
    <w:basedOn w:val="1"/>
    <w:link w:val="3420"/>
    <w:qFormat/>
    <w:uiPriority w:val="0"/>
    <w:pPr>
      <w:tabs>
        <w:tab w:val="clear" w:pos="480"/>
      </w:tabs>
      <w:spacing w:line="240" w:lineRule="auto"/>
      <w:ind w:left="420" w:hanging="420" w:hangingChars="200"/>
    </w:pPr>
    <w:rPr>
      <w:sz w:val="21"/>
    </w:rPr>
  </w:style>
  <w:style w:type="paragraph" w:styleId="67">
    <w:name w:val="footnote text"/>
    <w:basedOn w:val="1"/>
    <w:link w:val="2317"/>
    <w:qFormat/>
    <w:uiPriority w:val="0"/>
    <w:pPr>
      <w:tabs>
        <w:tab w:val="clear" w:pos="480"/>
      </w:tabs>
      <w:snapToGrid w:val="0"/>
      <w:spacing w:line="240" w:lineRule="auto"/>
      <w:jc w:val="left"/>
    </w:pPr>
    <w:rPr>
      <w:sz w:val="18"/>
      <w:szCs w:val="18"/>
    </w:rPr>
  </w:style>
  <w:style w:type="paragraph" w:styleId="68">
    <w:name w:val="toc 6"/>
    <w:basedOn w:val="1"/>
    <w:next w:val="1"/>
    <w:qFormat/>
    <w:uiPriority w:val="39"/>
    <w:pPr>
      <w:tabs>
        <w:tab w:val="clear" w:pos="480"/>
      </w:tabs>
      <w:ind w:left="1200"/>
      <w:jc w:val="left"/>
    </w:pPr>
    <w:rPr>
      <w:sz w:val="18"/>
      <w:szCs w:val="18"/>
    </w:rPr>
  </w:style>
  <w:style w:type="paragraph" w:styleId="69">
    <w:name w:val="List 5"/>
    <w:basedOn w:val="1"/>
    <w:semiHidden/>
    <w:qFormat/>
    <w:uiPriority w:val="0"/>
    <w:pPr>
      <w:ind w:left="100" w:leftChars="800" w:hanging="200" w:hangingChars="200"/>
    </w:pPr>
  </w:style>
  <w:style w:type="paragraph" w:styleId="70">
    <w:name w:val="Body Text Indent 3"/>
    <w:basedOn w:val="1"/>
    <w:link w:val="493"/>
    <w:qFormat/>
    <w:uiPriority w:val="0"/>
    <w:pPr>
      <w:tabs>
        <w:tab w:val="clear" w:pos="480"/>
      </w:tabs>
      <w:ind w:firstLine="480"/>
    </w:pPr>
  </w:style>
  <w:style w:type="paragraph" w:styleId="71">
    <w:name w:val="index 7"/>
    <w:basedOn w:val="1"/>
    <w:next w:val="1"/>
    <w:semiHidden/>
    <w:qFormat/>
    <w:uiPriority w:val="0"/>
    <w:pPr>
      <w:tabs>
        <w:tab w:val="clear" w:pos="480"/>
      </w:tabs>
      <w:spacing w:line="240" w:lineRule="auto"/>
      <w:ind w:left="1200" w:leftChars="1200"/>
    </w:pPr>
    <w:rPr>
      <w:sz w:val="21"/>
    </w:rPr>
  </w:style>
  <w:style w:type="paragraph" w:styleId="72">
    <w:name w:val="index 9"/>
    <w:basedOn w:val="1"/>
    <w:next w:val="1"/>
    <w:semiHidden/>
    <w:qFormat/>
    <w:uiPriority w:val="0"/>
    <w:pPr>
      <w:tabs>
        <w:tab w:val="clear" w:pos="480"/>
      </w:tabs>
      <w:spacing w:line="240" w:lineRule="auto"/>
      <w:ind w:left="1600" w:leftChars="1600"/>
    </w:pPr>
    <w:rPr>
      <w:sz w:val="21"/>
    </w:rPr>
  </w:style>
  <w:style w:type="paragraph" w:styleId="73">
    <w:name w:val="table of figures"/>
    <w:basedOn w:val="1"/>
    <w:next w:val="1"/>
    <w:qFormat/>
    <w:uiPriority w:val="0"/>
    <w:pPr>
      <w:tabs>
        <w:tab w:val="clear" w:pos="480"/>
      </w:tabs>
      <w:spacing w:line="240" w:lineRule="auto"/>
      <w:ind w:left="840" w:leftChars="200" w:hanging="420" w:hangingChars="200"/>
    </w:pPr>
    <w:rPr>
      <w:sz w:val="21"/>
    </w:rPr>
  </w:style>
  <w:style w:type="paragraph" w:styleId="74">
    <w:name w:val="toc 2"/>
    <w:basedOn w:val="1"/>
    <w:next w:val="1"/>
    <w:qFormat/>
    <w:uiPriority w:val="39"/>
    <w:pPr>
      <w:tabs>
        <w:tab w:val="clear" w:pos="480"/>
      </w:tabs>
      <w:ind w:left="240"/>
      <w:jc w:val="left"/>
    </w:pPr>
    <w:rPr>
      <w:smallCaps/>
      <w:sz w:val="20"/>
      <w:szCs w:val="20"/>
    </w:rPr>
  </w:style>
  <w:style w:type="paragraph" w:styleId="75">
    <w:name w:val="toc 9"/>
    <w:basedOn w:val="1"/>
    <w:next w:val="1"/>
    <w:qFormat/>
    <w:uiPriority w:val="39"/>
    <w:pPr>
      <w:tabs>
        <w:tab w:val="clear" w:pos="480"/>
      </w:tabs>
      <w:ind w:left="1920"/>
      <w:jc w:val="left"/>
    </w:pPr>
    <w:rPr>
      <w:sz w:val="18"/>
      <w:szCs w:val="18"/>
    </w:rPr>
  </w:style>
  <w:style w:type="paragraph" w:styleId="76">
    <w:name w:val="Body Text 2"/>
    <w:basedOn w:val="1"/>
    <w:link w:val="503"/>
    <w:qFormat/>
    <w:uiPriority w:val="0"/>
    <w:pPr>
      <w:tabs>
        <w:tab w:val="clear" w:pos="480"/>
      </w:tabs>
      <w:spacing w:line="240" w:lineRule="auto"/>
      <w:jc w:val="center"/>
    </w:pPr>
    <w:rPr>
      <w:color w:val="000000"/>
      <w:szCs w:val="20"/>
    </w:rPr>
  </w:style>
  <w:style w:type="paragraph" w:styleId="77">
    <w:name w:val="List 4"/>
    <w:basedOn w:val="1"/>
    <w:semiHidden/>
    <w:qFormat/>
    <w:uiPriority w:val="0"/>
    <w:pPr>
      <w:ind w:left="100" w:leftChars="600" w:hanging="200" w:hangingChars="200"/>
    </w:pPr>
  </w:style>
  <w:style w:type="paragraph" w:styleId="78">
    <w:name w:val="List Continue 2"/>
    <w:basedOn w:val="1"/>
    <w:qFormat/>
    <w:uiPriority w:val="0"/>
    <w:pPr>
      <w:spacing w:after="120"/>
      <w:ind w:left="840" w:leftChars="400"/>
    </w:pPr>
  </w:style>
  <w:style w:type="paragraph" w:styleId="79">
    <w:name w:val="Message Header"/>
    <w:basedOn w:val="1"/>
    <w:link w:val="873"/>
    <w:semiHidden/>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rPr>
  </w:style>
  <w:style w:type="paragraph" w:styleId="80">
    <w:name w:val="HTML Preformatted"/>
    <w:basedOn w:val="1"/>
    <w:link w:val="3467"/>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clear" w:pos="480"/>
      </w:tabs>
      <w:spacing w:line="240" w:lineRule="auto"/>
      <w:jc w:val="left"/>
    </w:pPr>
    <w:rPr>
      <w:rFonts w:ascii="宋体" w:hAnsi="宋体" w:cs="宋体"/>
      <w:kern w:val="0"/>
    </w:rPr>
  </w:style>
  <w:style w:type="paragraph" w:styleId="81">
    <w:name w:val="Normal (Web)"/>
    <w:basedOn w:val="1"/>
    <w:qFormat/>
    <w:uiPriority w:val="99"/>
    <w:pPr>
      <w:widowControl/>
      <w:tabs>
        <w:tab w:val="clear" w:pos="480"/>
      </w:tabs>
      <w:spacing w:before="100" w:beforeAutospacing="1" w:after="100" w:afterAutospacing="1" w:line="240" w:lineRule="auto"/>
      <w:jc w:val="left"/>
    </w:pPr>
    <w:rPr>
      <w:rFonts w:ascii="Arial Unicode MS" w:hAnsi="Arial Unicode MS" w:eastAsia="Arial Unicode MS" w:cs="Arial Unicode MS"/>
      <w:kern w:val="0"/>
    </w:rPr>
  </w:style>
  <w:style w:type="paragraph" w:styleId="82">
    <w:name w:val="List Continue 3"/>
    <w:basedOn w:val="1"/>
    <w:semiHidden/>
    <w:qFormat/>
    <w:uiPriority w:val="0"/>
    <w:pPr>
      <w:spacing w:after="120"/>
      <w:ind w:left="1260" w:leftChars="600"/>
    </w:pPr>
  </w:style>
  <w:style w:type="paragraph" w:styleId="83">
    <w:name w:val="index 2"/>
    <w:basedOn w:val="1"/>
    <w:next w:val="1"/>
    <w:semiHidden/>
    <w:qFormat/>
    <w:uiPriority w:val="0"/>
    <w:pPr>
      <w:tabs>
        <w:tab w:val="clear" w:pos="480"/>
      </w:tabs>
      <w:ind w:left="200" w:leftChars="200"/>
    </w:pPr>
  </w:style>
  <w:style w:type="paragraph" w:styleId="84">
    <w:name w:val="Title"/>
    <w:basedOn w:val="1"/>
    <w:next w:val="1"/>
    <w:qFormat/>
    <w:uiPriority w:val="0"/>
    <w:pPr>
      <w:widowControl/>
      <w:tabs>
        <w:tab w:val="clear" w:pos="480"/>
      </w:tabs>
      <w:adjustRightInd w:val="0"/>
      <w:snapToGrid w:val="0"/>
      <w:spacing w:before="240" w:after="60"/>
      <w:ind w:firstLine="480"/>
      <w:jc w:val="center"/>
      <w:outlineLvl w:val="0"/>
    </w:pPr>
    <w:rPr>
      <w:rFonts w:ascii="Arial" w:hAnsi="Arial" w:cs="Arial"/>
      <w:bCs/>
      <w:color w:val="000000"/>
      <w:szCs w:val="32"/>
    </w:rPr>
  </w:style>
  <w:style w:type="paragraph" w:styleId="85">
    <w:name w:val="annotation subject"/>
    <w:basedOn w:val="27"/>
    <w:next w:val="27"/>
    <w:link w:val="512"/>
    <w:qFormat/>
    <w:uiPriority w:val="0"/>
    <w:pPr>
      <w:tabs>
        <w:tab w:val="left" w:pos="480"/>
      </w:tabs>
      <w:adjustRightInd/>
      <w:spacing w:line="360" w:lineRule="auto"/>
      <w:textAlignment w:val="auto"/>
    </w:pPr>
    <w:rPr>
      <w:b/>
      <w:bCs/>
      <w:kern w:val="2"/>
      <w:szCs w:val="24"/>
    </w:rPr>
  </w:style>
  <w:style w:type="paragraph" w:styleId="86">
    <w:name w:val="Body Text First Indent"/>
    <w:basedOn w:val="33"/>
    <w:link w:val="497"/>
    <w:qFormat/>
    <w:uiPriority w:val="0"/>
    <w:pPr>
      <w:spacing w:after="120"/>
      <w:ind w:firstLine="420" w:firstLineChars="100"/>
    </w:pPr>
    <w:rPr>
      <w:rFonts w:ascii="Times New Roman" w:hAnsi="Times New Roman"/>
      <w:szCs w:val="24"/>
    </w:rPr>
  </w:style>
  <w:style w:type="paragraph" w:styleId="87">
    <w:name w:val="Body Text First Indent 2"/>
    <w:basedOn w:val="34"/>
    <w:next w:val="1"/>
    <w:link w:val="533"/>
    <w:qFormat/>
    <w:uiPriority w:val="0"/>
    <w:pPr>
      <w:spacing w:after="120"/>
      <w:ind w:left="420" w:leftChars="200" w:firstLine="420"/>
    </w:pPr>
    <w:rPr>
      <w:rFonts w:ascii="宋体"/>
    </w:rPr>
  </w:style>
  <w:style w:type="table" w:styleId="89">
    <w:name w:val="Table Grid"/>
    <w:basedOn w:val="88"/>
    <w:qFormat/>
    <w:uiPriority w:val="39"/>
    <w:pPr>
      <w:widowControl w:val="0"/>
      <w:tabs>
        <w:tab w:val="left" w:pos="480"/>
      </w:tabs>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0">
    <w:name w:val="Table Theme"/>
    <w:basedOn w:val="88"/>
    <w:semiHidden/>
    <w:qFormat/>
    <w:uiPriority w:val="0"/>
    <w:pPr>
      <w:widowControl w:val="0"/>
      <w:tabs>
        <w:tab w:val="left" w:pos="480"/>
      </w:tabs>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1">
    <w:name w:val="Table Colorful 1"/>
    <w:basedOn w:val="88"/>
    <w:semiHidden/>
    <w:qFormat/>
    <w:uiPriority w:val="0"/>
    <w:pPr>
      <w:widowControl w:val="0"/>
      <w:tabs>
        <w:tab w:val="left" w:pos="480"/>
      </w:tabs>
      <w:spacing w:line="360" w:lineRule="auto"/>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92">
    <w:name w:val="Table Colorful 2"/>
    <w:basedOn w:val="88"/>
    <w:semiHidden/>
    <w:qFormat/>
    <w:uiPriority w:val="0"/>
    <w:pPr>
      <w:widowControl w:val="0"/>
      <w:tabs>
        <w:tab w:val="left" w:pos="480"/>
      </w:tabs>
      <w:spacing w:line="360" w:lineRule="auto"/>
      <w:jc w:val="both"/>
    </w:pPr>
    <w:tblPr>
      <w:tblBorders>
        <w:bottom w:val="single" w:color="000000" w:sz="12" w:space="0"/>
      </w:tblBorders>
    </w:tblPr>
    <w:tcPr>
      <w:shd w:val="pct20" w:color="FFFF00" w:fill="FFFFFF"/>
    </w:tcPr>
    <w:tblStylePr w:type="firstRow">
      <w:rPr>
        <w:b/>
        <w:bCs/>
        <w:i/>
        <w:iCs/>
        <w:color w:val="FFFFFF"/>
      </w:rPr>
      <w:tblPr/>
      <w:tcPr>
        <w:tcBorders>
          <w:bottom w:val="single" w:color="000000" w:sz="12" w:space="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93">
    <w:name w:val="Table Colorful 3"/>
    <w:basedOn w:val="88"/>
    <w:semiHidden/>
    <w:qFormat/>
    <w:uiPriority w:val="0"/>
    <w:pPr>
      <w:widowControl w:val="0"/>
      <w:tabs>
        <w:tab w:val="left" w:pos="480"/>
      </w:tabs>
      <w:spacing w:line="360" w:lineRule="auto"/>
      <w:jc w:val="both"/>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bottom w:val="single" w:color="000000" w:sz="6" w:space="0"/>
          <w:tl2br w:val="nil"/>
          <w:tr2bl w:val="nil"/>
        </w:tcBorders>
        <w:shd w:val="solid" w:color="008080" w:fill="FFFFFF"/>
      </w:tcPr>
    </w:tblStylePr>
    <w:tblStylePr w:type="firstCol">
      <w:tblPr/>
      <w:tcPr>
        <w:tcBorders>
          <w:left w:val="single" w:color="000000" w:sz="36" w:space="0"/>
          <w:right w:val="single" w:color="000000" w:sz="6" w:space="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94">
    <w:name w:val="Table Elegant"/>
    <w:basedOn w:val="88"/>
    <w:semiHidden/>
    <w:qFormat/>
    <w:uiPriority w:val="0"/>
    <w:pPr>
      <w:widowControl w:val="0"/>
      <w:tabs>
        <w:tab w:val="left" w:pos="480"/>
      </w:tabs>
      <w:spacing w:line="360" w:lineRule="auto"/>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il"/>
          <w:tr2bl w:val="nil"/>
        </w:tcBorders>
      </w:tcPr>
    </w:tblStylePr>
  </w:style>
  <w:style w:type="table" w:styleId="95">
    <w:name w:val="Table Classic 1"/>
    <w:basedOn w:val="88"/>
    <w:semiHidden/>
    <w:qFormat/>
    <w:uiPriority w:val="0"/>
    <w:pPr>
      <w:widowControl w:val="0"/>
      <w:tabs>
        <w:tab w:val="left" w:pos="480"/>
      </w:tabs>
      <w:spacing w:line="360" w:lineRule="auto"/>
      <w:jc w:val="both"/>
    </w:pPr>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96">
    <w:name w:val="Table Classic 2"/>
    <w:basedOn w:val="88"/>
    <w:semiHidden/>
    <w:qFormat/>
    <w:uiPriority w:val="0"/>
    <w:pPr>
      <w:widowControl w:val="0"/>
      <w:tabs>
        <w:tab w:val="left" w:pos="480"/>
      </w:tabs>
      <w:spacing w:line="360" w:lineRule="auto"/>
      <w:jc w:val="both"/>
    </w:pPr>
    <w:tblPr>
      <w:tblBorders>
        <w:top w:val="single" w:color="000000" w:sz="12" w:space="0"/>
        <w:bottom w:val="single" w:color="000000" w:sz="12" w:space="0"/>
      </w:tblBorders>
    </w:tblPr>
    <w:tcPr>
      <w:shd w:val="clear" w:color="auto" w:fill="auto"/>
    </w:tcPr>
    <w:tblStylePr w:type="firstRow">
      <w:rPr>
        <w:color w:val="FFFFFF"/>
      </w:rPr>
      <w:tblPr/>
      <w:tcPr>
        <w:tcBorders>
          <w:bottom w:val="single" w:color="000000" w:sz="6" w:space="0"/>
          <w:tl2br w:val="nil"/>
          <w:tr2bl w:val="nil"/>
        </w:tcBorders>
        <w:shd w:val="solid" w:color="800080" w:fill="FFFFFF"/>
      </w:tcPr>
    </w:tblStylePr>
    <w:tblStylePr w:type="lastRow">
      <w:tblPr/>
      <w:tcPr>
        <w:tcBorders>
          <w:top w:val="single" w:color="000000" w:sz="6" w:space="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97">
    <w:name w:val="Table Classic 3"/>
    <w:basedOn w:val="88"/>
    <w:semiHidden/>
    <w:qFormat/>
    <w:uiPriority w:val="0"/>
    <w:pPr>
      <w:widowControl w:val="0"/>
      <w:tabs>
        <w:tab w:val="left" w:pos="480"/>
      </w:tabs>
      <w:spacing w:line="360" w:lineRule="auto"/>
      <w:jc w:val="both"/>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bottom w:val="single" w:color="000000" w:sz="6" w:space="0"/>
          <w:tl2br w:val="nil"/>
          <w:tr2bl w:val="nil"/>
        </w:tcBorders>
        <w:shd w:val="solid" w:color="000080" w:fill="FFFFFF"/>
      </w:tcPr>
    </w:tblStylePr>
    <w:tblStylePr w:type="lastRow">
      <w:rPr>
        <w:color w:val="000080"/>
      </w:rPr>
      <w:tblPr/>
      <w:tcPr>
        <w:tcBorders>
          <w:top w:val="single" w:color="000000" w:sz="12" w:space="0"/>
          <w:tl2br w:val="nil"/>
          <w:tr2bl w:val="nil"/>
        </w:tcBorders>
        <w:shd w:val="solid" w:color="FFFFFF" w:fill="FFFFFF"/>
      </w:tcPr>
    </w:tblStylePr>
    <w:tblStylePr w:type="firstCol">
      <w:rPr>
        <w:b/>
        <w:bCs/>
        <w:color w:val="000000"/>
      </w:rPr>
      <w:tblPr/>
      <w:tcPr>
        <w:tcBorders>
          <w:tl2br w:val="nil"/>
          <w:tr2bl w:val="nil"/>
        </w:tcBorders>
      </w:tcPr>
    </w:tblStylePr>
  </w:style>
  <w:style w:type="table" w:styleId="98">
    <w:name w:val="Table Classic 4"/>
    <w:basedOn w:val="88"/>
    <w:semiHidden/>
    <w:qFormat/>
    <w:uiPriority w:val="0"/>
    <w:pPr>
      <w:widowControl w:val="0"/>
      <w:tabs>
        <w:tab w:val="left" w:pos="480"/>
      </w:tabs>
      <w:spacing w:line="360" w:lineRule="auto"/>
      <w:jc w:val="both"/>
    </w:p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bottom w:val="single" w:color="000000" w:sz="6" w:space="0"/>
          <w:tl2br w:val="nil"/>
          <w:tr2bl w:val="nil"/>
        </w:tcBorders>
        <w:shd w:val="pct50" w:color="000080" w:fill="FFFFFF"/>
      </w:tcPr>
    </w:tblStylePr>
    <w:tblStylePr w:type="lastRow">
      <w:rPr>
        <w:color w:val="000080"/>
      </w:rPr>
      <w:tblPr/>
      <w:tcPr>
        <w:tcBorders>
          <w:bottom w:val="single" w:color="000000" w:sz="6" w:space="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99">
    <w:name w:val="Table Simple 1"/>
    <w:basedOn w:val="88"/>
    <w:semiHidden/>
    <w:qFormat/>
    <w:uiPriority w:val="0"/>
    <w:pPr>
      <w:widowControl w:val="0"/>
      <w:tabs>
        <w:tab w:val="left" w:pos="480"/>
      </w:tabs>
      <w:spacing w:line="360" w:lineRule="auto"/>
      <w:jc w:val="both"/>
    </w:p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100">
    <w:name w:val="Table Simple 2"/>
    <w:basedOn w:val="88"/>
    <w:semiHidden/>
    <w:qFormat/>
    <w:uiPriority w:val="0"/>
    <w:pPr>
      <w:widowControl w:val="0"/>
      <w:tabs>
        <w:tab w:val="left" w:pos="480"/>
      </w:tabs>
      <w:spacing w:line="360" w:lineRule="auto"/>
      <w:jc w:val="both"/>
    </w:pPr>
    <w:tblPr/>
    <w:tblStylePr w:type="firstRow">
      <w:rPr>
        <w:b/>
        <w:bCs/>
      </w:rPr>
      <w:tblPr/>
      <w:tcPr>
        <w:tcBorders>
          <w:bottom w:val="single" w:color="000000" w:sz="12" w:space="0"/>
          <w:tl2br w:val="nil"/>
          <w:tr2bl w:val="nil"/>
        </w:tcBorders>
      </w:tcPr>
    </w:tblStylePr>
    <w:tblStylePr w:type="lastRow">
      <w:rPr>
        <w:b/>
        <w:bCs/>
        <w:color w:val="auto"/>
      </w:rPr>
      <w:tblPr/>
      <w:tcPr>
        <w:tcBorders>
          <w:top w:val="single" w:color="000000" w:sz="6" w:space="0"/>
          <w:tl2br w:val="nil"/>
          <w:tr2bl w:val="nil"/>
        </w:tcBorders>
      </w:tcPr>
    </w:tblStylePr>
    <w:tblStylePr w:type="firstCol">
      <w:rPr>
        <w:b/>
        <w:bCs/>
      </w:rPr>
      <w:tblPr/>
      <w:tcPr>
        <w:tcBorders>
          <w:right w:val="single" w:color="000000" w:sz="12" w:space="0"/>
          <w:tl2br w:val="nil"/>
          <w:tr2bl w:val="nil"/>
        </w:tcBorders>
      </w:tcPr>
    </w:tblStylePr>
    <w:tblStylePr w:type="lastCol">
      <w:rPr>
        <w:b/>
        <w:bCs/>
      </w:rPr>
      <w:tblPr/>
      <w:tcPr>
        <w:tcBorders>
          <w:left w:val="single" w:color="000000" w:sz="6" w:space="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101">
    <w:name w:val="Table Simple 3"/>
    <w:basedOn w:val="88"/>
    <w:semiHidden/>
    <w:qFormat/>
    <w:uiPriority w:val="0"/>
    <w:pPr>
      <w:widowControl w:val="0"/>
      <w:tabs>
        <w:tab w:val="left" w:pos="480"/>
      </w:tabs>
      <w:spacing w:line="360" w:lineRule="auto"/>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102">
    <w:name w:val="Table Subtle 1"/>
    <w:basedOn w:val="88"/>
    <w:semiHidden/>
    <w:qFormat/>
    <w:uiPriority w:val="0"/>
    <w:pPr>
      <w:widowControl w:val="0"/>
      <w:tabs>
        <w:tab w:val="left" w:pos="480"/>
      </w:tabs>
      <w:spacing w:line="360" w:lineRule="auto"/>
      <w:jc w:val="both"/>
    </w:pPr>
    <w:tblPr>
      <w:tblStyleRowBandSize w:val="1"/>
    </w:tblPr>
    <w:tblStylePr w:type="firstRow">
      <w:tblPr/>
      <w:tcPr>
        <w:tcBorders>
          <w:top w:val="single" w:color="000000" w:sz="6" w:space="0"/>
          <w:bottom w:val="single" w:color="000000" w:sz="12" w:space="0"/>
          <w:tl2br w:val="nil"/>
          <w:tr2bl w:val="nil"/>
        </w:tcBorders>
      </w:tcPr>
    </w:tblStylePr>
    <w:tblStylePr w:type="lastRow">
      <w:tblPr/>
      <w:tcPr>
        <w:tcBorders>
          <w:top w:val="single" w:color="000000" w:sz="12" w:space="0"/>
          <w:tl2br w:val="nil"/>
          <w:tr2bl w:val="nil"/>
        </w:tcBorders>
        <w:shd w:val="pct25" w:color="800080" w:fill="FFFFFF"/>
      </w:tcPr>
    </w:tblStylePr>
    <w:tblStylePr w:type="firstCol">
      <w:tblPr/>
      <w:tcPr>
        <w:tcBorders>
          <w:right w:val="single" w:color="000000" w:sz="12" w:space="0"/>
          <w:tl2br w:val="nil"/>
          <w:tr2bl w:val="nil"/>
        </w:tcBorders>
      </w:tcPr>
    </w:tblStylePr>
    <w:tblStylePr w:type="lastCol">
      <w:tblPr/>
      <w:tcPr>
        <w:tcBorders>
          <w:left w:val="single" w:color="000000" w:sz="12" w:space="0"/>
          <w:tl2br w:val="nil"/>
          <w:tr2bl w:val="nil"/>
        </w:tcBorders>
      </w:tcPr>
    </w:tblStylePr>
    <w:tblStylePr w:type="band1Horz">
      <w:tblPr/>
      <w:tcPr>
        <w:tcBorders>
          <w:bottom w:val="single" w:color="000000" w:sz="6"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3">
    <w:name w:val="Table Subtle 2"/>
    <w:basedOn w:val="88"/>
    <w:semiHidden/>
    <w:qFormat/>
    <w:uiPriority w:val="0"/>
    <w:pPr>
      <w:widowControl w:val="0"/>
      <w:tabs>
        <w:tab w:val="left" w:pos="480"/>
      </w:tabs>
      <w:spacing w:line="360" w:lineRule="auto"/>
      <w:jc w:val="both"/>
    </w:pPr>
    <w:tblPr>
      <w:tblBorders>
        <w:left w:val="single" w:color="000000" w:sz="6" w:space="0"/>
        <w:right w:val="single" w:color="000000" w:sz="6" w:space="0"/>
      </w:tblBorders>
    </w:tblPr>
    <w:tblStylePr w:type="firstRow">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firstCol">
      <w:tblPr/>
      <w:tcPr>
        <w:tcBorders>
          <w:right w:val="single" w:color="000000" w:sz="12" w:space="0"/>
          <w:tl2br w:val="nil"/>
          <w:tr2bl w:val="nil"/>
        </w:tcBorders>
        <w:shd w:val="pct25" w:color="008000" w:fill="FFFFFF"/>
      </w:tcPr>
    </w:tblStylePr>
    <w:tblStylePr w:type="lastCol">
      <w:tblPr/>
      <w:tcPr>
        <w:tcBorders>
          <w:left w:val="single" w:color="000000" w:sz="12"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4">
    <w:name w:val="Table 3D effects 1"/>
    <w:basedOn w:val="88"/>
    <w:semiHidden/>
    <w:qFormat/>
    <w:uiPriority w:val="0"/>
    <w:pPr>
      <w:widowControl w:val="0"/>
      <w:tabs>
        <w:tab w:val="left" w:pos="480"/>
      </w:tabs>
      <w:spacing w:line="360" w:lineRule="auto"/>
      <w:jc w:val="both"/>
    </w:pPr>
    <w:tblPr/>
    <w:tcPr>
      <w:shd w:val="solid" w:color="C0C0C0" w:fill="FFFFFF"/>
    </w:tcPr>
    <w:tblStylePr w:type="firstRow">
      <w:rPr>
        <w:b/>
        <w:bCs/>
        <w:color w:val="800080"/>
      </w:rPr>
      <w:tblPr/>
      <w:tcPr>
        <w:tcBorders>
          <w:bottom w:val="single" w:color="808080" w:sz="6" w:space="0"/>
          <w:tl2br w:val="nil"/>
          <w:tr2bl w:val="nil"/>
        </w:tcBorders>
      </w:tcPr>
    </w:tblStylePr>
    <w:tblStylePr w:type="lastRow">
      <w:tblPr/>
      <w:tcPr>
        <w:tcBorders>
          <w:top w:val="single" w:color="FFFFFF" w:sz="6" w:space="0"/>
          <w:tl2br w:val="nil"/>
          <w:tr2bl w:val="nil"/>
        </w:tcBorders>
      </w:tcPr>
    </w:tblStylePr>
    <w:tblStylePr w:type="firstCol">
      <w:rPr>
        <w:b/>
        <w:bCs/>
      </w:rPr>
      <w:tblPr/>
      <w:tcPr>
        <w:tcBorders>
          <w:right w:val="single" w:color="808080" w:sz="6" w:space="0"/>
          <w:tl2br w:val="nil"/>
          <w:tr2bl w:val="nil"/>
        </w:tcBorders>
      </w:tcPr>
    </w:tblStylePr>
    <w:tblStylePr w:type="lastCol">
      <w:tblPr/>
      <w:tcPr>
        <w:tcBorders>
          <w:left w:val="single" w:color="FFFFFF" w:sz="6" w:space="0"/>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105">
    <w:name w:val="Table 3D effects 2"/>
    <w:basedOn w:val="88"/>
    <w:semiHidden/>
    <w:qFormat/>
    <w:uiPriority w:val="0"/>
    <w:pPr>
      <w:widowControl w:val="0"/>
      <w:tabs>
        <w:tab w:val="left" w:pos="480"/>
      </w:tabs>
      <w:spacing w:line="360" w:lineRule="auto"/>
      <w:jc w:val="both"/>
    </w:p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6">
    <w:name w:val="Table 3D effects 3"/>
    <w:basedOn w:val="88"/>
    <w:semiHidden/>
    <w:qFormat/>
    <w:uiPriority w:val="0"/>
    <w:pPr>
      <w:widowControl w:val="0"/>
      <w:tabs>
        <w:tab w:val="left" w:pos="480"/>
      </w:tabs>
      <w:spacing w:line="360" w:lineRule="auto"/>
      <w:jc w:val="both"/>
    </w:pPr>
    <w:tblPr>
      <w:tblStyleRowBandSize w:val="1"/>
      <w:tblStyleColBandSize w:val="1"/>
    </w:tbl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7">
    <w:name w:val="Table List 1"/>
    <w:basedOn w:val="88"/>
    <w:semiHidden/>
    <w:qFormat/>
    <w:uiPriority w:val="0"/>
    <w:pPr>
      <w:widowControl w:val="0"/>
      <w:tabs>
        <w:tab w:val="left" w:pos="480"/>
      </w:tabs>
      <w:spacing w:line="360" w:lineRule="auto"/>
      <w:jc w:val="both"/>
    </w:p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bottom w:val="single" w:color="000000" w:sz="6" w:space="0"/>
          <w:tl2br w:val="nil"/>
          <w:tr2bl w:val="nil"/>
        </w:tcBorders>
        <w:shd w:val="solid" w:color="C0C0C0" w:fill="FFFFFF"/>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08">
    <w:name w:val="Table List 2"/>
    <w:basedOn w:val="88"/>
    <w:semiHidden/>
    <w:qFormat/>
    <w:uiPriority w:val="0"/>
    <w:pPr>
      <w:widowControl w:val="0"/>
      <w:tabs>
        <w:tab w:val="left" w:pos="480"/>
      </w:tabs>
      <w:spacing w:line="360" w:lineRule="auto"/>
      <w:jc w:val="both"/>
    </w:pPr>
    <w:tblPr>
      <w:tblBorders>
        <w:bottom w:val="single" w:color="808080" w:sz="12" w:space="0"/>
      </w:tblBorders>
    </w:tblPr>
    <w:tblStylePr w:type="firstRow">
      <w:rPr>
        <w:b/>
        <w:bCs/>
        <w:color w:val="FFFFFF"/>
      </w:rPr>
      <w:tblPr/>
      <w:tcPr>
        <w:tcBorders>
          <w:bottom w:val="single" w:color="000000" w:sz="6" w:space="0"/>
          <w:tl2br w:val="nil"/>
          <w:tr2bl w:val="nil"/>
        </w:tcBorders>
        <w:shd w:val="pct75" w:color="008080" w:fill="008000"/>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09">
    <w:name w:val="Table List 3"/>
    <w:basedOn w:val="88"/>
    <w:semiHidden/>
    <w:qFormat/>
    <w:uiPriority w:val="0"/>
    <w:pPr>
      <w:widowControl w:val="0"/>
      <w:tabs>
        <w:tab w:val="left" w:pos="480"/>
      </w:tabs>
      <w:spacing w:line="360" w:lineRule="auto"/>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swCell">
      <w:rPr>
        <w:i/>
        <w:iCs/>
        <w:color w:val="000080"/>
      </w:rPr>
      <w:tblPr/>
      <w:tcPr>
        <w:tcBorders>
          <w:tl2br w:val="nil"/>
          <w:tr2bl w:val="nil"/>
        </w:tcBorders>
      </w:tcPr>
    </w:tblStylePr>
  </w:style>
  <w:style w:type="table" w:styleId="110">
    <w:name w:val="Table List 4"/>
    <w:basedOn w:val="88"/>
    <w:semiHidden/>
    <w:qFormat/>
    <w:uiPriority w:val="0"/>
    <w:pPr>
      <w:widowControl w:val="0"/>
      <w:tabs>
        <w:tab w:val="left" w:pos="480"/>
      </w:tabs>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bottom w:val="single" w:color="000000" w:sz="12" w:space="0"/>
          <w:tl2br w:val="nil"/>
          <w:tr2bl w:val="nil"/>
        </w:tcBorders>
        <w:shd w:val="solid" w:color="808080" w:fill="FFFFFF"/>
      </w:tcPr>
    </w:tblStylePr>
  </w:style>
  <w:style w:type="table" w:styleId="111">
    <w:name w:val="Table List 5"/>
    <w:basedOn w:val="88"/>
    <w:semiHidden/>
    <w:qFormat/>
    <w:uiPriority w:val="0"/>
    <w:pPr>
      <w:widowControl w:val="0"/>
      <w:tabs>
        <w:tab w:val="left" w:pos="480"/>
      </w:tabs>
      <w:spacing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bottom w:val="single" w:color="000000" w:sz="12" w:space="0"/>
          <w:tl2br w:val="nil"/>
          <w:tr2bl w:val="nil"/>
        </w:tcBorders>
      </w:tcPr>
    </w:tblStylePr>
    <w:tblStylePr w:type="firstCol">
      <w:rPr>
        <w:b/>
        <w:bCs/>
      </w:rPr>
      <w:tblPr/>
      <w:tcPr>
        <w:tcBorders>
          <w:tl2br w:val="nil"/>
          <w:tr2bl w:val="nil"/>
        </w:tcBorders>
      </w:tcPr>
    </w:tblStylePr>
  </w:style>
  <w:style w:type="table" w:styleId="112">
    <w:name w:val="Table List 6"/>
    <w:basedOn w:val="88"/>
    <w:semiHidden/>
    <w:qFormat/>
    <w:uiPriority w:val="0"/>
    <w:pPr>
      <w:widowControl w:val="0"/>
      <w:tabs>
        <w:tab w:val="left" w:pos="480"/>
      </w:tabs>
      <w:spacing w:line="360" w:lineRule="auto"/>
      <w:jc w:val="both"/>
    </w:p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bottom w:val="single" w:color="000000" w:sz="12" w:space="0"/>
          <w:tl2br w:val="nil"/>
          <w:tr2bl w:val="nil"/>
        </w:tcBorders>
      </w:tcPr>
    </w:tblStylePr>
    <w:tblStylePr w:type="firstCol">
      <w:rPr>
        <w:b/>
        <w:bCs/>
      </w:rPr>
      <w:tblPr/>
      <w:tcPr>
        <w:tcBorders>
          <w:right w:val="single" w:color="000000" w:sz="12" w:space="0"/>
          <w:tl2br w:val="nil"/>
          <w:tr2bl w:val="nil"/>
        </w:tcBorders>
      </w:tcPr>
    </w:tblStylePr>
    <w:tblStylePr w:type="band1Horz">
      <w:tblPr/>
      <w:tcPr>
        <w:tcBorders>
          <w:tl2br w:val="nil"/>
          <w:tr2bl w:val="nil"/>
        </w:tcBorders>
        <w:shd w:val="pct25" w:color="000000" w:fill="FFFFFF"/>
      </w:tcPr>
    </w:tblStylePr>
    <w:tblStylePr w:type="nwCell">
      <w:tblPr/>
      <w:tcPr>
        <w:tcBorders>
          <w:tl2br w:val="single" w:color="000000" w:sz="6" w:space="0"/>
          <w:tr2bl w:val="nil"/>
        </w:tcBorders>
      </w:tcPr>
    </w:tblStylePr>
  </w:style>
  <w:style w:type="table" w:styleId="113">
    <w:name w:val="Table List 7"/>
    <w:basedOn w:val="88"/>
    <w:semiHidden/>
    <w:qFormat/>
    <w:uiPriority w:val="0"/>
    <w:pPr>
      <w:widowControl w:val="0"/>
      <w:tabs>
        <w:tab w:val="left" w:pos="480"/>
      </w:tabs>
      <w:spacing w:line="360" w:lineRule="auto"/>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bottom w:val="single" w:color="008000" w:sz="12" w:space="0"/>
          <w:tl2br w:val="nil"/>
          <w:tr2bl w:val="nil"/>
        </w:tcBorders>
        <w:shd w:val="solid" w:color="C0C0C0" w:fill="FFFFFF"/>
      </w:tcPr>
    </w:tblStylePr>
    <w:tblStylePr w:type="lastRow">
      <w:rPr>
        <w:b/>
        <w:bCs/>
      </w:rPr>
      <w:tblPr/>
      <w:tcPr>
        <w:tcBorders>
          <w:top w:val="single" w:color="008000" w:sz="12"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114">
    <w:name w:val="Table List 8"/>
    <w:basedOn w:val="88"/>
    <w:semiHidden/>
    <w:qFormat/>
    <w:uiPriority w:val="0"/>
    <w:pPr>
      <w:widowControl w:val="0"/>
      <w:tabs>
        <w:tab w:val="left" w:pos="480"/>
      </w:tabs>
      <w:spacing w:line="360" w:lineRule="auto"/>
      <w:jc w:val="both"/>
    </w:p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bottom w:val="single" w:color="000000" w:sz="6" w:space="0"/>
          <w:tl2br w:val="nil"/>
          <w:tr2bl w:val="nil"/>
        </w:tcBorders>
        <w:shd w:val="solid" w:color="FFFF00" w:fill="FFFFFF"/>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color="auto" w:sz="6" w:space="0"/>
          <w:tr2bl w:val="nil"/>
        </w:tcBorders>
      </w:tcPr>
    </w:tblStylePr>
  </w:style>
  <w:style w:type="table" w:styleId="115">
    <w:name w:val="Table Contemporary"/>
    <w:basedOn w:val="88"/>
    <w:semiHidden/>
    <w:qFormat/>
    <w:uiPriority w:val="0"/>
    <w:pPr>
      <w:widowControl w:val="0"/>
      <w:tabs>
        <w:tab w:val="left" w:pos="480"/>
      </w:tabs>
      <w:spacing w:line="360" w:lineRule="auto"/>
      <w:jc w:val="both"/>
    </w:pPr>
    <w:tblPr>
      <w:tblBorders>
        <w:insideH w:val="single" w:color="FFFFFF" w:sz="18" w:space="0"/>
        <w:insideV w:val="single" w:color="FFFFFF" w:sz="18" w:space="0"/>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16">
    <w:name w:val="Table Columns 1"/>
    <w:basedOn w:val="88"/>
    <w:semiHidden/>
    <w:qFormat/>
    <w:uiPriority w:val="0"/>
    <w:pPr>
      <w:widowControl w:val="0"/>
      <w:tabs>
        <w:tab w:val="left" w:pos="480"/>
      </w:tabs>
      <w:spacing w:line="360" w:lineRule="auto"/>
      <w:jc w:val="both"/>
    </w:pPr>
    <w:rPr>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bottom w:val="double" w:color="000000" w:sz="6" w:space="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7">
    <w:name w:val="Table Columns 2"/>
    <w:basedOn w:val="88"/>
    <w:semiHidden/>
    <w:qFormat/>
    <w:uiPriority w:val="0"/>
    <w:pPr>
      <w:widowControl w:val="0"/>
      <w:tabs>
        <w:tab w:val="left" w:pos="480"/>
      </w:tabs>
      <w:spacing w:line="360" w:lineRule="auto"/>
      <w:jc w:val="both"/>
    </w:pPr>
    <w:rPr>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8">
    <w:name w:val="Table Columns 3"/>
    <w:basedOn w:val="88"/>
    <w:semiHidden/>
    <w:qFormat/>
    <w:uiPriority w:val="0"/>
    <w:pPr>
      <w:widowControl w:val="0"/>
      <w:tabs>
        <w:tab w:val="left" w:pos="480"/>
      </w:tabs>
      <w:spacing w:line="360" w:lineRule="auto"/>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color="00008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119">
    <w:name w:val="Table Columns 4"/>
    <w:basedOn w:val="88"/>
    <w:semiHidden/>
    <w:qFormat/>
    <w:uiPriority w:val="0"/>
    <w:pPr>
      <w:widowControl w:val="0"/>
      <w:tabs>
        <w:tab w:val="left" w:pos="480"/>
      </w:tabs>
      <w:spacing w:line="360" w:lineRule="auto"/>
      <w:jc w:val="both"/>
    </w:p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20">
    <w:name w:val="Table Columns 5"/>
    <w:basedOn w:val="88"/>
    <w:semiHidden/>
    <w:qFormat/>
    <w:uiPriority w:val="0"/>
    <w:pPr>
      <w:widowControl w:val="0"/>
      <w:tabs>
        <w:tab w:val="left" w:pos="480"/>
      </w:tabs>
      <w:spacing w:line="360" w:lineRule="auto"/>
      <w:jc w:val="both"/>
    </w:p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bottom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21">
    <w:name w:val="Table Grid 1"/>
    <w:basedOn w:val="88"/>
    <w:semiHidden/>
    <w:qFormat/>
    <w:uiPriority w:val="0"/>
    <w:pPr>
      <w:widowControl w:val="0"/>
      <w:tabs>
        <w:tab w:val="left" w:pos="480"/>
      </w:tabs>
      <w:spacing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122">
    <w:name w:val="Table Grid 2"/>
    <w:basedOn w:val="88"/>
    <w:semiHidden/>
    <w:qFormat/>
    <w:uiPriority w:val="0"/>
    <w:pPr>
      <w:widowControl w:val="0"/>
      <w:tabs>
        <w:tab w:val="left" w:pos="480"/>
      </w:tabs>
      <w:spacing w:line="360" w:lineRule="auto"/>
      <w:jc w:val="both"/>
    </w:pPr>
    <w:tblPr>
      <w:tblBorders>
        <w:insideH w:val="single" w:color="000000" w:sz="6" w:space="0"/>
        <w:insideV w:val="single" w:color="000000" w:sz="6" w:space="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123">
    <w:name w:val="Table Grid 3"/>
    <w:basedOn w:val="88"/>
    <w:semiHidden/>
    <w:qFormat/>
    <w:uiPriority w:val="0"/>
    <w:pPr>
      <w:widowControl w:val="0"/>
      <w:tabs>
        <w:tab w:val="left" w:pos="480"/>
      </w:tabs>
      <w:spacing w:line="360" w:lineRule="auto"/>
      <w:jc w:val="both"/>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bottom w:val="single" w:color="000000" w:sz="6" w:space="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4">
    <w:name w:val="Table Grid 4"/>
    <w:basedOn w:val="88"/>
    <w:semiHidden/>
    <w:qFormat/>
    <w:uiPriority w:val="0"/>
    <w:pPr>
      <w:widowControl w:val="0"/>
      <w:tabs>
        <w:tab w:val="left" w:pos="480"/>
      </w:tabs>
      <w:spacing w:line="360" w:lineRule="auto"/>
      <w:jc w:val="both"/>
    </w:p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bottom w:val="single" w:color="000000" w:sz="6" w:space="0"/>
          <w:tl2br w:val="nil"/>
          <w:tr2bl w:val="nil"/>
        </w:tcBorders>
        <w:shd w:val="pct30" w:color="FFFF00" w:fill="FFFFFF"/>
      </w:tcPr>
    </w:tblStylePr>
    <w:tblStylePr w:type="lastRow">
      <w:rPr>
        <w:b/>
        <w:bCs/>
        <w:color w:val="auto"/>
      </w:rPr>
      <w:tblPr/>
      <w:tcPr>
        <w:tcBorders>
          <w:top w:val="single" w:color="000000" w:sz="6" w:space="0"/>
          <w:tl2br w:val="nil"/>
          <w:tr2bl w:val="nil"/>
        </w:tcBorders>
        <w:shd w:val="pct30" w:color="FFFF00" w:fill="FFFFFF"/>
      </w:tcPr>
    </w:tblStylePr>
    <w:tblStylePr w:type="lastCol">
      <w:rPr>
        <w:b/>
        <w:bCs/>
        <w:color w:val="auto"/>
      </w:rPr>
      <w:tblPr/>
      <w:tcPr>
        <w:tcBorders>
          <w:tl2br w:val="nil"/>
          <w:tr2bl w:val="nil"/>
        </w:tcBorders>
      </w:tcPr>
    </w:tblStylePr>
  </w:style>
  <w:style w:type="table" w:styleId="125">
    <w:name w:val="Table Grid 5"/>
    <w:basedOn w:val="88"/>
    <w:semiHidden/>
    <w:qFormat/>
    <w:uiPriority w:val="0"/>
    <w:pPr>
      <w:widowControl w:val="0"/>
      <w:tabs>
        <w:tab w:val="left" w:pos="480"/>
      </w:tabs>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6">
    <w:name w:val="Table Grid 6"/>
    <w:basedOn w:val="88"/>
    <w:semiHidden/>
    <w:qFormat/>
    <w:uiPriority w:val="0"/>
    <w:pPr>
      <w:widowControl w:val="0"/>
      <w:tabs>
        <w:tab w:val="left" w:pos="480"/>
      </w:tabs>
      <w:spacing w:line="360" w:lineRule="auto"/>
      <w:jc w:val="both"/>
    </w:p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rPr>
        <w:b/>
        <w:bCs/>
      </w:rPr>
      <w:tblPr/>
      <w:tcPr>
        <w:tcBorders>
          <w:tl2br w:val="nil"/>
          <w:tr2bl w:val="nil"/>
        </w:tcBorders>
      </w:tcPr>
    </w:tblStylePr>
    <w:tblStylePr w:type="nwCell">
      <w:tblPr/>
      <w:tcPr>
        <w:tcBorders>
          <w:tl2br w:val="single" w:color="000000" w:sz="6" w:space="0"/>
          <w:tr2bl w:val="nil"/>
        </w:tcBorders>
      </w:tcPr>
    </w:tblStylePr>
  </w:style>
  <w:style w:type="table" w:styleId="127">
    <w:name w:val="Table Grid 7"/>
    <w:basedOn w:val="88"/>
    <w:semiHidden/>
    <w:qFormat/>
    <w:uiPriority w:val="0"/>
    <w:pPr>
      <w:widowControl w:val="0"/>
      <w:tabs>
        <w:tab w:val="left" w:pos="480"/>
      </w:tabs>
      <w:spacing w:line="360" w:lineRule="auto"/>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bottom w:val="single" w:color="000000" w:sz="12" w:space="0"/>
          <w:tl2br w:val="nil"/>
          <w:tr2bl w:val="nil"/>
        </w:tcBorders>
      </w:tcPr>
    </w:tblStylePr>
    <w:tblStylePr w:type="lastRow">
      <w:rPr>
        <w:b w:val="0"/>
        <w:bCs w:val="0"/>
      </w:rPr>
      <w:tblPr/>
      <w:tcPr>
        <w:tcBorders>
          <w:top w:val="single" w:color="00000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color="000000" w:sz="6" w:space="0"/>
          <w:tr2bl w:val="nil"/>
        </w:tcBorders>
      </w:tcPr>
    </w:tblStylePr>
  </w:style>
  <w:style w:type="table" w:styleId="128">
    <w:name w:val="Table Grid 8"/>
    <w:basedOn w:val="88"/>
    <w:semiHidden/>
    <w:qFormat/>
    <w:uiPriority w:val="0"/>
    <w:pPr>
      <w:widowControl w:val="0"/>
      <w:tabs>
        <w:tab w:val="left" w:pos="480"/>
      </w:tabs>
      <w:spacing w:line="360" w:lineRule="auto"/>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29">
    <w:name w:val="Table Web 1"/>
    <w:basedOn w:val="88"/>
    <w:semiHidden/>
    <w:qFormat/>
    <w:uiPriority w:val="0"/>
    <w:pPr>
      <w:widowControl w:val="0"/>
      <w:tabs>
        <w:tab w:val="left" w:pos="480"/>
      </w:tabs>
      <w:spacing w:line="360" w:lineRule="auto"/>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0">
    <w:name w:val="Table Web 2"/>
    <w:basedOn w:val="88"/>
    <w:semiHidden/>
    <w:qFormat/>
    <w:uiPriority w:val="0"/>
    <w:pPr>
      <w:widowControl w:val="0"/>
      <w:tabs>
        <w:tab w:val="left" w:pos="480"/>
      </w:tabs>
      <w:spacing w:line="360" w:lineRule="auto"/>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1">
    <w:name w:val="Table Web 3"/>
    <w:basedOn w:val="88"/>
    <w:semiHidden/>
    <w:qFormat/>
    <w:uiPriority w:val="0"/>
    <w:pPr>
      <w:widowControl w:val="0"/>
      <w:tabs>
        <w:tab w:val="left" w:pos="480"/>
      </w:tabs>
      <w:spacing w:line="360" w:lineRule="auto"/>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2">
    <w:name w:val="Table Professional"/>
    <w:basedOn w:val="88"/>
    <w:semiHidden/>
    <w:qFormat/>
    <w:uiPriority w:val="0"/>
    <w:pPr>
      <w:widowControl w:val="0"/>
      <w:tabs>
        <w:tab w:val="left" w:pos="480"/>
      </w:tabs>
      <w:spacing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il"/>
          <w:tr2bl w:val="nil"/>
        </w:tcBorders>
        <w:shd w:val="solid" w:color="000000" w:fill="FFFFFF"/>
      </w:tcPr>
    </w:tblStylePr>
  </w:style>
  <w:style w:type="character" w:styleId="134">
    <w:name w:val="Strong"/>
    <w:qFormat/>
    <w:uiPriority w:val="22"/>
    <w:rPr>
      <w:b/>
      <w:bCs/>
    </w:rPr>
  </w:style>
  <w:style w:type="character" w:styleId="135">
    <w:name w:val="endnote reference"/>
    <w:semiHidden/>
    <w:qFormat/>
    <w:uiPriority w:val="0"/>
    <w:rPr>
      <w:vertAlign w:val="superscript"/>
    </w:rPr>
  </w:style>
  <w:style w:type="character" w:styleId="136">
    <w:name w:val="page number"/>
    <w:basedOn w:val="133"/>
    <w:qFormat/>
    <w:uiPriority w:val="0"/>
  </w:style>
  <w:style w:type="character" w:styleId="137">
    <w:name w:val="FollowedHyperlink"/>
    <w:unhideWhenUsed/>
    <w:qFormat/>
    <w:uiPriority w:val="99"/>
    <w:rPr>
      <w:color w:val="800080"/>
      <w:u w:val="single"/>
    </w:rPr>
  </w:style>
  <w:style w:type="character" w:styleId="138">
    <w:name w:val="Emphasis"/>
    <w:qFormat/>
    <w:uiPriority w:val="0"/>
    <w:rPr>
      <w:i/>
      <w:iCs/>
    </w:rPr>
  </w:style>
  <w:style w:type="character" w:styleId="139">
    <w:name w:val="line number"/>
    <w:basedOn w:val="133"/>
    <w:semiHidden/>
    <w:qFormat/>
    <w:uiPriority w:val="0"/>
  </w:style>
  <w:style w:type="character" w:styleId="140">
    <w:name w:val="HTML Definition"/>
    <w:semiHidden/>
    <w:qFormat/>
    <w:uiPriority w:val="0"/>
    <w:rPr>
      <w:i/>
      <w:iCs/>
    </w:rPr>
  </w:style>
  <w:style w:type="character" w:styleId="141">
    <w:name w:val="HTML Typewriter"/>
    <w:qFormat/>
    <w:uiPriority w:val="0"/>
    <w:rPr>
      <w:rFonts w:ascii="Courier New" w:hAnsi="Courier New" w:cs="Courier New"/>
      <w:sz w:val="20"/>
      <w:szCs w:val="20"/>
    </w:rPr>
  </w:style>
  <w:style w:type="character" w:styleId="142">
    <w:name w:val="HTML Acronym"/>
    <w:basedOn w:val="133"/>
    <w:semiHidden/>
    <w:qFormat/>
    <w:uiPriority w:val="0"/>
  </w:style>
  <w:style w:type="character" w:styleId="143">
    <w:name w:val="HTML Variable"/>
    <w:semiHidden/>
    <w:qFormat/>
    <w:uiPriority w:val="0"/>
    <w:rPr>
      <w:i/>
      <w:iCs/>
    </w:rPr>
  </w:style>
  <w:style w:type="character" w:styleId="144">
    <w:name w:val="Hyperlink"/>
    <w:qFormat/>
    <w:uiPriority w:val="99"/>
    <w:rPr>
      <w:color w:val="0000FF"/>
      <w:u w:val="single"/>
    </w:rPr>
  </w:style>
  <w:style w:type="character" w:styleId="145">
    <w:name w:val="HTML Code"/>
    <w:semiHidden/>
    <w:qFormat/>
    <w:uiPriority w:val="0"/>
    <w:rPr>
      <w:rFonts w:ascii="黑体" w:hAnsi="Courier New" w:eastAsia="黑体" w:cs="Courier New"/>
      <w:sz w:val="24"/>
      <w:szCs w:val="24"/>
    </w:rPr>
  </w:style>
  <w:style w:type="character" w:styleId="146">
    <w:name w:val="annotation reference"/>
    <w:qFormat/>
    <w:uiPriority w:val="99"/>
    <w:rPr>
      <w:sz w:val="21"/>
      <w:szCs w:val="21"/>
    </w:rPr>
  </w:style>
  <w:style w:type="character" w:styleId="147">
    <w:name w:val="HTML Cite"/>
    <w:semiHidden/>
    <w:qFormat/>
    <w:uiPriority w:val="0"/>
    <w:rPr>
      <w:i/>
      <w:iCs/>
    </w:rPr>
  </w:style>
  <w:style w:type="character" w:styleId="148">
    <w:name w:val="footnote reference"/>
    <w:qFormat/>
    <w:uiPriority w:val="0"/>
    <w:rPr>
      <w:vertAlign w:val="superscript"/>
    </w:rPr>
  </w:style>
  <w:style w:type="character" w:styleId="149">
    <w:name w:val="HTML Keyboard"/>
    <w:semiHidden/>
    <w:qFormat/>
    <w:uiPriority w:val="0"/>
    <w:rPr>
      <w:rFonts w:ascii="Courier New" w:hAnsi="Courier New" w:cs="Courier New"/>
      <w:sz w:val="20"/>
      <w:szCs w:val="20"/>
    </w:rPr>
  </w:style>
  <w:style w:type="character" w:styleId="150">
    <w:name w:val="HTML Sample"/>
    <w:semiHidden/>
    <w:qFormat/>
    <w:uiPriority w:val="0"/>
    <w:rPr>
      <w:rFonts w:ascii="Courier New" w:hAnsi="Courier New" w:cs="Courier New"/>
    </w:rPr>
  </w:style>
  <w:style w:type="paragraph" w:customStyle="1" w:styleId="151">
    <w:name w:val="Default"/>
    <w:basedOn w:val="152"/>
    <w:qFormat/>
    <w:uiPriority w:val="0"/>
    <w:pPr>
      <w:widowControl w:val="0"/>
      <w:tabs>
        <w:tab w:val="left" w:pos="480"/>
      </w:tabs>
      <w:autoSpaceDE w:val="0"/>
      <w:autoSpaceDN w:val="0"/>
      <w:adjustRightInd w:val="0"/>
      <w:jc w:val="center"/>
    </w:pPr>
    <w:rPr>
      <w:rFonts w:ascii="Sim Sun+ 2" w:hAnsi="Times New Roman" w:eastAsia="Sim Sun+ 2" w:cs="Sim Sun+ 2"/>
      <w:color w:val="000000"/>
      <w:kern w:val="2"/>
      <w:sz w:val="24"/>
      <w:szCs w:val="24"/>
      <w:lang w:val="en-US" w:eastAsia="zh-CN" w:bidi="ar-SA"/>
    </w:rPr>
  </w:style>
  <w:style w:type="paragraph" w:customStyle="1" w:styleId="152">
    <w:name w:val="！正文 Alt+0"/>
    <w:basedOn w:val="1"/>
    <w:qFormat/>
    <w:uiPriority w:val="0"/>
    <w:rPr>
      <w:sz w:val="28"/>
      <w:szCs w:val="28"/>
    </w:rPr>
  </w:style>
  <w:style w:type="paragraph" w:customStyle="1" w:styleId="153">
    <w:name w:val="正文首行缩进2个字 Char"/>
    <w:basedOn w:val="1"/>
    <w:qFormat/>
    <w:uiPriority w:val="0"/>
    <w:rPr>
      <w:rFonts w:eastAsia="楷体"/>
      <w:szCs w:val="24"/>
    </w:rPr>
  </w:style>
  <w:style w:type="paragraph" w:customStyle="1" w:styleId="154">
    <w:name w:val="纯文本1"/>
    <w:basedOn w:val="1"/>
    <w:qFormat/>
    <w:uiPriority w:val="0"/>
    <w:pPr>
      <w:tabs>
        <w:tab w:val="clear" w:pos="480"/>
      </w:tabs>
      <w:adjustRightInd w:val="0"/>
      <w:spacing w:line="240" w:lineRule="auto"/>
      <w:textAlignment w:val="baseline"/>
    </w:pPr>
    <w:rPr>
      <w:rFonts w:ascii="宋体" w:hAnsi="Courier New"/>
      <w:sz w:val="21"/>
      <w:szCs w:val="20"/>
    </w:rPr>
  </w:style>
  <w:style w:type="paragraph" w:customStyle="1" w:styleId="155">
    <w:name w:val="样式 样式 首行缩进:  2 字符 + 首行缩进:  2 字符"/>
    <w:basedOn w:val="1"/>
    <w:next w:val="59"/>
    <w:qFormat/>
    <w:uiPriority w:val="0"/>
    <w:pPr>
      <w:tabs>
        <w:tab w:val="clear" w:pos="480"/>
      </w:tabs>
      <w:snapToGrid w:val="0"/>
      <w:ind w:firstLine="502"/>
    </w:pPr>
  </w:style>
  <w:style w:type="paragraph" w:customStyle="1" w:styleId="156">
    <w:name w:val="xl27"/>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olor w:val="000000"/>
      <w:kern w:val="0"/>
    </w:rPr>
  </w:style>
  <w:style w:type="paragraph" w:customStyle="1" w:styleId="157">
    <w:name w:val="（正文）"/>
    <w:basedOn w:val="45"/>
    <w:qFormat/>
    <w:uiPriority w:val="0"/>
    <w:pPr>
      <w:spacing w:line="360" w:lineRule="auto"/>
      <w:ind w:firstLine="480"/>
    </w:pPr>
    <w:rPr>
      <w:rFonts w:cs="Courier New"/>
      <w:sz w:val="24"/>
      <w:szCs w:val="21"/>
    </w:rPr>
  </w:style>
  <w:style w:type="paragraph" w:customStyle="1" w:styleId="158">
    <w:name w:val="_Style 1"/>
    <w:qFormat/>
    <w:uiPriority w:val="1"/>
    <w:pPr>
      <w:adjustRightInd w:val="0"/>
      <w:snapToGrid w:val="0"/>
      <w:spacing w:line="480" w:lineRule="exact"/>
      <w:ind w:firstLine="480" w:firstLineChars="200"/>
      <w:jc w:val="left"/>
    </w:pPr>
    <w:rPr>
      <w:rFonts w:ascii="Times New Roman" w:hAnsi="Times New Roman" w:eastAsia="宋体" w:cs="Times New Roman"/>
      <w:sz w:val="24"/>
      <w:szCs w:val="22"/>
      <w:lang w:val="en-US" w:eastAsia="zh-CN" w:bidi="ar-SA"/>
    </w:rPr>
  </w:style>
  <w:style w:type="paragraph" w:customStyle="1" w:styleId="159">
    <w:name w:val="样式34"/>
    <w:basedOn w:val="160"/>
    <w:qFormat/>
    <w:uiPriority w:val="0"/>
    <w:pPr>
      <w:keepNext/>
      <w:keepLines/>
      <w:tabs>
        <w:tab w:val="left" w:pos="360"/>
        <w:tab w:val="left" w:pos="540"/>
        <w:tab w:val="left" w:pos="1560"/>
      </w:tabs>
      <w:adjustRightInd/>
      <w:snapToGrid/>
      <w:spacing w:beforeLines="50" w:afterLines="50"/>
      <w:ind w:left="1560" w:hanging="720"/>
      <w:jc w:val="both"/>
      <w:outlineLvl w:val="2"/>
    </w:pPr>
    <w:rPr>
      <w:rFonts w:eastAsia="黑体"/>
      <w:bCs w:val="0"/>
      <w:snapToGrid/>
      <w:color w:val="auto"/>
      <w:kern w:val="0"/>
      <w:szCs w:val="32"/>
    </w:rPr>
  </w:style>
  <w:style w:type="paragraph" w:customStyle="1" w:styleId="160">
    <w:name w:val="样式4"/>
    <w:basedOn w:val="1"/>
    <w:link w:val="1043"/>
    <w:qFormat/>
    <w:uiPriority w:val="0"/>
    <w:pPr>
      <w:tabs>
        <w:tab w:val="clear" w:pos="480"/>
      </w:tabs>
      <w:adjustRightInd w:val="0"/>
      <w:snapToGrid w:val="0"/>
      <w:jc w:val="left"/>
    </w:pPr>
    <w:rPr>
      <w:bCs/>
      <w:snapToGrid w:val="0"/>
      <w:color w:val="000000"/>
    </w:rPr>
  </w:style>
  <w:style w:type="character" w:customStyle="1" w:styleId="161">
    <w:name w:val="标题 4 Char"/>
    <w:link w:val="5"/>
    <w:qFormat/>
    <w:uiPriority w:val="9"/>
    <w:rPr>
      <w:rFonts w:ascii="仿宋_GB2312" w:hAnsi="宋体" w:eastAsia="仿宋_GB2312"/>
      <w:b/>
      <w:bCs/>
      <w:kern w:val="2"/>
      <w:sz w:val="28"/>
      <w:szCs w:val="28"/>
      <w:lang w:val="zh-CN"/>
    </w:rPr>
  </w:style>
  <w:style w:type="character" w:customStyle="1" w:styleId="162">
    <w:name w:val="正文文本缩进 Char"/>
    <w:link w:val="34"/>
    <w:qFormat/>
    <w:uiPriority w:val="0"/>
    <w:rPr>
      <w:rFonts w:eastAsia="宋体"/>
      <w:kern w:val="2"/>
      <w:sz w:val="24"/>
      <w:szCs w:val="24"/>
      <w:lang w:val="en-US" w:eastAsia="zh-CN" w:bidi="ar-SA"/>
    </w:rPr>
  </w:style>
  <w:style w:type="character" w:customStyle="1" w:styleId="163">
    <w:name w:val="访问过的超链接1"/>
    <w:qFormat/>
    <w:uiPriority w:val="99"/>
    <w:rPr>
      <w:color w:val="800080"/>
      <w:u w:val="single"/>
    </w:rPr>
  </w:style>
  <w:style w:type="paragraph" w:customStyle="1" w:styleId="164">
    <w:name w:val="表1表2"/>
    <w:basedOn w:val="1"/>
    <w:semiHidden/>
    <w:qFormat/>
    <w:uiPriority w:val="0"/>
    <w:pPr>
      <w:tabs>
        <w:tab w:val="clear" w:pos="480"/>
      </w:tabs>
      <w:autoSpaceDE w:val="0"/>
      <w:autoSpaceDN w:val="0"/>
      <w:adjustRightInd w:val="0"/>
      <w:jc w:val="center"/>
      <w:textAlignment w:val="center"/>
    </w:pPr>
    <w:rPr>
      <w:rFonts w:eastAsia="仿宋体"/>
      <w:kern w:val="0"/>
      <w:szCs w:val="20"/>
    </w:rPr>
  </w:style>
  <w:style w:type="paragraph" w:customStyle="1" w:styleId="165">
    <w:name w:val="表格"/>
    <w:basedOn w:val="20"/>
    <w:next w:val="1"/>
    <w:link w:val="467"/>
    <w:qFormat/>
    <w:uiPriority w:val="0"/>
    <w:pPr>
      <w:tabs>
        <w:tab w:val="clear" w:pos="480"/>
      </w:tabs>
      <w:adjustRightInd w:val="0"/>
      <w:ind w:firstLine="0" w:firstLineChars="0"/>
      <w:textAlignment w:val="center"/>
    </w:pPr>
    <w:rPr>
      <w:rFonts w:eastAsia="楷体_GB2312"/>
      <w:szCs w:val="20"/>
    </w:rPr>
  </w:style>
  <w:style w:type="character" w:customStyle="1" w:styleId="166">
    <w:name w:val="正文缩进 Char"/>
    <w:link w:val="20"/>
    <w:qFormat/>
    <w:uiPriority w:val="0"/>
    <w:rPr>
      <w:rFonts w:eastAsia="宋体"/>
      <w:kern w:val="2"/>
      <w:sz w:val="24"/>
      <w:szCs w:val="24"/>
      <w:lang w:val="en-US" w:eastAsia="zh-CN" w:bidi="ar-SA"/>
    </w:rPr>
  </w:style>
  <w:style w:type="paragraph" w:customStyle="1" w:styleId="167">
    <w:name w:val="样式5"/>
    <w:basedOn w:val="66"/>
    <w:link w:val="2441"/>
    <w:qFormat/>
    <w:uiPriority w:val="0"/>
    <w:pPr>
      <w:ind w:left="482" w:firstLine="0" w:firstLineChars="0"/>
    </w:pPr>
  </w:style>
  <w:style w:type="paragraph" w:customStyle="1" w:styleId="168">
    <w:name w:val="表格 32"/>
    <w:basedOn w:val="1"/>
    <w:link w:val="169"/>
    <w:semiHidden/>
    <w:qFormat/>
    <w:uiPriority w:val="0"/>
    <w:pPr>
      <w:tabs>
        <w:tab w:val="clear" w:pos="480"/>
      </w:tabs>
      <w:autoSpaceDE w:val="0"/>
      <w:autoSpaceDN w:val="0"/>
      <w:adjustRightInd w:val="0"/>
      <w:spacing w:line="0" w:lineRule="atLeast"/>
      <w:jc w:val="center"/>
      <w:textAlignment w:val="baseline"/>
    </w:pPr>
    <w:rPr>
      <w:kern w:val="0"/>
      <w:szCs w:val="20"/>
    </w:rPr>
  </w:style>
  <w:style w:type="character" w:customStyle="1" w:styleId="169">
    <w:name w:val="表格 32 Char"/>
    <w:link w:val="168"/>
    <w:qFormat/>
    <w:uiPriority w:val="0"/>
    <w:rPr>
      <w:rFonts w:eastAsia="宋体"/>
      <w:sz w:val="24"/>
      <w:lang w:val="en-US" w:eastAsia="zh-CN" w:bidi="ar-SA"/>
    </w:rPr>
  </w:style>
  <w:style w:type="paragraph" w:customStyle="1" w:styleId="170">
    <w:name w:val="表头"/>
    <w:basedOn w:val="86"/>
    <w:link w:val="1296"/>
    <w:qFormat/>
    <w:uiPriority w:val="0"/>
    <w:pPr>
      <w:jc w:val="center"/>
    </w:pPr>
    <w:rPr>
      <w:rFonts w:ascii="Times New Roman" w:hAnsi="Times New Roman" w:eastAsia="宋体" w:cs="Times New Roman"/>
      <w:bCs/>
      <w:snapToGrid w:val="0"/>
      <w:color w:val="000000"/>
      <w:kern w:val="2"/>
      <w:sz w:val="21"/>
      <w:szCs w:val="21"/>
      <w:lang w:val="en-US" w:eastAsia="zh-CN" w:bidi="ar-SA"/>
    </w:rPr>
  </w:style>
  <w:style w:type="character" w:customStyle="1" w:styleId="171">
    <w:name w:val="正文文本 Char"/>
    <w:link w:val="33"/>
    <w:qFormat/>
    <w:uiPriority w:val="99"/>
    <w:rPr>
      <w:rFonts w:ascii="宋体" w:hAnsi="宋体" w:eastAsia="宋体"/>
      <w:kern w:val="2"/>
      <w:sz w:val="21"/>
      <w:lang w:val="en-US" w:eastAsia="zh-CN" w:bidi="ar-SA"/>
    </w:rPr>
  </w:style>
  <w:style w:type="character" w:customStyle="1" w:styleId="172">
    <w:name w:val="题注 Char"/>
    <w:link w:val="21"/>
    <w:qFormat/>
    <w:uiPriority w:val="99"/>
    <w:rPr>
      <w:rFonts w:ascii="Arial" w:hAnsi="Arial" w:eastAsia="宋体" w:cs="Arial"/>
      <w:color w:val="000000"/>
      <w:kern w:val="2"/>
      <w:sz w:val="24"/>
      <w:lang w:val="en-US" w:eastAsia="zh-CN" w:bidi="ar-SA"/>
    </w:rPr>
  </w:style>
  <w:style w:type="paragraph" w:customStyle="1" w:styleId="173">
    <w:name w:val="小点"/>
    <w:semiHidden/>
    <w:qFormat/>
    <w:uiPriority w:val="0"/>
    <w:pPr>
      <w:tabs>
        <w:tab w:val="left" w:pos="1080"/>
        <w:tab w:val="left" w:pos="1140"/>
      </w:tabs>
      <w:adjustRightInd w:val="0"/>
      <w:snapToGrid w:val="0"/>
      <w:spacing w:line="360" w:lineRule="auto"/>
      <w:ind w:left="480" w:leftChars="200" w:firstLine="240" w:firstLineChars="100"/>
      <w:jc w:val="center"/>
    </w:pPr>
    <w:rPr>
      <w:rFonts w:ascii="宋体" w:hAnsi="宋体" w:eastAsia="宋体" w:cs="Arial"/>
      <w:bCs/>
      <w:kern w:val="2"/>
      <w:sz w:val="24"/>
      <w:szCs w:val="32"/>
      <w:lang w:val="en-US" w:eastAsia="zh-CN" w:bidi="ar-SA"/>
    </w:rPr>
  </w:style>
  <w:style w:type="paragraph" w:customStyle="1" w:styleId="174">
    <w:name w:val="表格标题"/>
    <w:basedOn w:val="165"/>
    <w:next w:val="175"/>
    <w:qFormat/>
    <w:uiPriority w:val="0"/>
    <w:pPr>
      <w:adjustRightInd w:val="0"/>
      <w:jc w:val="center"/>
    </w:pPr>
    <w:rPr>
      <w:rFonts w:ascii="仿宋_GB2312" w:hAnsi="宋体" w:eastAsia="仿宋_GB2312" w:cs="Times New Roman"/>
      <w:b/>
      <w:color w:val="000000"/>
      <w:kern w:val="2"/>
      <w:sz w:val="24"/>
      <w:szCs w:val="24"/>
      <w:lang w:val="zh-CN" w:eastAsia="zh-CN" w:bidi="ar-SA"/>
    </w:rPr>
  </w:style>
  <w:style w:type="paragraph" w:customStyle="1" w:styleId="175">
    <w:name w:val="表格内容"/>
    <w:qFormat/>
    <w:uiPriority w:val="0"/>
    <w:pPr>
      <w:snapToGrid w:val="0"/>
      <w:ind w:firstLine="482"/>
      <w:jc w:val="center"/>
    </w:pPr>
    <w:rPr>
      <w:rFonts w:ascii="Times New Roman" w:hAnsi="Times New Roman" w:eastAsia="宋体" w:cs="Times New Roman"/>
      <w:b/>
      <w:bCs/>
      <w:kern w:val="2"/>
      <w:sz w:val="24"/>
      <w:szCs w:val="24"/>
      <w:lang w:val="zh-CN" w:eastAsia="zh-CN" w:bidi="ar-SA"/>
    </w:rPr>
  </w:style>
  <w:style w:type="paragraph" w:customStyle="1" w:styleId="176">
    <w:name w:val="大表内容"/>
    <w:semiHidden/>
    <w:qFormat/>
    <w:uiPriority w:val="0"/>
    <w:pPr>
      <w:snapToGrid w:val="0"/>
      <w:jc w:val="center"/>
    </w:pPr>
    <w:rPr>
      <w:rFonts w:ascii="Times New Roman" w:hAnsi="宋体" w:eastAsia="宋体" w:cs="Times New Roman"/>
      <w:b/>
      <w:bCs/>
      <w:kern w:val="2"/>
      <w:sz w:val="24"/>
      <w:szCs w:val="24"/>
      <w:lang w:val="en-US" w:eastAsia="zh-CN" w:bidi="ar-SA"/>
    </w:rPr>
  </w:style>
  <w:style w:type="paragraph" w:customStyle="1" w:styleId="177">
    <w:name w:val="第几节"/>
    <w:basedOn w:val="1"/>
    <w:semiHidden/>
    <w:qFormat/>
    <w:uiPriority w:val="0"/>
    <w:pPr>
      <w:widowControl/>
      <w:tabs>
        <w:tab w:val="clear" w:pos="480"/>
      </w:tabs>
      <w:adjustRightInd w:val="0"/>
      <w:snapToGrid w:val="0"/>
      <w:spacing w:beforeLines="50"/>
      <w:ind w:firstLine="480"/>
      <w:jc w:val="center"/>
    </w:pPr>
    <w:rPr>
      <w:rFonts w:ascii="宋体" w:hAnsi="宋体" w:eastAsia="黑体"/>
      <w:b/>
      <w:color w:val="000000"/>
      <w:sz w:val="30"/>
    </w:rPr>
  </w:style>
  <w:style w:type="paragraph" w:customStyle="1" w:styleId="178">
    <w:name w:val="第几章"/>
    <w:basedOn w:val="177"/>
    <w:semiHidden/>
    <w:qFormat/>
    <w:uiPriority w:val="0"/>
    <w:pPr>
      <w:spacing w:beforeLines="0"/>
    </w:pPr>
    <w:rPr>
      <w:sz w:val="32"/>
    </w:rPr>
  </w:style>
  <w:style w:type="paragraph" w:customStyle="1" w:styleId="179">
    <w:name w:val="小五"/>
    <w:semiHidden/>
    <w:qFormat/>
    <w:uiPriority w:val="0"/>
    <w:pPr>
      <w:snapToGrid w:val="0"/>
      <w:jc w:val="center"/>
    </w:pPr>
    <w:rPr>
      <w:rFonts w:ascii="Times New Roman" w:hAnsi="Times New Roman" w:eastAsia="宋体" w:cs="Times New Roman"/>
      <w:b/>
      <w:kern w:val="2"/>
      <w:sz w:val="18"/>
      <w:szCs w:val="21"/>
      <w:lang w:val="en-US" w:eastAsia="zh-CN" w:bidi="ar-SA"/>
    </w:rPr>
  </w:style>
  <w:style w:type="paragraph" w:customStyle="1" w:styleId="180">
    <w:name w:val="注:"/>
    <w:semiHidden/>
    <w:qFormat/>
    <w:uiPriority w:val="0"/>
    <w:pPr>
      <w:jc w:val="center"/>
    </w:pPr>
    <w:rPr>
      <w:rFonts w:ascii="Times New Roman" w:hAnsi="Times New Roman" w:eastAsia="宋体" w:cs="Times New Roman"/>
      <w:kern w:val="2"/>
      <w:sz w:val="21"/>
      <w:szCs w:val="24"/>
      <w:lang w:val="en-US" w:eastAsia="zh-CN" w:bidi="ar-SA"/>
    </w:rPr>
  </w:style>
  <w:style w:type="paragraph" w:customStyle="1" w:styleId="181">
    <w:name w:val="正文1"/>
    <w:basedOn w:val="1"/>
    <w:link w:val="1329"/>
    <w:qFormat/>
    <w:uiPriority w:val="0"/>
    <w:pPr>
      <w:tabs>
        <w:tab w:val="clear" w:pos="480"/>
      </w:tabs>
      <w:adjustRightInd w:val="0"/>
      <w:spacing w:line="240" w:lineRule="auto"/>
    </w:pPr>
    <w:rPr>
      <w:rFonts w:eastAsia="楷体_GB2312"/>
      <w:szCs w:val="20"/>
    </w:rPr>
  </w:style>
  <w:style w:type="paragraph" w:customStyle="1" w:styleId="182">
    <w:name w:val="表格1"/>
    <w:basedOn w:val="1"/>
    <w:next w:val="1"/>
    <w:link w:val="183"/>
    <w:qFormat/>
    <w:uiPriority w:val="0"/>
    <w:pPr>
      <w:tabs>
        <w:tab w:val="clear" w:pos="480"/>
      </w:tabs>
      <w:topLinePunct/>
      <w:autoSpaceDE w:val="0"/>
      <w:autoSpaceDN w:val="0"/>
      <w:adjustRightInd w:val="0"/>
      <w:spacing w:line="240" w:lineRule="auto"/>
      <w:jc w:val="center"/>
      <w:textAlignment w:val="baseline"/>
    </w:pPr>
    <w:rPr>
      <w:rFonts w:ascii="宋体" w:hAnsi="Impact"/>
      <w:kern w:val="24"/>
      <w:sz w:val="28"/>
      <w:szCs w:val="20"/>
    </w:rPr>
  </w:style>
  <w:style w:type="character" w:customStyle="1" w:styleId="183">
    <w:name w:val="表格1 Char1"/>
    <w:link w:val="182"/>
    <w:qFormat/>
    <w:uiPriority w:val="0"/>
    <w:rPr>
      <w:rFonts w:ascii="宋体" w:hAnsi="Impact" w:eastAsia="宋体"/>
      <w:kern w:val="24"/>
      <w:sz w:val="28"/>
      <w:lang w:val="en-US" w:eastAsia="zh-CN" w:bidi="ar-SA"/>
    </w:rPr>
  </w:style>
  <w:style w:type="paragraph" w:customStyle="1" w:styleId="184">
    <w:name w:val="表格2"/>
    <w:basedOn w:val="1"/>
    <w:next w:val="1"/>
    <w:qFormat/>
    <w:uiPriority w:val="0"/>
    <w:pPr>
      <w:keepNext/>
      <w:tabs>
        <w:tab w:val="clear" w:pos="480"/>
      </w:tabs>
      <w:topLinePunct/>
      <w:autoSpaceDE w:val="0"/>
      <w:autoSpaceDN w:val="0"/>
      <w:adjustRightInd w:val="0"/>
      <w:spacing w:line="240" w:lineRule="auto"/>
      <w:jc w:val="center"/>
      <w:textAlignment w:val="baseline"/>
    </w:pPr>
    <w:rPr>
      <w:rFonts w:ascii="宋体"/>
      <w:kern w:val="0"/>
      <w:position w:val="-28"/>
      <w:sz w:val="21"/>
      <w:szCs w:val="20"/>
    </w:rPr>
  </w:style>
  <w:style w:type="paragraph" w:customStyle="1" w:styleId="185">
    <w:name w:val="标题1"/>
    <w:basedOn w:val="1"/>
    <w:qFormat/>
    <w:uiPriority w:val="0"/>
    <w:pPr>
      <w:tabs>
        <w:tab w:val="clear" w:pos="480"/>
      </w:tabs>
      <w:adjustRightInd w:val="0"/>
      <w:spacing w:line="240" w:lineRule="auto"/>
      <w:ind w:left="210" w:hanging="210"/>
      <w:jc w:val="left"/>
      <w:textAlignment w:val="baseline"/>
    </w:pPr>
    <w:rPr>
      <w:kern w:val="0"/>
      <w:szCs w:val="20"/>
    </w:rPr>
  </w:style>
  <w:style w:type="paragraph" w:customStyle="1" w:styleId="186">
    <w:name w:val="表格正文"/>
    <w:basedOn w:val="33"/>
    <w:next w:val="1"/>
    <w:qFormat/>
    <w:uiPriority w:val="0"/>
    <w:pPr>
      <w:spacing w:line="240" w:lineRule="auto"/>
      <w:jc w:val="center"/>
    </w:pPr>
    <w:rPr>
      <w:rFonts w:ascii="仿宋_GB2312" w:eastAsia="仿宋_GB2312"/>
      <w:sz w:val="21"/>
    </w:rPr>
  </w:style>
  <w:style w:type="paragraph" w:customStyle="1" w:styleId="187">
    <w:name w:val="表格 23"/>
    <w:basedOn w:val="1"/>
    <w:semiHidden/>
    <w:qFormat/>
    <w:uiPriority w:val="0"/>
    <w:pPr>
      <w:tabs>
        <w:tab w:val="clear" w:pos="480"/>
      </w:tabs>
      <w:autoSpaceDE w:val="0"/>
      <w:autoSpaceDN w:val="0"/>
      <w:adjustRightInd w:val="0"/>
      <w:spacing w:line="240" w:lineRule="auto"/>
      <w:jc w:val="center"/>
    </w:pPr>
    <w:rPr>
      <w:rFonts w:eastAsia="仿宋体"/>
      <w:kern w:val="0"/>
      <w:sz w:val="21"/>
      <w:szCs w:val="20"/>
    </w:rPr>
  </w:style>
  <w:style w:type="paragraph" w:customStyle="1" w:styleId="188">
    <w:name w:val="xl24"/>
    <w:basedOn w:val="1"/>
    <w:link w:val="3434"/>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pPr>
    <w:rPr>
      <w:rFonts w:hint="eastAsia" w:ascii="仿宋_GB2312" w:hAnsi="Arial Unicode MS" w:eastAsia="仿宋_GB2312" w:cs="Arial Unicode MS"/>
      <w:kern w:val="0"/>
      <w:sz w:val="21"/>
      <w:szCs w:val="21"/>
    </w:rPr>
  </w:style>
  <w:style w:type="paragraph" w:customStyle="1" w:styleId="189">
    <w:name w:val="封面"/>
    <w:basedOn w:val="1"/>
    <w:qFormat/>
    <w:uiPriority w:val="0"/>
    <w:pPr>
      <w:tabs>
        <w:tab w:val="left" w:pos="1080"/>
        <w:tab w:val="clear" w:pos="480"/>
      </w:tabs>
      <w:jc w:val="left"/>
    </w:pPr>
    <w:rPr>
      <w:rFonts w:ascii="宋体" w:hAnsi="宋体"/>
      <w:bCs/>
    </w:rPr>
  </w:style>
  <w:style w:type="character" w:customStyle="1" w:styleId="190">
    <w:name w:val="标题 3 Char Char"/>
    <w:semiHidden/>
    <w:qFormat/>
    <w:uiPriority w:val="0"/>
    <w:rPr>
      <w:rFonts w:eastAsia="仿宋_GB2312"/>
      <w:b/>
      <w:kern w:val="2"/>
      <w:sz w:val="24"/>
      <w:lang w:val="en-US" w:eastAsia="zh-CN" w:bidi="ar-SA"/>
    </w:rPr>
  </w:style>
  <w:style w:type="paragraph" w:customStyle="1" w:styleId="191">
    <w:name w:val="表文字"/>
    <w:basedOn w:val="1"/>
    <w:link w:val="3611"/>
    <w:qFormat/>
    <w:uiPriority w:val="0"/>
    <w:pPr>
      <w:tabs>
        <w:tab w:val="clear" w:pos="480"/>
      </w:tabs>
      <w:overflowPunct w:val="0"/>
      <w:autoSpaceDE w:val="0"/>
      <w:autoSpaceDN w:val="0"/>
      <w:adjustRightInd w:val="0"/>
      <w:spacing w:line="240" w:lineRule="atLeast"/>
      <w:jc w:val="center"/>
      <w:textAlignment w:val="baseline"/>
    </w:pPr>
    <w:rPr>
      <w:kern w:val="0"/>
      <w:szCs w:val="20"/>
    </w:rPr>
  </w:style>
  <w:style w:type="paragraph" w:customStyle="1" w:styleId="192">
    <w:name w:val="封面1"/>
    <w:basedOn w:val="2"/>
    <w:qFormat/>
    <w:uiPriority w:val="0"/>
    <w:pPr>
      <w:keepNext w:val="0"/>
      <w:keepLines w:val="0"/>
      <w:numPr>
        <w:numId w:val="0"/>
      </w:numPr>
      <w:tabs>
        <w:tab w:val="left" w:pos="432"/>
        <w:tab w:val="clear" w:pos="480"/>
      </w:tabs>
      <w:spacing w:before="0" w:after="0" w:line="240" w:lineRule="auto"/>
      <w:jc w:val="center"/>
      <w:outlineLvl w:val="9"/>
    </w:pPr>
    <w:rPr>
      <w:rFonts w:ascii="Impact" w:hAnsi="Impact" w:eastAsia="隶书"/>
      <w:b w:val="0"/>
      <w:bCs w:val="0"/>
      <w:szCs w:val="20"/>
      <w14:shadow w14:blurRad="50800" w14:dist="38100" w14:dir="2700000" w14:sx="100000" w14:sy="100000" w14:kx="0" w14:ky="0" w14:algn="tl">
        <w14:srgbClr w14:val="000000">
          <w14:alpha w14:val="60000"/>
        </w14:srgbClr>
      </w14:shadow>
    </w:rPr>
  </w:style>
  <w:style w:type="paragraph" w:customStyle="1" w:styleId="193">
    <w:name w:val="body"/>
    <w:basedOn w:val="1"/>
    <w:semiHidden/>
    <w:qFormat/>
    <w:uiPriority w:val="0"/>
    <w:pPr>
      <w:tabs>
        <w:tab w:val="clear" w:pos="480"/>
      </w:tabs>
    </w:pPr>
    <w:rPr>
      <w:rFonts w:ascii="宋体" w:hAnsi="宋体"/>
    </w:rPr>
  </w:style>
  <w:style w:type="paragraph" w:customStyle="1" w:styleId="194">
    <w:name w:val="样式1"/>
    <w:basedOn w:val="1"/>
    <w:link w:val="1242"/>
    <w:qFormat/>
    <w:uiPriority w:val="0"/>
    <w:pPr>
      <w:widowControl/>
      <w:tabs>
        <w:tab w:val="clear" w:pos="480"/>
      </w:tabs>
      <w:spacing w:line="498" w:lineRule="atLeast"/>
    </w:pPr>
    <w:rPr>
      <w:rFonts w:eastAsia="楷体_GB2312"/>
      <w:sz w:val="28"/>
    </w:rPr>
  </w:style>
  <w:style w:type="paragraph" w:customStyle="1" w:styleId="195">
    <w:name w:val="图文框"/>
    <w:basedOn w:val="168"/>
    <w:qFormat/>
    <w:uiPriority w:val="0"/>
    <w:pPr/>
    <w:rPr>
      <w:sz w:val="21"/>
      <w:szCs w:val="21"/>
    </w:rPr>
  </w:style>
  <w:style w:type="character" w:customStyle="1" w:styleId="196">
    <w:name w:val="p1061"/>
    <w:semiHidden/>
    <w:qFormat/>
    <w:uiPriority w:val="0"/>
    <w:rPr>
      <w:spacing w:val="300"/>
      <w:sz w:val="21"/>
      <w:szCs w:val="21"/>
    </w:rPr>
  </w:style>
  <w:style w:type="paragraph" w:customStyle="1" w:styleId="197">
    <w:name w:val="xl25"/>
    <w:basedOn w:val="1"/>
    <w:qFormat/>
    <w:uiPriority w:val="0"/>
    <w:pPr>
      <w:widowControl/>
      <w:pBdr>
        <w:bottom w:val="single" w:color="auto" w:sz="4" w:space="0"/>
        <w:right w:val="single" w:color="auto" w:sz="4" w:space="0"/>
      </w:pBdr>
      <w:tabs>
        <w:tab w:val="clear" w:pos="480"/>
      </w:tabs>
      <w:spacing w:before="100" w:beforeAutospacing="1" w:after="100" w:afterAutospacing="1" w:line="240" w:lineRule="auto"/>
      <w:jc w:val="center"/>
      <w:textAlignment w:val="top"/>
    </w:pPr>
    <w:rPr>
      <w:kern w:val="0"/>
      <w:sz w:val="21"/>
      <w:szCs w:val="21"/>
    </w:rPr>
  </w:style>
  <w:style w:type="paragraph" w:customStyle="1" w:styleId="198">
    <w:name w:val="表格 31"/>
    <w:semiHidden/>
    <w:qFormat/>
    <w:uiPriority w:val="0"/>
    <w:pPr>
      <w:widowControl w:val="0"/>
      <w:autoSpaceDE w:val="0"/>
      <w:autoSpaceDN w:val="0"/>
      <w:adjustRightInd w:val="0"/>
      <w:jc w:val="center"/>
      <w:textAlignment w:val="baseline"/>
    </w:pPr>
    <w:rPr>
      <w:rFonts w:ascii="Times New Roman" w:hAnsi="Times New Roman" w:eastAsia="楷体" w:cs="Times New Roman"/>
      <w:kern w:val="2"/>
      <w:sz w:val="28"/>
      <w:szCs w:val="24"/>
      <w:lang w:val="en-US" w:eastAsia="zh-CN" w:bidi="ar-SA"/>
    </w:rPr>
  </w:style>
  <w:style w:type="paragraph" w:customStyle="1" w:styleId="199">
    <w:name w:val="Char"/>
    <w:basedOn w:val="1"/>
    <w:qFormat/>
    <w:uiPriority w:val="0"/>
    <w:pPr>
      <w:tabs>
        <w:tab w:val="clear" w:pos="480"/>
      </w:tabs>
      <w:spacing w:line="240" w:lineRule="auto"/>
    </w:pPr>
    <w:rPr>
      <w:sz w:val="21"/>
      <w:szCs w:val="21"/>
    </w:rPr>
  </w:style>
  <w:style w:type="paragraph" w:customStyle="1" w:styleId="200">
    <w:name w:val="Char Char Char Char Char Char Char Char Char Char Char Char1 Char"/>
    <w:basedOn w:val="1"/>
    <w:semiHidden/>
    <w:qFormat/>
    <w:uiPriority w:val="0"/>
    <w:pPr>
      <w:tabs>
        <w:tab w:val="clear" w:pos="480"/>
      </w:tabs>
    </w:pPr>
    <w:rPr>
      <w:szCs w:val="20"/>
    </w:rPr>
  </w:style>
  <w:style w:type="paragraph" w:customStyle="1" w:styleId="201">
    <w:name w:val="正文首行缩进 2 + Times New Roman"/>
    <w:basedOn w:val="1"/>
    <w:semiHidden/>
    <w:qFormat/>
    <w:uiPriority w:val="0"/>
    <w:pPr>
      <w:tabs>
        <w:tab w:val="left" w:pos="0"/>
        <w:tab w:val="left" w:pos="870"/>
        <w:tab w:val="clear" w:pos="480"/>
      </w:tabs>
      <w:autoSpaceDE w:val="0"/>
      <w:autoSpaceDN w:val="0"/>
      <w:ind w:firstLine="480"/>
    </w:pPr>
    <w:rPr>
      <w:rFonts w:hAnsi="宋体"/>
      <w:kern w:val="0"/>
    </w:rPr>
  </w:style>
  <w:style w:type="character" w:customStyle="1" w:styleId="202">
    <w:name w:val="批注文字 Char2"/>
    <w:link w:val="27"/>
    <w:qFormat/>
    <w:uiPriority w:val="0"/>
    <w:rPr>
      <w:rFonts w:eastAsia="宋体"/>
      <w:sz w:val="24"/>
      <w:lang w:val="en-US" w:eastAsia="zh-CN" w:bidi="ar-SA"/>
    </w:rPr>
  </w:style>
  <w:style w:type="paragraph" w:customStyle="1" w:styleId="203">
    <w:name w:val="表格文字2"/>
    <w:basedOn w:val="1"/>
    <w:semiHidden/>
    <w:qFormat/>
    <w:uiPriority w:val="0"/>
    <w:pPr>
      <w:tabs>
        <w:tab w:val="left" w:pos="277"/>
        <w:tab w:val="left" w:pos="600"/>
        <w:tab w:val="left" w:pos="780"/>
        <w:tab w:val="left" w:pos="2517"/>
        <w:tab w:val="clear" w:pos="480"/>
      </w:tabs>
      <w:adjustRightInd w:val="0"/>
      <w:spacing w:line="240" w:lineRule="auto"/>
      <w:jc w:val="center"/>
      <w:textAlignment w:val="baseline"/>
    </w:pPr>
    <w:rPr>
      <w:kern w:val="0"/>
      <w:sz w:val="21"/>
      <w:szCs w:val="21"/>
    </w:rPr>
  </w:style>
  <w:style w:type="paragraph" w:customStyle="1" w:styleId="204">
    <w:name w:val="样式 正文文本缩进正文文字( 首段缩进两字） + 宋体"/>
    <w:basedOn w:val="34"/>
    <w:link w:val="205"/>
    <w:semiHidden/>
    <w:qFormat/>
    <w:uiPriority w:val="0"/>
    <w:rPr>
      <w:rFonts w:ascii="宋体" w:hAnsi="宋体"/>
      <w:snapToGrid w:val="0"/>
    </w:rPr>
  </w:style>
  <w:style w:type="character" w:customStyle="1" w:styleId="205">
    <w:name w:val="样式 正文文本缩进正文文字( 首段缩进两字） + 宋体 Char"/>
    <w:link w:val="204"/>
    <w:qFormat/>
    <w:uiPriority w:val="0"/>
    <w:rPr>
      <w:rFonts w:ascii="宋体" w:hAnsi="宋体" w:eastAsia="宋体"/>
      <w:snapToGrid w:val="0"/>
      <w:kern w:val="2"/>
      <w:sz w:val="24"/>
      <w:szCs w:val="24"/>
      <w:lang w:val="en-US" w:eastAsia="zh-CN" w:bidi="ar-SA"/>
    </w:rPr>
  </w:style>
  <w:style w:type="character" w:customStyle="1" w:styleId="206">
    <w:name w:val="neiyetest1"/>
    <w:semiHidden/>
    <w:qFormat/>
    <w:uiPriority w:val="0"/>
    <w:rPr>
      <w:rFonts w:hint="default" w:ascii="ˎ̥" w:hAnsi="ˎ̥"/>
      <w:color w:val="000000"/>
      <w:sz w:val="20"/>
      <w:szCs w:val="20"/>
    </w:rPr>
  </w:style>
  <w:style w:type="paragraph" w:customStyle="1" w:styleId="207">
    <w:name w:val="样式 标题 4Subsection + 宋体 小四"/>
    <w:basedOn w:val="5"/>
    <w:link w:val="208"/>
    <w:semiHidden/>
    <w:qFormat/>
    <w:uiPriority w:val="0"/>
    <w:rPr>
      <w:rFonts w:ascii="宋体" w:eastAsia="宋体"/>
    </w:rPr>
  </w:style>
  <w:style w:type="character" w:customStyle="1" w:styleId="208">
    <w:name w:val="样式 标题 4Subsection + 宋体 小四 Char"/>
    <w:link w:val="207"/>
    <w:semiHidden/>
    <w:qFormat/>
    <w:uiPriority w:val="0"/>
    <w:rPr>
      <w:rFonts w:ascii="宋体" w:hAnsi="宋体"/>
      <w:b/>
      <w:bCs/>
      <w:kern w:val="2"/>
      <w:sz w:val="28"/>
      <w:szCs w:val="28"/>
      <w:lang w:val="zh-CN"/>
    </w:rPr>
  </w:style>
  <w:style w:type="table" w:customStyle="1" w:styleId="209">
    <w:name w:val="设计院"/>
    <w:basedOn w:val="88"/>
    <w:qFormat/>
    <w:uiPriority w:val="0"/>
    <w:rPr>
      <w:sz w:val="21"/>
    </w:rPr>
    <w:tblPr>
      <w:jc w:val="center"/>
      <w:tblBorders>
        <w:top w:val="single" w:color="auto" w:sz="18" w:space="0"/>
        <w:bottom w:val="single" w:color="auto" w:sz="18" w:space="0"/>
        <w:insideH w:val="single" w:color="auto" w:sz="4" w:space="0"/>
        <w:insideV w:val="single" w:color="auto" w:sz="4" w:space="0"/>
      </w:tblBorders>
    </w:tblPr>
    <w:trPr>
      <w:jc w:val="center"/>
    </w:trPr>
    <w:tcPr>
      <w:vAlign w:val="center"/>
    </w:tcPr>
  </w:style>
  <w:style w:type="paragraph" w:customStyle="1" w:styleId="210">
    <w:name w:val="缩进"/>
    <w:basedOn w:val="1"/>
    <w:link w:val="1840"/>
    <w:semiHidden/>
    <w:qFormat/>
    <w:uiPriority w:val="0"/>
    <w:pPr>
      <w:tabs>
        <w:tab w:val="clear" w:pos="480"/>
      </w:tabs>
      <w:autoSpaceDE w:val="0"/>
      <w:autoSpaceDN w:val="0"/>
      <w:adjustRightInd w:val="0"/>
      <w:spacing w:line="400" w:lineRule="atLeast"/>
      <w:ind w:firstLine="425"/>
      <w:textAlignment w:val="baseline"/>
    </w:pPr>
    <w:rPr>
      <w:kern w:val="0"/>
      <w:szCs w:val="20"/>
    </w:rPr>
  </w:style>
  <w:style w:type="paragraph" w:customStyle="1" w:styleId="211">
    <w:name w:val="样式2"/>
    <w:basedOn w:val="1"/>
    <w:qFormat/>
    <w:uiPriority w:val="0"/>
    <w:pPr>
      <w:tabs>
        <w:tab w:val="clear" w:pos="480"/>
      </w:tabs>
      <w:adjustRightInd w:val="0"/>
      <w:snapToGrid w:val="0"/>
      <w:spacing w:line="240" w:lineRule="auto"/>
      <w:jc w:val="left"/>
    </w:pPr>
    <w:rPr>
      <w:rFonts w:ascii="宋体" w:hAnsi="宋体"/>
      <w:b/>
      <w:bCs/>
      <w:color w:val="000000"/>
    </w:rPr>
  </w:style>
  <w:style w:type="paragraph" w:customStyle="1" w:styleId="212">
    <w:name w:val="样式 样式3 + 首行缩进:  2 字符"/>
    <w:basedOn w:val="1"/>
    <w:semiHidden/>
    <w:qFormat/>
    <w:uiPriority w:val="0"/>
    <w:pPr>
      <w:tabs>
        <w:tab w:val="clear" w:pos="480"/>
      </w:tabs>
      <w:adjustRightInd w:val="0"/>
      <w:snapToGrid w:val="0"/>
      <w:ind w:firstLine="480"/>
    </w:pPr>
    <w:rPr>
      <w:rFonts w:cs="宋体"/>
      <w:color w:val="000000"/>
      <w:szCs w:val="20"/>
    </w:rPr>
  </w:style>
  <w:style w:type="paragraph" w:customStyle="1" w:styleId="213">
    <w:name w:val="Char Char Char Char Char Char Char Char Char Char Char Char Char"/>
    <w:basedOn w:val="1"/>
    <w:qFormat/>
    <w:uiPriority w:val="0"/>
    <w:pPr>
      <w:tabs>
        <w:tab w:val="clear" w:pos="480"/>
      </w:tabs>
      <w:spacing w:line="240" w:lineRule="auto"/>
    </w:pPr>
    <w:rPr>
      <w:sz w:val="21"/>
      <w:szCs w:val="21"/>
    </w:rPr>
  </w:style>
  <w:style w:type="paragraph" w:customStyle="1" w:styleId="214">
    <w:name w:val="报告正文"/>
    <w:basedOn w:val="1"/>
    <w:qFormat/>
    <w:uiPriority w:val="0"/>
    <w:pPr>
      <w:tabs>
        <w:tab w:val="clear" w:pos="480"/>
      </w:tabs>
      <w:adjustRightInd w:val="0"/>
      <w:snapToGrid w:val="0"/>
    </w:pPr>
    <w:rPr>
      <w:rFonts w:ascii="宋体"/>
      <w:szCs w:val="20"/>
    </w:rPr>
  </w:style>
  <w:style w:type="paragraph" w:customStyle="1" w:styleId="215">
    <w:name w:val="font0"/>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16">
    <w:name w:val="font5"/>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17">
    <w:name w:val="font6"/>
    <w:basedOn w:val="1"/>
    <w:qFormat/>
    <w:uiPriority w:val="0"/>
    <w:pPr>
      <w:widowControl/>
      <w:tabs>
        <w:tab w:val="clear" w:pos="480"/>
      </w:tabs>
      <w:spacing w:before="100" w:beforeAutospacing="1" w:after="100" w:afterAutospacing="1" w:line="240" w:lineRule="auto"/>
      <w:jc w:val="left"/>
    </w:pPr>
    <w:rPr>
      <w:rFonts w:ascii="宋体" w:hAnsi="宋体" w:cs="宋体"/>
      <w:kern w:val="0"/>
      <w:sz w:val="18"/>
      <w:szCs w:val="18"/>
    </w:rPr>
  </w:style>
  <w:style w:type="paragraph" w:customStyle="1" w:styleId="218">
    <w:name w:val="样式 表格 32 + 首行缩进:  2 字符"/>
    <w:basedOn w:val="168"/>
    <w:semiHidden/>
    <w:qFormat/>
    <w:uiPriority w:val="0"/>
    <w:pPr>
      <w:spacing w:line="240" w:lineRule="atLeast"/>
    </w:pPr>
    <w:rPr>
      <w:sz w:val="21"/>
      <w:szCs w:val="21"/>
    </w:rPr>
  </w:style>
  <w:style w:type="paragraph" w:customStyle="1" w:styleId="219">
    <w:name w:val="正 文"/>
    <w:link w:val="220"/>
    <w:semiHidden/>
    <w:qFormat/>
    <w:uiPriority w:val="0"/>
    <w:pPr>
      <w:widowControl w:val="0"/>
      <w:spacing w:line="480" w:lineRule="exact"/>
      <w:ind w:firstLine="471"/>
      <w:jc w:val="both"/>
    </w:pPr>
    <w:rPr>
      <w:rFonts w:ascii="Times New Roman" w:hAnsi="Times New Roman" w:eastAsia="宋体" w:cs="Times New Roman"/>
      <w:kern w:val="2"/>
      <w:sz w:val="24"/>
      <w:szCs w:val="24"/>
      <w:lang w:val="en-US" w:eastAsia="zh-CN" w:bidi="ar-SA"/>
    </w:rPr>
  </w:style>
  <w:style w:type="character" w:customStyle="1" w:styleId="220">
    <w:name w:val="正 文 Char"/>
    <w:link w:val="219"/>
    <w:semiHidden/>
    <w:qFormat/>
    <w:uiPriority w:val="0"/>
    <w:rPr>
      <w:kern w:val="2"/>
      <w:sz w:val="24"/>
      <w:szCs w:val="24"/>
      <w:lang w:val="en-US" w:eastAsia="zh-CN" w:bidi="ar-SA"/>
    </w:rPr>
  </w:style>
  <w:style w:type="paragraph" w:customStyle="1" w:styleId="221">
    <w:name w:val="正文表格"/>
    <w:basedOn w:val="1"/>
    <w:semiHidden/>
    <w:qFormat/>
    <w:uiPriority w:val="0"/>
    <w:pPr>
      <w:tabs>
        <w:tab w:val="clear" w:pos="480"/>
      </w:tabs>
      <w:spacing w:line="240" w:lineRule="auto"/>
      <w:jc w:val="center"/>
    </w:pPr>
    <w:rPr>
      <w:rFonts w:ascii="宋体" w:hAnsi="宋体"/>
      <w:sz w:val="21"/>
      <w:szCs w:val="20"/>
    </w:rPr>
  </w:style>
  <w:style w:type="paragraph" w:customStyle="1" w:styleId="222">
    <w:name w:val="默认段落字体 Para Char Char Char Char Char Char Char Char Char Char Char Char Char1 Char"/>
    <w:basedOn w:val="25"/>
    <w:semiHidden/>
    <w:qFormat/>
    <w:uiPriority w:val="0"/>
    <w:pPr/>
    <w:rPr>
      <w:bCs/>
      <w:sz w:val="24"/>
    </w:rPr>
  </w:style>
  <w:style w:type="paragraph" w:customStyle="1" w:styleId="223">
    <w:name w:val="表格、图表名称"/>
    <w:basedOn w:val="1"/>
    <w:link w:val="224"/>
    <w:semiHidden/>
    <w:qFormat/>
    <w:uiPriority w:val="0"/>
    <w:pPr>
      <w:tabs>
        <w:tab w:val="clear" w:pos="480"/>
      </w:tabs>
      <w:jc w:val="center"/>
    </w:pPr>
    <w:rPr>
      <w:b/>
      <w:szCs w:val="22"/>
    </w:rPr>
  </w:style>
  <w:style w:type="character" w:customStyle="1" w:styleId="224">
    <w:name w:val="表格、图表名称 Char"/>
    <w:link w:val="223"/>
    <w:qFormat/>
    <w:uiPriority w:val="0"/>
    <w:rPr>
      <w:rFonts w:eastAsia="宋体"/>
      <w:b/>
      <w:kern w:val="2"/>
      <w:sz w:val="24"/>
      <w:szCs w:val="22"/>
      <w:lang w:val="en-US" w:eastAsia="zh-CN" w:bidi="ar-SA"/>
    </w:rPr>
  </w:style>
  <w:style w:type="paragraph" w:customStyle="1" w:styleId="225">
    <w:name w:val="表格文字"/>
    <w:basedOn w:val="86"/>
    <w:link w:val="226"/>
    <w:qFormat/>
    <w:uiPriority w:val="0"/>
    <w:pPr>
      <w:spacing w:line="240" w:lineRule="auto"/>
      <w:jc w:val="center"/>
    </w:pPr>
    <w:rPr>
      <w:sz w:val="21"/>
      <w:szCs w:val="22"/>
    </w:rPr>
  </w:style>
  <w:style w:type="character" w:customStyle="1" w:styleId="226">
    <w:name w:val="表格文字 Char"/>
    <w:link w:val="225"/>
    <w:qFormat/>
    <w:uiPriority w:val="0"/>
    <w:rPr>
      <w:rFonts w:eastAsia="宋体"/>
      <w:kern w:val="2"/>
      <w:sz w:val="21"/>
      <w:szCs w:val="22"/>
      <w:lang w:val="en-US" w:eastAsia="zh-CN" w:bidi="ar-SA"/>
    </w:rPr>
  </w:style>
  <w:style w:type="paragraph" w:customStyle="1" w:styleId="227">
    <w:name w:val="佛表"/>
    <w:basedOn w:val="66"/>
    <w:link w:val="1821"/>
    <w:semiHidden/>
    <w:qFormat/>
    <w:uiPriority w:val="0"/>
    <w:pPr>
      <w:ind w:left="0" w:firstLine="0" w:firstLineChars="0"/>
      <w:jc w:val="center"/>
    </w:pPr>
    <w:rPr>
      <w:color w:val="000000"/>
      <w:szCs w:val="21"/>
    </w:rPr>
  </w:style>
  <w:style w:type="paragraph" w:customStyle="1" w:styleId="228">
    <w:name w:val="表题"/>
    <w:basedOn w:val="1"/>
    <w:qFormat/>
    <w:uiPriority w:val="99"/>
    <w:pPr>
      <w:keepNext/>
      <w:tabs>
        <w:tab w:val="clear" w:pos="480"/>
      </w:tabs>
      <w:adjustRightInd w:val="0"/>
      <w:snapToGrid w:val="0"/>
      <w:spacing w:beforeLines="50" w:afterLines="50" w:line="400" w:lineRule="exact"/>
      <w:ind w:firstLine="480"/>
      <w:jc w:val="left"/>
      <w:outlineLvl w:val="1"/>
    </w:pPr>
    <w:rPr>
      <w:rFonts w:ascii="黑体" w:hAnsi="Arial" w:eastAsia="黑体"/>
      <w:spacing w:val="16"/>
      <w:kern w:val="0"/>
      <w:sz w:val="28"/>
      <w:szCs w:val="28"/>
    </w:rPr>
  </w:style>
  <w:style w:type="paragraph" w:customStyle="1" w:styleId="229">
    <w:name w:val="Char Char Char Char"/>
    <w:basedOn w:val="1"/>
    <w:qFormat/>
    <w:uiPriority w:val="0"/>
    <w:pPr>
      <w:tabs>
        <w:tab w:val="clear" w:pos="480"/>
      </w:tabs>
      <w:spacing w:line="240" w:lineRule="auto"/>
    </w:pPr>
    <w:rPr>
      <w:sz w:val="21"/>
    </w:rPr>
  </w:style>
  <w:style w:type="character" w:customStyle="1" w:styleId="230">
    <w:name w:val="H2 Char"/>
    <w:qFormat/>
    <w:uiPriority w:val="0"/>
    <w:rPr>
      <w:rFonts w:ascii="宋体" w:hAnsi="宋体" w:eastAsia="宋体"/>
      <w:b/>
      <w:snapToGrid w:val="0"/>
      <w:sz w:val="28"/>
      <w:lang w:val="en-US" w:eastAsia="zh-CN" w:bidi="ar-SA"/>
    </w:rPr>
  </w:style>
  <w:style w:type="paragraph" w:customStyle="1" w:styleId="231">
    <w:name w:val="正文 + 宋体"/>
    <w:basedOn w:val="1"/>
    <w:link w:val="1093"/>
    <w:semiHidden/>
    <w:qFormat/>
    <w:uiPriority w:val="0"/>
    <w:pPr>
      <w:tabs>
        <w:tab w:val="clear" w:pos="480"/>
      </w:tabs>
      <w:snapToGrid w:val="0"/>
      <w:spacing w:line="400" w:lineRule="exact"/>
      <w:ind w:firstLine="480"/>
    </w:pPr>
    <w:rPr>
      <w:rFonts w:ascii="宋体" w:hAnsi="宋体"/>
      <w:color w:val="000000"/>
    </w:rPr>
  </w:style>
  <w:style w:type="paragraph" w:customStyle="1" w:styleId="232">
    <w:name w:val="样式 表格 32 + 首行缩进:  2 字符1"/>
    <w:basedOn w:val="168"/>
    <w:semiHidden/>
    <w:qFormat/>
    <w:uiPriority w:val="0"/>
    <w:pPr>
      <w:spacing w:line="240" w:lineRule="auto"/>
    </w:pPr>
    <w:rPr>
      <w:rFonts w:cs="宋体"/>
      <w:sz w:val="21"/>
      <w:szCs w:val="21"/>
    </w:rPr>
  </w:style>
  <w:style w:type="paragraph" w:customStyle="1" w:styleId="233">
    <w:name w:val="表内文字"/>
    <w:basedOn w:val="1"/>
    <w:next w:val="1"/>
    <w:qFormat/>
    <w:uiPriority w:val="0"/>
    <w:pPr>
      <w:tabs>
        <w:tab w:val="clear" w:pos="480"/>
      </w:tabs>
      <w:adjustRightInd w:val="0"/>
      <w:spacing w:line="360" w:lineRule="atLeast"/>
      <w:jc w:val="center"/>
      <w:textAlignment w:val="baseline"/>
    </w:pPr>
    <w:rPr>
      <w:kern w:val="0"/>
      <w:sz w:val="21"/>
      <w:szCs w:val="20"/>
    </w:rPr>
  </w:style>
  <w:style w:type="paragraph" w:customStyle="1" w:styleId="234">
    <w:name w:val="章标题"/>
    <w:next w:val="1"/>
    <w:qFormat/>
    <w:uiPriority w:val="0"/>
    <w:pPr>
      <w:tabs>
        <w:tab w:val="left" w:pos="720"/>
        <w:tab w:val="left" w:pos="903"/>
      </w:tabs>
      <w:spacing w:before="50" w:after="50"/>
      <w:ind w:left="903" w:hanging="315"/>
      <w:jc w:val="both"/>
      <w:outlineLvl w:val="1"/>
    </w:pPr>
    <w:rPr>
      <w:rFonts w:ascii="黑体" w:hAnsi="Times New Roman" w:eastAsia="黑体" w:cs="Times New Roman"/>
      <w:kern w:val="2"/>
      <w:sz w:val="21"/>
      <w:szCs w:val="21"/>
      <w:lang w:val="en-US" w:eastAsia="zh-CN" w:bidi="ar-SA"/>
    </w:rPr>
  </w:style>
  <w:style w:type="paragraph" w:customStyle="1" w:styleId="235">
    <w:name w:val="前言、引言标题"/>
    <w:next w:val="1"/>
    <w:qFormat/>
    <w:uiPriority w:val="0"/>
    <w:pPr>
      <w:shd w:val="clear" w:color="FFFFFF" w:fill="FFFFFF"/>
      <w:tabs>
        <w:tab w:val="left" w:pos="903"/>
      </w:tabs>
      <w:spacing w:before="640" w:after="560"/>
      <w:ind w:left="903" w:hanging="315"/>
      <w:jc w:val="center"/>
      <w:outlineLvl w:val="0"/>
    </w:pPr>
    <w:rPr>
      <w:rFonts w:ascii="黑体" w:hAnsi="Times New Roman" w:eastAsia="黑体" w:cs="Times New Roman"/>
      <w:kern w:val="2"/>
      <w:sz w:val="32"/>
      <w:szCs w:val="32"/>
      <w:lang w:val="en-US" w:eastAsia="zh-CN" w:bidi="ar-SA"/>
    </w:rPr>
  </w:style>
  <w:style w:type="paragraph" w:customStyle="1" w:styleId="236">
    <w:name w:val="一级条标题"/>
    <w:basedOn w:val="234"/>
    <w:next w:val="1"/>
    <w:qFormat/>
    <w:uiPriority w:val="0"/>
    <w:pPr>
      <w:tabs>
        <w:tab w:val="left" w:pos="360"/>
        <w:tab w:val="left" w:pos="1260"/>
        <w:tab w:val="left" w:pos="1287"/>
        <w:tab w:val="clear" w:pos="720"/>
      </w:tabs>
      <w:spacing w:before="0" w:after="0"/>
      <w:ind w:left="0" w:firstLine="567"/>
      <w:outlineLvl w:val="2"/>
    </w:pPr>
  </w:style>
  <w:style w:type="paragraph" w:customStyle="1" w:styleId="237">
    <w:name w:val="二级条标题"/>
    <w:basedOn w:val="236"/>
    <w:next w:val="1"/>
    <w:qFormat/>
    <w:uiPriority w:val="0"/>
    <w:pPr>
      <w:tabs>
        <w:tab w:val="left" w:pos="1680"/>
        <w:tab w:val="clear" w:pos="1260"/>
      </w:tabs>
      <w:ind w:left="1680" w:hanging="420"/>
      <w:outlineLvl w:val="3"/>
    </w:pPr>
  </w:style>
  <w:style w:type="paragraph" w:customStyle="1" w:styleId="238">
    <w:name w:val="三级条标题"/>
    <w:basedOn w:val="237"/>
    <w:next w:val="1"/>
    <w:qFormat/>
    <w:uiPriority w:val="0"/>
    <w:pPr>
      <w:tabs>
        <w:tab w:val="left" w:pos="2100"/>
        <w:tab w:val="clear" w:pos="1287"/>
      </w:tabs>
      <w:ind w:left="2100"/>
      <w:outlineLvl w:val="4"/>
    </w:pPr>
  </w:style>
  <w:style w:type="paragraph" w:customStyle="1" w:styleId="239">
    <w:name w:val="四级条标题"/>
    <w:basedOn w:val="238"/>
    <w:next w:val="1"/>
    <w:qFormat/>
    <w:uiPriority w:val="0"/>
    <w:pPr>
      <w:tabs>
        <w:tab w:val="left" w:pos="2520"/>
        <w:tab w:val="clear" w:pos="1680"/>
      </w:tabs>
      <w:ind w:left="2520"/>
      <w:outlineLvl w:val="5"/>
    </w:pPr>
  </w:style>
  <w:style w:type="paragraph" w:customStyle="1" w:styleId="240">
    <w:name w:val="五级条标题"/>
    <w:basedOn w:val="239"/>
    <w:next w:val="1"/>
    <w:qFormat/>
    <w:uiPriority w:val="0"/>
    <w:pPr>
      <w:tabs>
        <w:tab w:val="left" w:pos="2940"/>
        <w:tab w:val="clear" w:pos="2100"/>
      </w:tabs>
      <w:ind w:left="2940"/>
      <w:outlineLvl w:val="6"/>
    </w:pPr>
  </w:style>
  <w:style w:type="paragraph" w:customStyle="1" w:styleId="241">
    <w:name w:val="图标"/>
    <w:basedOn w:val="1"/>
    <w:semiHidden/>
    <w:qFormat/>
    <w:uiPriority w:val="0"/>
    <w:pPr>
      <w:tabs>
        <w:tab w:val="left" w:pos="1920"/>
        <w:tab w:val="clear" w:pos="480"/>
      </w:tabs>
      <w:spacing w:line="400" w:lineRule="atLeast"/>
      <w:jc w:val="center"/>
    </w:pPr>
    <w:rPr>
      <w:bCs/>
      <w:color w:val="000000"/>
      <w:szCs w:val="21"/>
    </w:rPr>
  </w:style>
  <w:style w:type="paragraph" w:customStyle="1" w:styleId="242">
    <w:name w:val="xl33"/>
    <w:basedOn w:val="1"/>
    <w:qFormat/>
    <w:uiPriority w:val="0"/>
    <w:pPr>
      <w:widowControl/>
      <w:pBdr>
        <w:left w:val="single" w:color="auto" w:sz="4" w:space="0"/>
        <w:right w:val="single" w:color="auto" w:sz="4" w:space="0"/>
      </w:pBdr>
      <w:tabs>
        <w:tab w:val="clear" w:pos="480"/>
      </w:tabs>
      <w:spacing w:before="100" w:beforeAutospacing="1" w:after="100" w:afterAutospacing="1" w:line="240" w:lineRule="auto"/>
      <w:jc w:val="center"/>
    </w:pPr>
    <w:rPr>
      <w:rFonts w:hint="eastAsia" w:ascii="宋体" w:hAnsi="宋体"/>
      <w:kern w:val="0"/>
      <w:szCs w:val="28"/>
    </w:rPr>
  </w:style>
  <w:style w:type="paragraph" w:customStyle="1" w:styleId="243">
    <w:name w:val="表内字"/>
    <w:basedOn w:val="45"/>
    <w:link w:val="3419"/>
    <w:qFormat/>
    <w:uiPriority w:val="0"/>
    <w:pPr>
      <w:snapToGrid w:val="0"/>
      <w:spacing w:line="360" w:lineRule="auto"/>
      <w:jc w:val="center"/>
    </w:pPr>
    <w:rPr>
      <w:rFonts w:ascii="Times New Roman" w:hAnsi="Times New Roman"/>
      <w:kern w:val="0"/>
      <w:sz w:val="24"/>
    </w:rPr>
  </w:style>
  <w:style w:type="character" w:customStyle="1" w:styleId="244">
    <w:name w:val="bt21"/>
    <w:semiHidden/>
    <w:qFormat/>
    <w:uiPriority w:val="0"/>
    <w:rPr>
      <w:rFonts w:hint="eastAsia" w:ascii="黑体" w:eastAsia="黑体"/>
      <w:spacing w:val="400"/>
      <w:sz w:val="24"/>
      <w:szCs w:val="24"/>
    </w:rPr>
  </w:style>
  <w:style w:type="character" w:customStyle="1" w:styleId="245">
    <w:name w:val="zw1"/>
    <w:semiHidden/>
    <w:qFormat/>
    <w:uiPriority w:val="0"/>
    <w:rPr>
      <w:rFonts w:hint="eastAsia" w:ascii="宋体" w:hAnsi="宋体" w:eastAsia="宋体"/>
      <w:spacing w:val="400"/>
      <w:sz w:val="22"/>
      <w:szCs w:val="22"/>
    </w:rPr>
  </w:style>
  <w:style w:type="character" w:customStyle="1" w:styleId="246">
    <w:name w:val="bt11"/>
    <w:semiHidden/>
    <w:qFormat/>
    <w:uiPriority w:val="0"/>
    <w:rPr>
      <w:rFonts w:hint="eastAsia" w:ascii="黑体" w:eastAsia="黑体"/>
      <w:color w:val="000000"/>
      <w:spacing w:val="700"/>
      <w:sz w:val="28"/>
      <w:szCs w:val="28"/>
    </w:rPr>
  </w:style>
  <w:style w:type="paragraph" w:customStyle="1" w:styleId="247">
    <w:name w:val="xl21"/>
    <w:basedOn w:val="1"/>
    <w:semiHidden/>
    <w:qFormat/>
    <w:uiPriority w:val="0"/>
    <w:pPr>
      <w:widowControl/>
      <w:tabs>
        <w:tab w:val="clear" w:pos="480"/>
      </w:tabs>
      <w:spacing w:before="100" w:beforeAutospacing="1" w:after="100" w:afterAutospacing="1" w:line="240" w:lineRule="auto"/>
      <w:jc w:val="center"/>
    </w:pPr>
    <w:rPr>
      <w:rFonts w:ascii="宋体" w:hAnsi="宋体"/>
      <w:kern w:val="0"/>
    </w:rPr>
  </w:style>
  <w:style w:type="paragraph" w:customStyle="1" w:styleId="248">
    <w:name w:val="表格32"/>
    <w:basedOn w:val="1"/>
    <w:semiHidden/>
    <w:qFormat/>
    <w:uiPriority w:val="0"/>
    <w:pPr>
      <w:tabs>
        <w:tab w:val="clear" w:pos="480"/>
      </w:tabs>
      <w:adjustRightInd w:val="0"/>
      <w:spacing w:line="240" w:lineRule="auto"/>
      <w:ind w:firstLine="480"/>
      <w:jc w:val="center"/>
      <w:textAlignment w:val="center"/>
    </w:pPr>
    <w:rPr>
      <w:rFonts w:eastAsia="仿宋_GB2312"/>
      <w:szCs w:val="20"/>
    </w:rPr>
  </w:style>
  <w:style w:type="paragraph" w:customStyle="1" w:styleId="249">
    <w:name w:val="样式"/>
    <w:basedOn w:val="1"/>
    <w:next w:val="34"/>
    <w:semiHidden/>
    <w:qFormat/>
    <w:uiPriority w:val="0"/>
    <w:pPr>
      <w:tabs>
        <w:tab w:val="clear" w:pos="480"/>
      </w:tabs>
      <w:adjustRightInd w:val="0"/>
      <w:ind w:firstLine="480"/>
      <w:textAlignment w:val="baseline"/>
    </w:pPr>
    <w:rPr>
      <w:rFonts w:ascii="宋体"/>
      <w:kern w:val="0"/>
    </w:rPr>
  </w:style>
  <w:style w:type="paragraph" w:customStyle="1" w:styleId="250">
    <w:name w:val="批注框文本1"/>
    <w:basedOn w:val="1"/>
    <w:semiHidden/>
    <w:qFormat/>
    <w:uiPriority w:val="0"/>
    <w:pPr>
      <w:tabs>
        <w:tab w:val="clear" w:pos="480"/>
      </w:tabs>
      <w:spacing w:line="240" w:lineRule="auto"/>
    </w:pPr>
    <w:rPr>
      <w:sz w:val="18"/>
      <w:szCs w:val="18"/>
    </w:rPr>
  </w:style>
  <w:style w:type="paragraph" w:customStyle="1" w:styleId="251">
    <w:name w:val="xl26"/>
    <w:basedOn w:val="1"/>
    <w:qFormat/>
    <w:uiPriority w:val="0"/>
    <w:pPr>
      <w:widowControl/>
      <w:pBdr>
        <w:bottom w:val="single" w:color="auto" w:sz="4" w:space="0"/>
        <w:right w:val="single" w:color="auto" w:sz="4" w:space="0"/>
      </w:pBdr>
      <w:tabs>
        <w:tab w:val="clear" w:pos="480"/>
      </w:tabs>
      <w:spacing w:before="100" w:beforeAutospacing="1" w:after="100" w:afterAutospacing="1" w:line="240" w:lineRule="auto"/>
      <w:jc w:val="center"/>
    </w:pPr>
    <w:rPr>
      <w:rFonts w:ascii="Arial Unicode MS" w:hAnsi="Arial Unicode MS" w:eastAsia="Arial Unicode MS" w:cs="Arial Unicode MS"/>
      <w:color w:val="000000"/>
      <w:kern w:val="0"/>
      <w:sz w:val="18"/>
      <w:szCs w:val="18"/>
    </w:rPr>
  </w:style>
  <w:style w:type="paragraph" w:customStyle="1" w:styleId="252">
    <w:name w:val="日期1"/>
    <w:basedOn w:val="1"/>
    <w:next w:val="1"/>
    <w:semiHidden/>
    <w:qFormat/>
    <w:uiPriority w:val="0"/>
    <w:pPr>
      <w:tabs>
        <w:tab w:val="clear" w:pos="480"/>
      </w:tabs>
      <w:adjustRightInd w:val="0"/>
      <w:spacing w:line="240" w:lineRule="auto"/>
      <w:textAlignment w:val="baseline"/>
    </w:pPr>
    <w:rPr>
      <w:szCs w:val="20"/>
    </w:rPr>
  </w:style>
  <w:style w:type="paragraph" w:customStyle="1" w:styleId="253">
    <w:name w:val="Body Text 22"/>
    <w:basedOn w:val="1"/>
    <w:semiHidden/>
    <w:qFormat/>
    <w:uiPriority w:val="0"/>
    <w:pPr>
      <w:tabs>
        <w:tab w:val="clear" w:pos="480"/>
      </w:tabs>
      <w:adjustRightInd w:val="0"/>
      <w:spacing w:line="440" w:lineRule="atLeast"/>
      <w:ind w:firstLine="480"/>
      <w:textAlignment w:val="baseline"/>
    </w:pPr>
    <w:rPr>
      <w:rFonts w:eastAsia="仿宋_GB2312"/>
      <w:szCs w:val="20"/>
    </w:rPr>
  </w:style>
  <w:style w:type="character" w:customStyle="1" w:styleId="254">
    <w:name w:val="lh22px1"/>
    <w:semiHidden/>
    <w:qFormat/>
    <w:uiPriority w:val="0"/>
    <w:rPr>
      <w:rFonts w:hint="eastAsia" w:ascii="宋体" w:hAnsi="宋体" w:eastAsia="宋体"/>
      <w:sz w:val="21"/>
      <w:szCs w:val="21"/>
    </w:rPr>
  </w:style>
  <w:style w:type="paragraph" w:customStyle="1" w:styleId="255">
    <w:name w:val="xl29"/>
    <w:basedOn w:val="1"/>
    <w:qFormat/>
    <w:uiPriority w:val="0"/>
    <w:pPr>
      <w:widowControl/>
      <w:pBdr>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kern w:val="0"/>
    </w:rPr>
  </w:style>
  <w:style w:type="paragraph" w:customStyle="1" w:styleId="256">
    <w:name w:val="xl79"/>
    <w:basedOn w:val="1"/>
    <w:qFormat/>
    <w:uiPriority w:val="0"/>
    <w:pPr>
      <w:widowControl/>
      <w:tabs>
        <w:tab w:val="clear" w:pos="480"/>
      </w:tabs>
      <w:spacing w:before="100" w:beforeAutospacing="1" w:after="100" w:afterAutospacing="1" w:line="240" w:lineRule="auto"/>
      <w:jc w:val="center"/>
    </w:pPr>
    <w:rPr>
      <w:rFonts w:ascii="Arial" w:hAnsi="Arial" w:cs="Arial"/>
      <w:kern w:val="0"/>
    </w:rPr>
  </w:style>
  <w:style w:type="paragraph" w:customStyle="1" w:styleId="257">
    <w:name w:val="xl83"/>
    <w:basedOn w:val="1"/>
    <w:semiHidden/>
    <w:qFormat/>
    <w:uiPriority w:val="0"/>
    <w:pPr>
      <w:widowControl/>
      <w:pBdr>
        <w:top w:val="single" w:color="auto" w:sz="8" w:space="0"/>
        <w:bottom w:val="single" w:color="auto" w:sz="4" w:space="0"/>
      </w:pBdr>
      <w:tabs>
        <w:tab w:val="clear" w:pos="480"/>
      </w:tabs>
      <w:spacing w:before="100" w:beforeAutospacing="1" w:after="100" w:afterAutospacing="1" w:line="240" w:lineRule="auto"/>
      <w:jc w:val="left"/>
      <w:textAlignment w:val="center"/>
    </w:pPr>
    <w:rPr>
      <w:rFonts w:ascii="Arial" w:hAnsi="Arial" w:cs="Arial"/>
      <w:kern w:val="0"/>
    </w:rPr>
  </w:style>
  <w:style w:type="paragraph" w:customStyle="1" w:styleId="258">
    <w:name w:val="xl31"/>
    <w:basedOn w:val="1"/>
    <w:qFormat/>
    <w:uiPriority w:val="0"/>
    <w:pPr>
      <w:widowControl/>
      <w:pBdr>
        <w:left w:val="single" w:color="auto" w:sz="4" w:space="0"/>
        <w:bottom w:val="single" w:color="auto" w:sz="4" w:space="0"/>
        <w:right w:val="single" w:color="auto" w:sz="4" w:space="0"/>
      </w:pBdr>
      <w:tabs>
        <w:tab w:val="clear" w:pos="480"/>
      </w:tabs>
      <w:spacing w:before="100" w:beforeAutospacing="1" w:after="100" w:afterAutospacing="1" w:line="240" w:lineRule="auto"/>
    </w:pPr>
    <w:rPr>
      <w:rFonts w:ascii="Arial Unicode MS" w:hAnsi="Arial Unicode MS" w:eastAsia="Arial Unicode MS" w:cs="Arial Unicode MS"/>
      <w:kern w:val="0"/>
      <w:sz w:val="21"/>
      <w:szCs w:val="21"/>
    </w:rPr>
  </w:style>
  <w:style w:type="paragraph" w:customStyle="1" w:styleId="259">
    <w:name w:val="xl45"/>
    <w:basedOn w:val="1"/>
    <w:qFormat/>
    <w:uiPriority w:val="0"/>
    <w:pPr>
      <w:widowControl/>
      <w:pBdr>
        <w:right w:val="single" w:color="auto" w:sz="4" w:space="0"/>
      </w:pBdr>
      <w:tabs>
        <w:tab w:val="clear" w:pos="480"/>
      </w:tabs>
      <w:spacing w:before="100" w:beforeAutospacing="1" w:after="100" w:afterAutospacing="1" w:line="240" w:lineRule="auto"/>
      <w:jc w:val="center"/>
      <w:textAlignment w:val="center"/>
    </w:pPr>
    <w:rPr>
      <w:rFonts w:hint="eastAsia" w:ascii="Arial Unicode MS" w:hAnsi="Arial Unicode MS" w:eastAsia="Arial Unicode MS" w:cs="Arial Unicode MS"/>
      <w:kern w:val="0"/>
      <w:sz w:val="20"/>
      <w:szCs w:val="20"/>
    </w:rPr>
  </w:style>
  <w:style w:type="paragraph" w:customStyle="1" w:styleId="260">
    <w:name w:val="样式 标题 1 + 首行缩进:  2 字符"/>
    <w:basedOn w:val="2"/>
    <w:semiHidden/>
    <w:qFormat/>
    <w:uiPriority w:val="0"/>
    <w:pPr>
      <w:numPr>
        <w:numId w:val="0"/>
      </w:numPr>
      <w:tabs>
        <w:tab w:val="clear" w:pos="480"/>
      </w:tabs>
      <w:spacing w:before="0" w:after="0" w:line="300" w:lineRule="auto"/>
      <w:ind w:firstLine="200" w:firstLineChars="200"/>
      <w:jc w:val="center"/>
    </w:pPr>
    <w:rPr>
      <w:rFonts w:ascii="Times New Roman" w:eastAsia="宋体" w:cs="宋体"/>
      <w:b w:val="0"/>
      <w:sz w:val="32"/>
      <w:szCs w:val="20"/>
    </w:rPr>
  </w:style>
  <w:style w:type="paragraph" w:customStyle="1" w:styleId="261">
    <w:name w:val="标题 2 + 首行缩进:  2 字符"/>
    <w:basedOn w:val="3"/>
    <w:semiHidden/>
    <w:qFormat/>
    <w:uiPriority w:val="0"/>
    <w:pPr>
      <w:numPr>
        <w:ilvl w:val="0"/>
        <w:numId w:val="0"/>
      </w:numPr>
      <w:tabs>
        <w:tab w:val="clear" w:pos="480"/>
        <w:tab w:val="clear" w:pos="630"/>
      </w:tabs>
      <w:spacing w:before="0" w:after="0" w:line="300" w:lineRule="auto"/>
      <w:ind w:firstLine="200" w:firstLineChars="200"/>
      <w:jc w:val="center"/>
    </w:pPr>
    <w:rPr>
      <w:rFonts w:ascii="Arial" w:hAnsi="Arial" w:eastAsia="黑体" w:cs="宋体"/>
      <w:b w:val="0"/>
      <w:sz w:val="30"/>
      <w:szCs w:val="20"/>
    </w:rPr>
  </w:style>
  <w:style w:type="paragraph" w:customStyle="1" w:styleId="262">
    <w:name w:val="样式 标题 3 + 首行缩进:  2 字符"/>
    <w:basedOn w:val="4"/>
    <w:semiHidden/>
    <w:qFormat/>
    <w:uiPriority w:val="0"/>
    <w:pPr>
      <w:numPr>
        <w:ilvl w:val="0"/>
        <w:numId w:val="0"/>
      </w:numPr>
      <w:tabs>
        <w:tab w:val="clear" w:pos="480"/>
        <w:tab w:val="clear" w:pos="840"/>
      </w:tabs>
      <w:spacing w:before="0" w:after="0" w:line="300" w:lineRule="auto"/>
    </w:pPr>
    <w:rPr>
      <w:rFonts w:ascii="Times New Roman" w:eastAsia="黑体" w:cs="宋体"/>
      <w:b w:val="0"/>
      <w:sz w:val="28"/>
      <w:szCs w:val="20"/>
    </w:rPr>
  </w:style>
  <w:style w:type="paragraph" w:customStyle="1" w:styleId="263">
    <w:name w:val="样式 表格1 + 首行缩进:  2 字符"/>
    <w:basedOn w:val="182"/>
    <w:semiHidden/>
    <w:qFormat/>
    <w:uiPriority w:val="0"/>
    <w:pPr>
      <w:topLinePunct w:val="0"/>
      <w:autoSpaceDE/>
      <w:autoSpaceDN/>
      <w:textAlignment w:val="center"/>
    </w:pPr>
    <w:rPr>
      <w:rFonts w:hAnsi="宋体" w:cs="宋体"/>
      <w:kern w:val="0"/>
      <w:sz w:val="24"/>
    </w:rPr>
  </w:style>
  <w:style w:type="paragraph" w:customStyle="1" w:styleId="264">
    <w:name w:val="样式 标题 2 + 首行缩进:  2 字符"/>
    <w:basedOn w:val="3"/>
    <w:semiHidden/>
    <w:qFormat/>
    <w:uiPriority w:val="0"/>
    <w:pPr>
      <w:numPr>
        <w:ilvl w:val="0"/>
        <w:numId w:val="0"/>
      </w:numPr>
      <w:tabs>
        <w:tab w:val="clear" w:pos="480"/>
        <w:tab w:val="clear" w:pos="630"/>
      </w:tabs>
      <w:spacing w:before="0" w:after="0" w:line="300" w:lineRule="auto"/>
    </w:pPr>
    <w:rPr>
      <w:rFonts w:ascii="Arial" w:hAnsi="Arial" w:eastAsia="黑体" w:cs="宋体"/>
      <w:b w:val="0"/>
      <w:sz w:val="30"/>
      <w:szCs w:val="20"/>
    </w:rPr>
  </w:style>
  <w:style w:type="paragraph" w:customStyle="1" w:styleId="265">
    <w:name w:val="样式 标题 1 + 首行缩进:  2 字符1"/>
    <w:basedOn w:val="2"/>
    <w:semiHidden/>
    <w:qFormat/>
    <w:uiPriority w:val="0"/>
    <w:pPr>
      <w:numPr>
        <w:numId w:val="0"/>
      </w:numPr>
      <w:tabs>
        <w:tab w:val="clear" w:pos="480"/>
      </w:tabs>
      <w:spacing w:line="578" w:lineRule="auto"/>
      <w:jc w:val="center"/>
    </w:pPr>
    <w:rPr>
      <w:rFonts w:ascii="Times New Roman" w:eastAsia="宋体" w:cs="宋体"/>
      <w:sz w:val="44"/>
      <w:szCs w:val="20"/>
    </w:rPr>
  </w:style>
  <w:style w:type="paragraph" w:customStyle="1" w:styleId="266">
    <w:name w:val="样式 标题 2 + 首行缩进:  2 字符 + 首行缩进:  2 字符"/>
    <w:basedOn w:val="261"/>
    <w:semiHidden/>
    <w:qFormat/>
    <w:uiPriority w:val="0"/>
    <w:pPr>
      <w:ind w:firstLine="0" w:firstLineChars="0"/>
    </w:pPr>
    <w:rPr>
      <w:bCs w:val="0"/>
    </w:rPr>
  </w:style>
  <w:style w:type="paragraph" w:customStyle="1" w:styleId="267">
    <w:name w:val="样式 目录 2 + 左侧:  2 字符 首行缩进:  2 字符"/>
    <w:basedOn w:val="74"/>
    <w:semiHidden/>
    <w:qFormat/>
    <w:uiPriority w:val="0"/>
    <w:pPr>
      <w:ind w:left="480" w:firstLine="480"/>
      <w:jc w:val="both"/>
    </w:pPr>
    <w:rPr>
      <w:rFonts w:cs="宋体"/>
    </w:rPr>
  </w:style>
  <w:style w:type="paragraph" w:customStyle="1" w:styleId="268">
    <w:name w:val="样式 目录 2 + 左侧:  2 字符 首行缩进:  2 字符1"/>
    <w:basedOn w:val="74"/>
    <w:semiHidden/>
    <w:qFormat/>
    <w:uiPriority w:val="0"/>
    <w:pPr>
      <w:ind w:left="480" w:firstLine="480"/>
      <w:jc w:val="both"/>
    </w:pPr>
    <w:rPr>
      <w:rFonts w:cs="宋体"/>
    </w:rPr>
  </w:style>
  <w:style w:type="paragraph" w:customStyle="1" w:styleId="269">
    <w:name w:val="样式 目录 2 + 左侧:  2 字符 首行缩进:  2 字符2"/>
    <w:basedOn w:val="74"/>
    <w:semiHidden/>
    <w:qFormat/>
    <w:uiPriority w:val="0"/>
    <w:pPr>
      <w:ind w:left="200"/>
      <w:jc w:val="both"/>
    </w:pPr>
    <w:rPr>
      <w:rFonts w:cs="宋体"/>
    </w:rPr>
  </w:style>
  <w:style w:type="paragraph" w:customStyle="1" w:styleId="270">
    <w:name w:val="样式 目录 2 + 左侧:  2 字符 首行缩进:  2 字符3"/>
    <w:basedOn w:val="74"/>
    <w:semiHidden/>
    <w:qFormat/>
    <w:uiPriority w:val="0"/>
    <w:pPr>
      <w:ind w:left="200"/>
      <w:jc w:val="both"/>
    </w:pPr>
    <w:rPr>
      <w:rFonts w:cs="宋体"/>
    </w:rPr>
  </w:style>
  <w:style w:type="paragraph" w:customStyle="1" w:styleId="271">
    <w:name w:val="样式 目录 2 + 左侧:  2 字符 首行缩进:  2 字符4"/>
    <w:basedOn w:val="74"/>
    <w:semiHidden/>
    <w:qFormat/>
    <w:uiPriority w:val="0"/>
    <w:pPr>
      <w:ind w:left="200"/>
      <w:jc w:val="both"/>
    </w:pPr>
    <w:rPr>
      <w:rFonts w:cs="宋体"/>
    </w:rPr>
  </w:style>
  <w:style w:type="paragraph" w:customStyle="1" w:styleId="272">
    <w:name w:val="样式 目录 2 + 左侧:  2 字符 首行缩进:  2 字符5"/>
    <w:basedOn w:val="74"/>
    <w:semiHidden/>
    <w:qFormat/>
    <w:uiPriority w:val="0"/>
    <w:pPr>
      <w:ind w:left="480" w:firstLine="420"/>
      <w:jc w:val="both"/>
    </w:pPr>
    <w:rPr>
      <w:rFonts w:cs="宋体"/>
      <w:szCs w:val="21"/>
    </w:rPr>
  </w:style>
  <w:style w:type="character" w:customStyle="1" w:styleId="273">
    <w:name w:val="puntext"/>
    <w:basedOn w:val="133"/>
    <w:semiHidden/>
    <w:qFormat/>
    <w:uiPriority w:val="0"/>
  </w:style>
  <w:style w:type="paragraph" w:customStyle="1" w:styleId="274">
    <w:name w:val="正文 + (西文) 宋体"/>
    <w:basedOn w:val="1"/>
    <w:semiHidden/>
    <w:qFormat/>
    <w:uiPriority w:val="0"/>
    <w:pPr>
      <w:tabs>
        <w:tab w:val="left" w:pos="1260"/>
        <w:tab w:val="clear" w:pos="480"/>
      </w:tabs>
      <w:ind w:firstLine="510"/>
    </w:pPr>
    <w:rPr>
      <w:rFonts w:ascii="宋体" w:hAnsi="宋体" w:eastAsia="仿宋_GB2312"/>
    </w:rPr>
  </w:style>
  <w:style w:type="paragraph" w:customStyle="1" w:styleId="275">
    <w:name w:val="样式 标题 2 + 非加粗"/>
    <w:basedOn w:val="3"/>
    <w:semiHidden/>
    <w:qFormat/>
    <w:uiPriority w:val="0"/>
    <w:pPr>
      <w:numPr>
        <w:ilvl w:val="0"/>
        <w:numId w:val="0"/>
      </w:numPr>
      <w:tabs>
        <w:tab w:val="clear" w:pos="480"/>
        <w:tab w:val="clear" w:pos="630"/>
      </w:tabs>
      <w:spacing w:after="260" w:line="312" w:lineRule="auto"/>
      <w:jc w:val="left"/>
    </w:pPr>
    <w:rPr>
      <w:rFonts w:eastAsia="黑体"/>
      <w:sz w:val="24"/>
    </w:rPr>
  </w:style>
  <w:style w:type="character" w:customStyle="1" w:styleId="276">
    <w:name w:val="样式 标题 2 + 非加粗 Char"/>
    <w:semiHidden/>
    <w:qFormat/>
    <w:uiPriority w:val="0"/>
    <w:rPr>
      <w:rFonts w:eastAsia="黑体"/>
      <w:b/>
      <w:bCs/>
      <w:kern w:val="2"/>
      <w:sz w:val="24"/>
      <w:szCs w:val="32"/>
      <w:lang w:val="en-US" w:eastAsia="zh-CN" w:bidi="ar-SA"/>
    </w:rPr>
  </w:style>
  <w:style w:type="paragraph" w:customStyle="1" w:styleId="277">
    <w:name w:val="表格样式"/>
    <w:basedOn w:val="1"/>
    <w:link w:val="2158"/>
    <w:semiHidden/>
    <w:qFormat/>
    <w:uiPriority w:val="0"/>
    <w:pPr>
      <w:tabs>
        <w:tab w:val="clear" w:pos="480"/>
      </w:tabs>
      <w:spacing w:line="240" w:lineRule="auto"/>
      <w:jc w:val="center"/>
    </w:pPr>
    <w:rPr>
      <w:rFonts w:ascii="宋体"/>
      <w:bCs/>
      <w:snapToGrid w:val="0"/>
      <w:sz w:val="21"/>
    </w:rPr>
  </w:style>
  <w:style w:type="paragraph" w:customStyle="1" w:styleId="278">
    <w:name w:val="样式 标题 2 + 段后: 16.3 磅"/>
    <w:basedOn w:val="3"/>
    <w:semiHidden/>
    <w:qFormat/>
    <w:uiPriority w:val="0"/>
    <w:pPr>
      <w:numPr>
        <w:ilvl w:val="0"/>
        <w:numId w:val="0"/>
      </w:numPr>
      <w:tabs>
        <w:tab w:val="clear" w:pos="480"/>
        <w:tab w:val="clear" w:pos="630"/>
      </w:tabs>
      <w:spacing w:after="326" w:line="312" w:lineRule="auto"/>
      <w:jc w:val="left"/>
    </w:pPr>
    <w:rPr>
      <w:rFonts w:eastAsia="黑体" w:cs="宋体"/>
      <w:sz w:val="24"/>
      <w:szCs w:val="20"/>
    </w:rPr>
  </w:style>
  <w:style w:type="paragraph" w:customStyle="1" w:styleId="279">
    <w:name w:val="样式 标题 3 + 首行缩进:  2 字符 段前: 8.15 磅 段后: 8.15 磅"/>
    <w:basedOn w:val="4"/>
    <w:semiHidden/>
    <w:qFormat/>
    <w:uiPriority w:val="0"/>
    <w:pPr>
      <w:numPr>
        <w:ilvl w:val="0"/>
        <w:numId w:val="0"/>
      </w:numPr>
      <w:tabs>
        <w:tab w:val="clear" w:pos="480"/>
        <w:tab w:val="clear" w:pos="840"/>
      </w:tabs>
      <w:spacing w:before="163" w:after="163" w:line="0" w:lineRule="atLeast"/>
      <w:ind w:firstLine="482" w:firstLineChars="200"/>
      <w:jc w:val="left"/>
    </w:pPr>
    <w:rPr>
      <w:rFonts w:ascii="Arial Unicode MS" w:hAnsi="Arial Unicode MS" w:eastAsia="黑体" w:cs="宋体"/>
      <w:sz w:val="24"/>
      <w:szCs w:val="20"/>
    </w:rPr>
  </w:style>
  <w:style w:type="paragraph" w:customStyle="1" w:styleId="280">
    <w:name w:val="样式 标题 3 + 首行缩进:  2 字符 段前: 8.15 磅 段后: 8.15 磅1"/>
    <w:basedOn w:val="4"/>
    <w:semiHidden/>
    <w:qFormat/>
    <w:uiPriority w:val="0"/>
    <w:pPr>
      <w:numPr>
        <w:ilvl w:val="0"/>
        <w:numId w:val="0"/>
      </w:numPr>
      <w:tabs>
        <w:tab w:val="clear" w:pos="480"/>
        <w:tab w:val="clear" w:pos="840"/>
      </w:tabs>
      <w:spacing w:before="163" w:after="163" w:line="0" w:lineRule="atLeast"/>
      <w:ind w:firstLine="482" w:firstLineChars="200"/>
      <w:jc w:val="left"/>
    </w:pPr>
    <w:rPr>
      <w:rFonts w:ascii="Arial Unicode MS" w:hAnsi="Arial Unicode MS" w:eastAsia="黑体" w:cs="宋体"/>
      <w:sz w:val="24"/>
      <w:szCs w:val="20"/>
    </w:rPr>
  </w:style>
  <w:style w:type="paragraph" w:customStyle="1" w:styleId="281">
    <w:name w:val="样式 标题 3 + 首行缩进:  2 字符 段前: 8.15 磅 段后: 8.15 磅2"/>
    <w:basedOn w:val="4"/>
    <w:semiHidden/>
    <w:qFormat/>
    <w:uiPriority w:val="0"/>
    <w:pPr>
      <w:numPr>
        <w:ilvl w:val="0"/>
        <w:numId w:val="0"/>
      </w:numPr>
      <w:tabs>
        <w:tab w:val="clear" w:pos="480"/>
        <w:tab w:val="clear" w:pos="840"/>
      </w:tabs>
      <w:spacing w:before="163" w:after="163" w:line="0" w:lineRule="atLeast"/>
      <w:ind w:firstLine="482" w:firstLineChars="200"/>
      <w:jc w:val="left"/>
    </w:pPr>
    <w:rPr>
      <w:rFonts w:ascii="Arial Unicode MS" w:hAnsi="Arial Unicode MS" w:eastAsia="黑体" w:cs="宋体"/>
      <w:sz w:val="24"/>
      <w:szCs w:val="20"/>
    </w:rPr>
  </w:style>
  <w:style w:type="paragraph" w:customStyle="1" w:styleId="282">
    <w:name w:val="样式 标题 3 + 首行缩进:  2 字符 段前: 8.15 磅 段后: 8.15 磅3"/>
    <w:basedOn w:val="4"/>
    <w:semiHidden/>
    <w:qFormat/>
    <w:uiPriority w:val="0"/>
    <w:pPr>
      <w:numPr>
        <w:ilvl w:val="0"/>
        <w:numId w:val="0"/>
      </w:numPr>
      <w:tabs>
        <w:tab w:val="clear" w:pos="480"/>
        <w:tab w:val="clear" w:pos="840"/>
      </w:tabs>
      <w:spacing w:before="163" w:after="163" w:line="0" w:lineRule="atLeast"/>
      <w:jc w:val="left"/>
    </w:pPr>
    <w:rPr>
      <w:rFonts w:ascii="Arial Unicode MS" w:hAnsi="Arial Unicode MS" w:eastAsia="黑体" w:cs="宋体"/>
      <w:sz w:val="24"/>
      <w:szCs w:val="20"/>
    </w:rPr>
  </w:style>
  <w:style w:type="character" w:customStyle="1" w:styleId="283">
    <w:name w:val="tpc_content1"/>
    <w:semiHidden/>
    <w:qFormat/>
    <w:uiPriority w:val="0"/>
    <w:rPr>
      <w:sz w:val="36"/>
      <w:szCs w:val="36"/>
    </w:rPr>
  </w:style>
  <w:style w:type="paragraph" w:customStyle="1" w:styleId="284">
    <w:name w:val="圆点"/>
    <w:semiHidden/>
    <w:qFormat/>
    <w:uiPriority w:val="0"/>
    <w:pPr>
      <w:tabs>
        <w:tab w:val="left" w:pos="1199"/>
        <w:tab w:val="left" w:pos="1242"/>
      </w:tabs>
      <w:snapToGrid w:val="0"/>
      <w:spacing w:line="360" w:lineRule="auto"/>
      <w:ind w:left="1196" w:hanging="476"/>
      <w:jc w:val="center"/>
    </w:pPr>
    <w:rPr>
      <w:rFonts w:ascii="Times New Roman" w:hAnsi="Times New Roman" w:eastAsia="宋体" w:cs="Times New Roman"/>
      <w:snapToGrid w:val="0"/>
      <w:kern w:val="2"/>
      <w:sz w:val="24"/>
      <w:szCs w:val="24"/>
      <w:lang w:val="en-US" w:eastAsia="zh-CN" w:bidi="ar-SA"/>
    </w:rPr>
  </w:style>
  <w:style w:type="character" w:customStyle="1" w:styleId="285">
    <w:name w:val="unnamed1"/>
    <w:basedOn w:val="133"/>
    <w:semiHidden/>
    <w:qFormat/>
    <w:uiPriority w:val="0"/>
  </w:style>
  <w:style w:type="paragraph" w:customStyle="1" w:styleId="286">
    <w:name w:val="样式 标题 3 + 首行缩进:  0.85 厘米"/>
    <w:basedOn w:val="4"/>
    <w:semiHidden/>
    <w:qFormat/>
    <w:uiPriority w:val="0"/>
    <w:pPr>
      <w:numPr>
        <w:ilvl w:val="0"/>
        <w:numId w:val="0"/>
      </w:numPr>
      <w:tabs>
        <w:tab w:val="clear" w:pos="480"/>
        <w:tab w:val="clear" w:pos="840"/>
      </w:tabs>
      <w:spacing w:before="260" w:line="415" w:lineRule="auto"/>
    </w:pPr>
    <w:rPr>
      <w:rFonts w:ascii="Times New Roman"/>
      <w:sz w:val="24"/>
      <w:szCs w:val="24"/>
    </w:rPr>
  </w:style>
  <w:style w:type="paragraph" w:customStyle="1" w:styleId="287">
    <w:name w:val="小五居中"/>
    <w:basedOn w:val="1"/>
    <w:semiHidden/>
    <w:qFormat/>
    <w:uiPriority w:val="0"/>
    <w:pPr>
      <w:tabs>
        <w:tab w:val="clear" w:pos="480"/>
      </w:tabs>
      <w:spacing w:line="240" w:lineRule="auto"/>
      <w:jc w:val="center"/>
    </w:pPr>
    <w:rPr>
      <w:sz w:val="18"/>
    </w:rPr>
  </w:style>
  <w:style w:type="character" w:customStyle="1" w:styleId="288">
    <w:name w:val="postbody1"/>
    <w:qFormat/>
    <w:uiPriority w:val="0"/>
    <w:rPr>
      <w:spacing w:val="270"/>
      <w:sz w:val="18"/>
      <w:szCs w:val="18"/>
    </w:rPr>
  </w:style>
  <w:style w:type="character" w:customStyle="1" w:styleId="289">
    <w:name w:val="style11"/>
    <w:semiHidden/>
    <w:qFormat/>
    <w:uiPriority w:val="0"/>
    <w:rPr>
      <w:sz w:val="23"/>
      <w:szCs w:val="23"/>
    </w:rPr>
  </w:style>
  <w:style w:type="paragraph" w:customStyle="1" w:styleId="290">
    <w:name w:val="MTDisplayEquation"/>
    <w:basedOn w:val="1"/>
    <w:next w:val="1"/>
    <w:semiHidden/>
    <w:qFormat/>
    <w:uiPriority w:val="0"/>
    <w:pPr>
      <w:tabs>
        <w:tab w:val="center" w:pos="4160"/>
        <w:tab w:val="right" w:pos="8320"/>
        <w:tab w:val="clear" w:pos="480"/>
      </w:tabs>
      <w:ind w:firstLine="480"/>
    </w:pPr>
  </w:style>
  <w:style w:type="paragraph" w:customStyle="1" w:styleId="291">
    <w:name w:val="样式 标题 3 + 左侧:  0.5 字符1"/>
    <w:basedOn w:val="4"/>
    <w:semiHidden/>
    <w:qFormat/>
    <w:uiPriority w:val="0"/>
    <w:pPr>
      <w:numPr>
        <w:ilvl w:val="0"/>
        <w:numId w:val="0"/>
      </w:numPr>
      <w:tabs>
        <w:tab w:val="clear" w:pos="480"/>
        <w:tab w:val="clear" w:pos="840"/>
      </w:tabs>
      <w:spacing w:after="120" w:line="415" w:lineRule="auto"/>
      <w:ind w:left="50" w:leftChars="50"/>
      <w:jc w:val="left"/>
    </w:pPr>
    <w:rPr>
      <w:rFonts w:ascii="Arial" w:hAnsi="Arial" w:eastAsia="黑体"/>
      <w:b w:val="0"/>
      <w:sz w:val="28"/>
      <w:szCs w:val="20"/>
    </w:rPr>
  </w:style>
  <w:style w:type="paragraph" w:customStyle="1" w:styleId="292">
    <w:name w:val="公式"/>
    <w:basedOn w:val="1"/>
    <w:link w:val="1991"/>
    <w:qFormat/>
    <w:uiPriority w:val="0"/>
    <w:pPr>
      <w:tabs>
        <w:tab w:val="clear" w:pos="480"/>
      </w:tabs>
      <w:adjustRightInd w:val="0"/>
      <w:spacing w:line="288" w:lineRule="auto"/>
      <w:jc w:val="center"/>
      <w:textAlignment w:val="baseline"/>
    </w:pPr>
    <w:rPr>
      <w:kern w:val="0"/>
    </w:rPr>
  </w:style>
  <w:style w:type="paragraph" w:customStyle="1" w:styleId="293">
    <w:name w:val="正式文本"/>
    <w:basedOn w:val="1"/>
    <w:semiHidden/>
    <w:qFormat/>
    <w:uiPriority w:val="0"/>
    <w:pPr>
      <w:tabs>
        <w:tab w:val="clear" w:pos="480"/>
      </w:tabs>
      <w:spacing w:line="240" w:lineRule="auto"/>
      <w:ind w:firstLine="199" w:firstLineChars="71"/>
    </w:pPr>
    <w:rPr>
      <w:rFonts w:ascii="仿宋_GB2312" w:eastAsia="仿宋_GB2312"/>
      <w:sz w:val="28"/>
      <w:szCs w:val="21"/>
    </w:rPr>
  </w:style>
  <w:style w:type="paragraph" w:customStyle="1" w:styleId="294">
    <w:name w:val="样式 列表 + 居中"/>
    <w:basedOn w:val="66"/>
    <w:semiHidden/>
    <w:qFormat/>
    <w:uiPriority w:val="0"/>
    <w:pPr>
      <w:snapToGrid w:val="0"/>
      <w:ind w:left="0" w:firstLine="0" w:firstLineChars="0"/>
      <w:jc w:val="center"/>
    </w:pPr>
    <w:rPr>
      <w:szCs w:val="21"/>
    </w:rPr>
  </w:style>
  <w:style w:type="paragraph" w:customStyle="1" w:styleId="295">
    <w:name w:val="Body Text 21"/>
    <w:basedOn w:val="1"/>
    <w:qFormat/>
    <w:uiPriority w:val="0"/>
    <w:pPr>
      <w:tabs>
        <w:tab w:val="clear" w:pos="480"/>
      </w:tabs>
      <w:autoSpaceDE w:val="0"/>
      <w:autoSpaceDN w:val="0"/>
      <w:adjustRightInd w:val="0"/>
      <w:spacing w:line="480" w:lineRule="exact"/>
      <w:ind w:firstLine="540"/>
      <w:textAlignment w:val="baseline"/>
    </w:pPr>
    <w:rPr>
      <w:rFonts w:ascii="宋体" w:hAnsi="Tms Rmn"/>
      <w:kern w:val="0"/>
      <w:szCs w:val="20"/>
    </w:rPr>
  </w:style>
  <w:style w:type="paragraph" w:customStyle="1" w:styleId="296">
    <w:name w:val="AFTERTITLE"/>
    <w:basedOn w:val="1"/>
    <w:semiHidden/>
    <w:qFormat/>
    <w:uiPriority w:val="0"/>
    <w:pPr>
      <w:widowControl/>
      <w:tabs>
        <w:tab w:val="clear" w:pos="480"/>
      </w:tabs>
      <w:spacing w:line="360" w:lineRule="atLeast"/>
      <w:jc w:val="center"/>
    </w:pPr>
    <w:rPr>
      <w:b/>
      <w:caps/>
      <w:kern w:val="0"/>
      <w:szCs w:val="20"/>
      <w:lang w:eastAsia="en-US"/>
    </w:rPr>
  </w:style>
  <w:style w:type="paragraph" w:customStyle="1" w:styleId="297">
    <w:name w:val="样式1.1.1"/>
    <w:basedOn w:val="1"/>
    <w:semiHidden/>
    <w:qFormat/>
    <w:uiPriority w:val="0"/>
    <w:pPr>
      <w:tabs>
        <w:tab w:val="clear" w:pos="480"/>
      </w:tabs>
      <w:spacing w:line="460" w:lineRule="exact"/>
    </w:pPr>
    <w:rPr>
      <w:b/>
      <w:sz w:val="28"/>
      <w:szCs w:val="20"/>
    </w:rPr>
  </w:style>
  <w:style w:type="paragraph" w:customStyle="1" w:styleId="298">
    <w:name w:val="基准页眉样式"/>
    <w:basedOn w:val="33"/>
    <w:semiHidden/>
    <w:qFormat/>
    <w:uiPriority w:val="0"/>
    <w:pPr>
      <w:keepLines/>
      <w:widowControl/>
      <w:tabs>
        <w:tab w:val="center" w:pos="-18551"/>
        <w:tab w:val="right" w:pos="4320"/>
      </w:tabs>
      <w:spacing w:line="240" w:lineRule="atLeast"/>
      <w:jc w:val="center"/>
    </w:pPr>
    <w:rPr>
      <w:rFonts w:ascii="Garamond" w:hAnsi="Garamond"/>
      <w:smallCaps/>
      <w:spacing w:val="15"/>
      <w:kern w:val="0"/>
    </w:rPr>
  </w:style>
  <w:style w:type="paragraph" w:customStyle="1" w:styleId="299">
    <w:name w:val="默认段落字体 Para Char Char Char Char"/>
    <w:basedOn w:val="1"/>
    <w:qFormat/>
    <w:uiPriority w:val="0"/>
    <w:pPr>
      <w:tabs>
        <w:tab w:val="clear" w:pos="480"/>
      </w:tabs>
      <w:spacing w:line="240" w:lineRule="auto"/>
    </w:pPr>
    <w:rPr>
      <w:spacing w:val="-2"/>
      <w:kern w:val="0"/>
    </w:rPr>
  </w:style>
  <w:style w:type="paragraph" w:customStyle="1" w:styleId="300">
    <w:name w:val="正文缩"/>
    <w:basedOn w:val="1"/>
    <w:semiHidden/>
    <w:qFormat/>
    <w:uiPriority w:val="0"/>
    <w:pPr>
      <w:tabs>
        <w:tab w:val="clear" w:pos="480"/>
      </w:tabs>
      <w:adjustRightInd w:val="0"/>
      <w:snapToGrid w:val="0"/>
      <w:spacing w:line="480" w:lineRule="atLeast"/>
      <w:ind w:firstLine="671" w:firstLineChars="150"/>
    </w:pPr>
    <w:rPr>
      <w:rFonts w:ascii="宋体"/>
      <w:snapToGrid w:val="0"/>
      <w:spacing w:val="6"/>
      <w:kern w:val="0"/>
      <w:sz w:val="28"/>
      <w:szCs w:val="20"/>
    </w:rPr>
  </w:style>
  <w:style w:type="paragraph" w:customStyle="1" w:styleId="301">
    <w:name w:val="正文样式1"/>
    <w:basedOn w:val="1"/>
    <w:link w:val="672"/>
    <w:qFormat/>
    <w:uiPriority w:val="0"/>
    <w:pPr>
      <w:tabs>
        <w:tab w:val="clear" w:pos="480"/>
      </w:tabs>
      <w:adjustRightInd w:val="0"/>
      <w:snapToGrid w:val="0"/>
      <w:ind w:firstLine="510"/>
      <w:textAlignment w:val="baseline"/>
    </w:pPr>
    <w:rPr>
      <w:kern w:val="24"/>
      <w:szCs w:val="20"/>
    </w:rPr>
  </w:style>
  <w:style w:type="paragraph" w:customStyle="1" w:styleId="302">
    <w:name w:val="表格样式1"/>
    <w:basedOn w:val="1"/>
    <w:semiHidden/>
    <w:qFormat/>
    <w:uiPriority w:val="0"/>
    <w:pPr>
      <w:tabs>
        <w:tab w:val="clear" w:pos="480"/>
      </w:tabs>
      <w:adjustRightInd w:val="0"/>
      <w:spacing w:line="20" w:lineRule="atLeast"/>
      <w:jc w:val="center"/>
      <w:textAlignment w:val="baseline"/>
    </w:pPr>
    <w:rPr>
      <w:rFonts w:ascii="宋体"/>
      <w:kern w:val="0"/>
      <w:sz w:val="21"/>
      <w:szCs w:val="20"/>
    </w:rPr>
  </w:style>
  <w:style w:type="paragraph" w:customStyle="1" w:styleId="303">
    <w:name w:val="正文样式3"/>
    <w:basedOn w:val="1"/>
    <w:semiHidden/>
    <w:qFormat/>
    <w:uiPriority w:val="0"/>
    <w:pPr>
      <w:tabs>
        <w:tab w:val="clear" w:pos="480"/>
      </w:tabs>
      <w:adjustRightInd w:val="0"/>
      <w:spacing w:line="20" w:lineRule="atLeast"/>
      <w:jc w:val="center"/>
      <w:textAlignment w:val="baseline"/>
    </w:pPr>
    <w:rPr>
      <w:kern w:val="0"/>
      <w:szCs w:val="20"/>
    </w:rPr>
  </w:style>
  <w:style w:type="paragraph" w:customStyle="1" w:styleId="304">
    <w:name w:val="F正文"/>
    <w:semiHidden/>
    <w:qFormat/>
    <w:uiPriority w:val="0"/>
    <w:pPr>
      <w:widowControl w:val="0"/>
      <w:adjustRightInd w:val="0"/>
      <w:spacing w:line="360" w:lineRule="atLeast"/>
      <w:jc w:val="center"/>
      <w:textAlignment w:val="baseline"/>
    </w:pPr>
    <w:rPr>
      <w:rFonts w:ascii="Times New Roman" w:hAnsi="Times New Roman" w:eastAsia="宋体" w:cs="Times New Roman"/>
      <w:spacing w:val="12"/>
      <w:kern w:val="2"/>
      <w:sz w:val="24"/>
      <w:szCs w:val="24"/>
      <w:lang w:val="en-US" w:eastAsia="zh-CN" w:bidi="ar-SA"/>
    </w:rPr>
  </w:style>
  <w:style w:type="paragraph" w:customStyle="1" w:styleId="305">
    <w:name w:val="Char Char Char Char Char Char Char Char Char Char"/>
    <w:basedOn w:val="1"/>
    <w:semiHidden/>
    <w:qFormat/>
    <w:uiPriority w:val="0"/>
    <w:pPr>
      <w:tabs>
        <w:tab w:val="clear" w:pos="480"/>
      </w:tabs>
      <w:adjustRightInd w:val="0"/>
    </w:pPr>
    <w:rPr>
      <w:kern w:val="0"/>
      <w:szCs w:val="20"/>
    </w:rPr>
  </w:style>
  <w:style w:type="paragraph" w:customStyle="1" w:styleId="306">
    <w:name w:val="Char Char Char Char Char Char Char"/>
    <w:basedOn w:val="1"/>
    <w:qFormat/>
    <w:uiPriority w:val="0"/>
    <w:pPr>
      <w:tabs>
        <w:tab w:val="clear" w:pos="480"/>
      </w:tabs>
      <w:jc w:val="left"/>
    </w:pPr>
  </w:style>
  <w:style w:type="character" w:customStyle="1" w:styleId="307">
    <w:name w:val="hui1"/>
    <w:semiHidden/>
    <w:qFormat/>
    <w:uiPriority w:val="0"/>
    <w:rPr>
      <w:color w:val="404040"/>
      <w:sz w:val="16"/>
      <w:szCs w:val="16"/>
      <w:u w:val="none"/>
    </w:rPr>
  </w:style>
  <w:style w:type="paragraph" w:customStyle="1" w:styleId="308">
    <w:name w:val="样式 标题 4Subsection标题 14 + 段前: 1 行"/>
    <w:basedOn w:val="1"/>
    <w:semiHidden/>
    <w:qFormat/>
    <w:uiPriority w:val="0"/>
    <w:pPr>
      <w:tabs>
        <w:tab w:val="clear" w:pos="480"/>
      </w:tabs>
      <w:spacing w:before="100" w:beforeAutospacing="1"/>
      <w:outlineLvl w:val="4"/>
    </w:pPr>
    <w:rPr>
      <w:rFonts w:cs="宋体"/>
      <w:sz w:val="21"/>
    </w:rPr>
  </w:style>
  <w:style w:type="paragraph" w:customStyle="1" w:styleId="309">
    <w:name w:val="font7"/>
    <w:basedOn w:val="1"/>
    <w:qFormat/>
    <w:uiPriority w:val="0"/>
    <w:pPr>
      <w:widowControl/>
      <w:tabs>
        <w:tab w:val="clear" w:pos="480"/>
      </w:tabs>
      <w:spacing w:before="100" w:beforeAutospacing="1" w:after="100" w:afterAutospacing="1" w:line="240" w:lineRule="auto"/>
      <w:jc w:val="left"/>
    </w:pPr>
    <w:rPr>
      <w:b/>
      <w:bCs/>
      <w:kern w:val="0"/>
      <w:sz w:val="28"/>
      <w:szCs w:val="28"/>
    </w:rPr>
  </w:style>
  <w:style w:type="paragraph" w:customStyle="1" w:styleId="310">
    <w:name w:val="xl28"/>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color w:val="000000"/>
      <w:kern w:val="0"/>
    </w:rPr>
  </w:style>
  <w:style w:type="paragraph" w:customStyle="1" w:styleId="311">
    <w:name w:val="xl30"/>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b/>
      <w:bCs/>
      <w:kern w:val="0"/>
      <w:sz w:val="28"/>
      <w:szCs w:val="28"/>
    </w:rPr>
  </w:style>
  <w:style w:type="paragraph" w:customStyle="1" w:styleId="312">
    <w:name w:val="xl32"/>
    <w:basedOn w:val="1"/>
    <w:qFormat/>
    <w:uiPriority w:val="0"/>
    <w:pPr>
      <w:widowControl/>
      <w:pBdr>
        <w:top w:val="single" w:color="auto" w:sz="4" w:space="0"/>
        <w:left w:val="single" w:color="auto" w:sz="8" w:space="0"/>
        <w:bottom w:val="single" w:color="auto" w:sz="4" w:space="0"/>
        <w:right w:val="single" w:color="auto" w:sz="4" w:space="0"/>
      </w:pBdr>
      <w:tabs>
        <w:tab w:val="clear" w:pos="480"/>
      </w:tabs>
      <w:spacing w:before="100" w:beforeAutospacing="1" w:after="100" w:afterAutospacing="1" w:line="240" w:lineRule="auto"/>
      <w:jc w:val="center"/>
      <w:textAlignment w:val="center"/>
    </w:pPr>
    <w:rPr>
      <w:color w:val="000000"/>
      <w:kern w:val="0"/>
    </w:rPr>
  </w:style>
  <w:style w:type="paragraph" w:customStyle="1" w:styleId="313">
    <w:name w:val="xl34"/>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kern w:val="0"/>
    </w:rPr>
  </w:style>
  <w:style w:type="paragraph" w:customStyle="1" w:styleId="314">
    <w:name w:val="xl35"/>
    <w:basedOn w:val="1"/>
    <w:qFormat/>
    <w:uiPriority w:val="0"/>
    <w:pPr>
      <w:widowControl/>
      <w:pBdr>
        <w:top w:val="single" w:color="auto" w:sz="4" w:space="0"/>
        <w:left w:val="single" w:color="auto" w:sz="8" w:space="0"/>
        <w:bottom w:val="single" w:color="auto" w:sz="8" w:space="0"/>
        <w:right w:val="single" w:color="auto" w:sz="4" w:space="0"/>
      </w:pBdr>
      <w:tabs>
        <w:tab w:val="clear" w:pos="480"/>
      </w:tabs>
      <w:spacing w:before="100" w:beforeAutospacing="1" w:after="100" w:afterAutospacing="1" w:line="240" w:lineRule="auto"/>
      <w:jc w:val="center"/>
      <w:textAlignment w:val="center"/>
    </w:pPr>
    <w:rPr>
      <w:color w:val="000000"/>
      <w:kern w:val="0"/>
    </w:rPr>
  </w:style>
  <w:style w:type="paragraph" w:customStyle="1" w:styleId="315">
    <w:name w:val="样式 标题 1标题3，标题3Head 1wsa一、h1标题2标题 1 CharPart'Document1.标...1"/>
    <w:basedOn w:val="2"/>
    <w:semiHidden/>
    <w:qFormat/>
    <w:uiPriority w:val="0"/>
    <w:pPr>
      <w:widowControl/>
      <w:numPr>
        <w:numId w:val="0"/>
      </w:numPr>
      <w:tabs>
        <w:tab w:val="left" w:pos="720"/>
        <w:tab w:val="clear" w:pos="480"/>
      </w:tabs>
      <w:spacing w:before="300" w:after="300" w:line="520" w:lineRule="exact"/>
      <w:jc w:val="center"/>
    </w:pPr>
    <w:rPr>
      <w:rFonts w:ascii="Times New Roman" w:eastAsia="黑体" w:cs="宋体"/>
      <w:szCs w:val="20"/>
    </w:rPr>
  </w:style>
  <w:style w:type="paragraph" w:customStyle="1" w:styleId="316">
    <w:name w:val="样式 标题 2Chapter Heading2nd levelh22Titre2l2H2Header 2UND...1"/>
    <w:basedOn w:val="3"/>
    <w:semiHidden/>
    <w:qFormat/>
    <w:uiPriority w:val="0"/>
    <w:pPr>
      <w:widowControl/>
      <w:numPr>
        <w:ilvl w:val="0"/>
        <w:numId w:val="0"/>
      </w:numPr>
      <w:tabs>
        <w:tab w:val="left" w:pos="840"/>
        <w:tab w:val="clear" w:pos="480"/>
        <w:tab w:val="clear" w:pos="630"/>
      </w:tabs>
      <w:spacing w:before="120"/>
      <w:ind w:left="840" w:hanging="420"/>
      <w:jc w:val="left"/>
    </w:pPr>
    <w:rPr>
      <w:rFonts w:eastAsia="黑体" w:cs="宋体"/>
      <w:kern w:val="0"/>
      <w:sz w:val="30"/>
      <w:szCs w:val="20"/>
      <w:lang w:eastAsia="en-US" w:bidi="en-US"/>
    </w:rPr>
  </w:style>
  <w:style w:type="paragraph" w:customStyle="1" w:styleId="317">
    <w:name w:val="样式 标题 3h33rd levelH33Head 3level_3PIM 3Level 3 Head二级节名...1"/>
    <w:basedOn w:val="4"/>
    <w:semiHidden/>
    <w:qFormat/>
    <w:uiPriority w:val="0"/>
    <w:pPr>
      <w:widowControl/>
      <w:numPr>
        <w:ilvl w:val="0"/>
        <w:numId w:val="0"/>
      </w:numPr>
      <w:tabs>
        <w:tab w:val="left" w:pos="1260"/>
        <w:tab w:val="clear" w:pos="480"/>
        <w:tab w:val="clear" w:pos="840"/>
      </w:tabs>
      <w:spacing w:before="0" w:after="0" w:line="360" w:lineRule="auto"/>
      <w:ind w:left="1260" w:hanging="420"/>
      <w:jc w:val="left"/>
    </w:pPr>
    <w:rPr>
      <w:rFonts w:ascii="Times New Roman" w:eastAsia="黑体"/>
      <w:kern w:val="0"/>
      <w:sz w:val="24"/>
      <w:szCs w:val="22"/>
      <w:lang w:eastAsia="en-US" w:bidi="en-US"/>
    </w:rPr>
  </w:style>
  <w:style w:type="paragraph" w:customStyle="1" w:styleId="318">
    <w:name w:val="font1"/>
    <w:basedOn w:val="1"/>
    <w:semiHidden/>
    <w:qFormat/>
    <w:uiPriority w:val="0"/>
    <w:pPr>
      <w:widowControl/>
      <w:tabs>
        <w:tab w:val="clear" w:pos="480"/>
      </w:tabs>
      <w:spacing w:before="100" w:beforeAutospacing="1" w:after="100" w:afterAutospacing="1" w:line="240" w:lineRule="auto"/>
      <w:jc w:val="left"/>
    </w:pPr>
    <w:rPr>
      <w:b/>
      <w:bCs/>
      <w:kern w:val="0"/>
    </w:rPr>
  </w:style>
  <w:style w:type="paragraph" w:customStyle="1" w:styleId="319">
    <w:name w:val="font8"/>
    <w:basedOn w:val="1"/>
    <w:qFormat/>
    <w:uiPriority w:val="0"/>
    <w:pPr>
      <w:widowControl/>
      <w:tabs>
        <w:tab w:val="clear" w:pos="480"/>
      </w:tabs>
      <w:spacing w:before="100" w:beforeAutospacing="1" w:after="100" w:afterAutospacing="1" w:line="240" w:lineRule="auto"/>
      <w:jc w:val="left"/>
    </w:pPr>
    <w:rPr>
      <w:rFonts w:ascii="宋体" w:hAnsi="宋体" w:cs="宋体"/>
      <w:b/>
      <w:bCs/>
      <w:kern w:val="0"/>
      <w:sz w:val="18"/>
      <w:szCs w:val="18"/>
    </w:rPr>
  </w:style>
  <w:style w:type="paragraph" w:customStyle="1" w:styleId="320">
    <w:name w:val="font9"/>
    <w:basedOn w:val="1"/>
    <w:qFormat/>
    <w:uiPriority w:val="0"/>
    <w:pPr>
      <w:widowControl/>
      <w:tabs>
        <w:tab w:val="clear" w:pos="480"/>
      </w:tabs>
      <w:spacing w:before="100" w:beforeAutospacing="1" w:after="100" w:afterAutospacing="1" w:line="240" w:lineRule="auto"/>
      <w:jc w:val="left"/>
    </w:pPr>
    <w:rPr>
      <w:rFonts w:ascii="宋体" w:hAnsi="宋体" w:cs="宋体"/>
      <w:color w:val="FF0000"/>
      <w:kern w:val="0"/>
      <w:sz w:val="18"/>
      <w:szCs w:val="18"/>
    </w:rPr>
  </w:style>
  <w:style w:type="paragraph" w:customStyle="1" w:styleId="321">
    <w:name w:val="font10"/>
    <w:basedOn w:val="1"/>
    <w:qFormat/>
    <w:uiPriority w:val="0"/>
    <w:pPr>
      <w:widowControl/>
      <w:tabs>
        <w:tab w:val="clear" w:pos="480"/>
      </w:tabs>
      <w:spacing w:before="100" w:beforeAutospacing="1" w:after="100" w:afterAutospacing="1" w:line="240" w:lineRule="auto"/>
      <w:jc w:val="left"/>
    </w:pPr>
    <w:rPr>
      <w:rFonts w:ascii="宋体" w:hAnsi="宋体" w:cs="宋体"/>
      <w:b/>
      <w:bCs/>
      <w:color w:val="0000FF"/>
      <w:kern w:val="0"/>
      <w:sz w:val="18"/>
      <w:szCs w:val="18"/>
    </w:rPr>
  </w:style>
  <w:style w:type="paragraph" w:customStyle="1" w:styleId="322">
    <w:name w:val="font11"/>
    <w:basedOn w:val="1"/>
    <w:qFormat/>
    <w:uiPriority w:val="0"/>
    <w:pPr>
      <w:widowControl/>
      <w:tabs>
        <w:tab w:val="clear" w:pos="480"/>
      </w:tabs>
      <w:spacing w:before="100" w:beforeAutospacing="1" w:after="100" w:afterAutospacing="1" w:line="240" w:lineRule="auto"/>
      <w:jc w:val="left"/>
    </w:pPr>
    <w:rPr>
      <w:rFonts w:ascii="宋体" w:hAnsi="宋体" w:cs="宋体"/>
      <w:b/>
      <w:bCs/>
      <w:color w:val="000000"/>
      <w:kern w:val="0"/>
      <w:sz w:val="18"/>
      <w:szCs w:val="18"/>
    </w:rPr>
  </w:style>
  <w:style w:type="paragraph" w:customStyle="1" w:styleId="323">
    <w:name w:val="font12"/>
    <w:basedOn w:val="1"/>
    <w:qFormat/>
    <w:uiPriority w:val="0"/>
    <w:pPr>
      <w:widowControl/>
      <w:tabs>
        <w:tab w:val="clear" w:pos="480"/>
      </w:tabs>
      <w:spacing w:before="100" w:beforeAutospacing="1" w:after="100" w:afterAutospacing="1" w:line="240" w:lineRule="auto"/>
      <w:jc w:val="left"/>
    </w:pPr>
    <w:rPr>
      <w:color w:val="FF0000"/>
      <w:kern w:val="0"/>
      <w:sz w:val="18"/>
      <w:szCs w:val="18"/>
    </w:rPr>
  </w:style>
  <w:style w:type="paragraph" w:customStyle="1" w:styleId="324">
    <w:name w:val="font13"/>
    <w:basedOn w:val="1"/>
    <w:qFormat/>
    <w:uiPriority w:val="0"/>
    <w:pPr>
      <w:widowControl/>
      <w:tabs>
        <w:tab w:val="clear" w:pos="480"/>
      </w:tabs>
      <w:spacing w:before="100" w:beforeAutospacing="1" w:after="100" w:afterAutospacing="1" w:line="240" w:lineRule="auto"/>
      <w:jc w:val="left"/>
    </w:pPr>
    <w:rPr>
      <w:b/>
      <w:bCs/>
      <w:color w:val="000000"/>
      <w:kern w:val="0"/>
      <w:sz w:val="18"/>
      <w:szCs w:val="18"/>
    </w:rPr>
  </w:style>
  <w:style w:type="paragraph" w:customStyle="1" w:styleId="325">
    <w:name w:val="font14"/>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rPr>
  </w:style>
  <w:style w:type="paragraph" w:customStyle="1" w:styleId="326">
    <w:name w:val="font15"/>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sz w:val="18"/>
      <w:szCs w:val="18"/>
    </w:rPr>
  </w:style>
  <w:style w:type="paragraph" w:customStyle="1" w:styleId="327">
    <w:name w:val="font16"/>
    <w:basedOn w:val="1"/>
    <w:semiHidden/>
    <w:qFormat/>
    <w:uiPriority w:val="0"/>
    <w:pPr>
      <w:widowControl/>
      <w:tabs>
        <w:tab w:val="clear" w:pos="480"/>
      </w:tabs>
      <w:spacing w:before="100" w:beforeAutospacing="1" w:after="100" w:afterAutospacing="1" w:line="240" w:lineRule="auto"/>
      <w:jc w:val="left"/>
    </w:pPr>
    <w:rPr>
      <w:rFonts w:ascii="宋体" w:hAnsi="宋体" w:cs="宋体"/>
      <w:b/>
      <w:bCs/>
      <w:color w:val="000000"/>
      <w:kern w:val="0"/>
      <w:sz w:val="18"/>
      <w:szCs w:val="18"/>
    </w:rPr>
  </w:style>
  <w:style w:type="paragraph" w:customStyle="1" w:styleId="328">
    <w:name w:val="font17"/>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sz w:val="12"/>
      <w:szCs w:val="12"/>
    </w:rPr>
  </w:style>
  <w:style w:type="paragraph" w:customStyle="1" w:styleId="329">
    <w:name w:val="font18"/>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sz w:val="18"/>
      <w:szCs w:val="18"/>
    </w:rPr>
  </w:style>
  <w:style w:type="paragraph" w:customStyle="1" w:styleId="330">
    <w:name w:val="font19"/>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sz w:val="18"/>
      <w:szCs w:val="18"/>
    </w:rPr>
  </w:style>
  <w:style w:type="paragraph" w:customStyle="1" w:styleId="331">
    <w:name w:val="font20"/>
    <w:basedOn w:val="1"/>
    <w:semiHidden/>
    <w:qFormat/>
    <w:uiPriority w:val="0"/>
    <w:pPr>
      <w:widowControl/>
      <w:tabs>
        <w:tab w:val="clear" w:pos="480"/>
      </w:tabs>
      <w:spacing w:before="100" w:beforeAutospacing="1" w:after="100" w:afterAutospacing="1" w:line="240" w:lineRule="auto"/>
      <w:jc w:val="left"/>
    </w:pPr>
    <w:rPr>
      <w:b/>
      <w:bCs/>
      <w:color w:val="0000FF"/>
      <w:kern w:val="0"/>
      <w:sz w:val="18"/>
      <w:szCs w:val="18"/>
    </w:rPr>
  </w:style>
  <w:style w:type="paragraph" w:customStyle="1" w:styleId="332">
    <w:name w:val="font21"/>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sz w:val="21"/>
      <w:szCs w:val="21"/>
    </w:rPr>
  </w:style>
  <w:style w:type="paragraph" w:customStyle="1" w:styleId="333">
    <w:name w:val="font22"/>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sz w:val="21"/>
      <w:szCs w:val="21"/>
    </w:rPr>
  </w:style>
  <w:style w:type="paragraph" w:customStyle="1" w:styleId="334">
    <w:name w:val="xl36"/>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35">
    <w:name w:val="xl37"/>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36">
    <w:name w:val="xl38"/>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textAlignment w:val="center"/>
    </w:pPr>
    <w:rPr>
      <w:rFonts w:ascii="宋体" w:hAnsi="宋体" w:cs="宋体"/>
      <w:color w:val="000000"/>
      <w:kern w:val="0"/>
      <w:sz w:val="18"/>
      <w:szCs w:val="18"/>
    </w:rPr>
  </w:style>
  <w:style w:type="paragraph" w:customStyle="1" w:styleId="337">
    <w:name w:val="xl39"/>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textAlignment w:val="center"/>
    </w:pPr>
    <w:rPr>
      <w:rFonts w:ascii="宋体" w:hAnsi="宋体" w:cs="宋体"/>
      <w:color w:val="000000"/>
      <w:kern w:val="0"/>
      <w:sz w:val="18"/>
      <w:szCs w:val="18"/>
    </w:rPr>
  </w:style>
  <w:style w:type="paragraph" w:customStyle="1" w:styleId="338">
    <w:name w:val="xl40"/>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color w:val="000000"/>
      <w:kern w:val="0"/>
      <w:sz w:val="18"/>
      <w:szCs w:val="18"/>
    </w:rPr>
  </w:style>
  <w:style w:type="paragraph" w:customStyle="1" w:styleId="339">
    <w:name w:val="xl41"/>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40">
    <w:name w:val="xl42"/>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41">
    <w:name w:val="xl43"/>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42">
    <w:name w:val="xl44"/>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color w:val="000000"/>
      <w:kern w:val="0"/>
      <w:sz w:val="18"/>
      <w:szCs w:val="18"/>
    </w:rPr>
  </w:style>
  <w:style w:type="paragraph" w:customStyle="1" w:styleId="343">
    <w:name w:val="xl46"/>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44">
    <w:name w:val="xl47"/>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45">
    <w:name w:val="xl48"/>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18"/>
      <w:szCs w:val="18"/>
    </w:rPr>
  </w:style>
  <w:style w:type="paragraph" w:customStyle="1" w:styleId="346">
    <w:name w:val="xl49"/>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47">
    <w:name w:val="xl50"/>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color w:val="000000"/>
      <w:kern w:val="0"/>
      <w:sz w:val="20"/>
      <w:szCs w:val="20"/>
    </w:rPr>
  </w:style>
  <w:style w:type="paragraph" w:customStyle="1" w:styleId="348">
    <w:name w:val="xl51"/>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20"/>
      <w:szCs w:val="20"/>
    </w:rPr>
  </w:style>
  <w:style w:type="paragraph" w:customStyle="1" w:styleId="349">
    <w:name w:val="xl52"/>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50">
    <w:name w:val="xl53"/>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pPr>
    <w:rPr>
      <w:rFonts w:ascii="宋体" w:hAnsi="宋体" w:cs="宋体"/>
      <w:color w:val="000000"/>
      <w:kern w:val="0"/>
      <w:sz w:val="18"/>
      <w:szCs w:val="18"/>
    </w:rPr>
  </w:style>
  <w:style w:type="paragraph" w:customStyle="1" w:styleId="351">
    <w:name w:val="xl54"/>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pPr>
    <w:rPr>
      <w:rFonts w:ascii="宋体" w:hAnsi="宋体" w:cs="宋体"/>
      <w:color w:val="000000"/>
      <w:kern w:val="0"/>
      <w:sz w:val="18"/>
      <w:szCs w:val="18"/>
    </w:rPr>
  </w:style>
  <w:style w:type="paragraph" w:customStyle="1" w:styleId="352">
    <w:name w:val="xl55"/>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53">
    <w:name w:val="xl56"/>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FF0000"/>
      <w:kern w:val="0"/>
      <w:sz w:val="18"/>
      <w:szCs w:val="18"/>
    </w:rPr>
  </w:style>
  <w:style w:type="paragraph" w:customStyle="1" w:styleId="354">
    <w:name w:val="xl57"/>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FF0000"/>
      <w:kern w:val="0"/>
      <w:sz w:val="18"/>
      <w:szCs w:val="18"/>
    </w:rPr>
  </w:style>
  <w:style w:type="paragraph" w:customStyle="1" w:styleId="355">
    <w:name w:val="xl58"/>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top"/>
    </w:pPr>
    <w:rPr>
      <w:rFonts w:ascii="宋体" w:hAnsi="宋体" w:cs="宋体"/>
      <w:color w:val="000000"/>
      <w:kern w:val="0"/>
      <w:sz w:val="18"/>
      <w:szCs w:val="18"/>
    </w:rPr>
  </w:style>
  <w:style w:type="paragraph" w:customStyle="1" w:styleId="356">
    <w:name w:val="xl59"/>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textAlignment w:val="top"/>
    </w:pPr>
    <w:rPr>
      <w:rFonts w:ascii="宋体" w:hAnsi="宋体" w:cs="宋体"/>
      <w:color w:val="000000"/>
      <w:kern w:val="0"/>
      <w:sz w:val="18"/>
      <w:szCs w:val="18"/>
    </w:rPr>
  </w:style>
  <w:style w:type="paragraph" w:customStyle="1" w:styleId="357">
    <w:name w:val="xl60"/>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FF0000"/>
      <w:kern w:val="0"/>
      <w:sz w:val="18"/>
      <w:szCs w:val="18"/>
    </w:rPr>
  </w:style>
  <w:style w:type="paragraph" w:customStyle="1" w:styleId="358">
    <w:name w:val="xl61"/>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000000"/>
      <w:kern w:val="0"/>
      <w:sz w:val="20"/>
      <w:szCs w:val="20"/>
    </w:rPr>
  </w:style>
  <w:style w:type="paragraph" w:customStyle="1" w:styleId="359">
    <w:name w:val="xl62"/>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color w:val="000000"/>
      <w:kern w:val="0"/>
      <w:sz w:val="20"/>
      <w:szCs w:val="20"/>
    </w:rPr>
  </w:style>
  <w:style w:type="paragraph" w:customStyle="1" w:styleId="360">
    <w:name w:val="xl63"/>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FF"/>
      <w:kern w:val="0"/>
      <w:sz w:val="18"/>
      <w:szCs w:val="18"/>
    </w:rPr>
  </w:style>
  <w:style w:type="paragraph" w:customStyle="1" w:styleId="361">
    <w:name w:val="xl64"/>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b/>
      <w:bCs/>
      <w:color w:val="000000"/>
      <w:kern w:val="0"/>
      <w:sz w:val="20"/>
      <w:szCs w:val="20"/>
    </w:rPr>
  </w:style>
  <w:style w:type="paragraph" w:customStyle="1" w:styleId="362">
    <w:name w:val="xl65"/>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b/>
      <w:bCs/>
      <w:color w:val="000000"/>
      <w:kern w:val="0"/>
      <w:sz w:val="20"/>
      <w:szCs w:val="20"/>
    </w:rPr>
  </w:style>
  <w:style w:type="paragraph" w:customStyle="1" w:styleId="363">
    <w:name w:val="xl66"/>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20"/>
      <w:szCs w:val="20"/>
    </w:rPr>
  </w:style>
  <w:style w:type="paragraph" w:customStyle="1" w:styleId="364">
    <w:name w:val="xl67"/>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20"/>
      <w:szCs w:val="20"/>
    </w:rPr>
  </w:style>
  <w:style w:type="paragraph" w:customStyle="1" w:styleId="365">
    <w:name w:val="xl68"/>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20"/>
      <w:szCs w:val="20"/>
    </w:rPr>
  </w:style>
  <w:style w:type="paragraph" w:customStyle="1" w:styleId="366">
    <w:name w:val="xl69"/>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pPr>
    <w:rPr>
      <w:rFonts w:ascii="宋体" w:hAnsi="宋体" w:cs="宋体"/>
      <w:color w:val="FF0000"/>
      <w:kern w:val="0"/>
      <w:sz w:val="20"/>
      <w:szCs w:val="20"/>
    </w:rPr>
  </w:style>
  <w:style w:type="paragraph" w:customStyle="1" w:styleId="367">
    <w:name w:val="xl70"/>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b/>
      <w:bCs/>
      <w:color w:val="3366FF"/>
      <w:kern w:val="0"/>
      <w:sz w:val="20"/>
      <w:szCs w:val="20"/>
    </w:rPr>
  </w:style>
  <w:style w:type="paragraph" w:customStyle="1" w:styleId="368">
    <w:name w:val="xl71"/>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000000"/>
      <w:kern w:val="0"/>
      <w:sz w:val="20"/>
      <w:szCs w:val="20"/>
    </w:rPr>
  </w:style>
  <w:style w:type="paragraph" w:customStyle="1" w:styleId="369">
    <w:name w:val="xl72"/>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b/>
      <w:bCs/>
      <w:color w:val="000000"/>
      <w:kern w:val="0"/>
      <w:sz w:val="20"/>
      <w:szCs w:val="20"/>
    </w:rPr>
  </w:style>
  <w:style w:type="paragraph" w:customStyle="1" w:styleId="370">
    <w:name w:val="xl73"/>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20"/>
      <w:szCs w:val="20"/>
    </w:rPr>
  </w:style>
  <w:style w:type="paragraph" w:customStyle="1" w:styleId="371">
    <w:name w:val="xl74"/>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b/>
      <w:bCs/>
      <w:color w:val="000000"/>
      <w:kern w:val="0"/>
      <w:sz w:val="20"/>
      <w:szCs w:val="20"/>
    </w:rPr>
  </w:style>
  <w:style w:type="paragraph" w:customStyle="1" w:styleId="372">
    <w:name w:val="xl75"/>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color w:val="FF0000"/>
      <w:kern w:val="0"/>
      <w:sz w:val="20"/>
      <w:szCs w:val="20"/>
    </w:rPr>
  </w:style>
  <w:style w:type="paragraph" w:customStyle="1" w:styleId="373">
    <w:name w:val="xl76"/>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20"/>
      <w:szCs w:val="20"/>
    </w:rPr>
  </w:style>
  <w:style w:type="paragraph" w:customStyle="1" w:styleId="374">
    <w:name w:val="xl77"/>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20"/>
      <w:szCs w:val="20"/>
    </w:rPr>
  </w:style>
  <w:style w:type="paragraph" w:customStyle="1" w:styleId="375">
    <w:name w:val="xl78"/>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top"/>
    </w:pPr>
    <w:rPr>
      <w:rFonts w:ascii="宋体" w:hAnsi="宋体" w:cs="宋体"/>
      <w:kern w:val="0"/>
      <w:sz w:val="21"/>
      <w:szCs w:val="21"/>
    </w:rPr>
  </w:style>
  <w:style w:type="paragraph" w:customStyle="1" w:styleId="376">
    <w:name w:val="xl80"/>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kern w:val="0"/>
      <w:sz w:val="21"/>
      <w:szCs w:val="21"/>
    </w:rPr>
  </w:style>
  <w:style w:type="paragraph" w:customStyle="1" w:styleId="377">
    <w:name w:val="xl81"/>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textAlignment w:val="center"/>
    </w:pPr>
    <w:rPr>
      <w:rFonts w:ascii="宋体" w:hAnsi="宋体" w:cs="宋体"/>
      <w:kern w:val="0"/>
      <w:sz w:val="21"/>
      <w:szCs w:val="21"/>
    </w:rPr>
  </w:style>
  <w:style w:type="paragraph" w:customStyle="1" w:styleId="378">
    <w:name w:val="xl82"/>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kern w:val="0"/>
      <w:sz w:val="21"/>
      <w:szCs w:val="21"/>
    </w:rPr>
  </w:style>
  <w:style w:type="paragraph" w:customStyle="1" w:styleId="379">
    <w:name w:val="xl84"/>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kern w:val="0"/>
      <w:sz w:val="20"/>
      <w:szCs w:val="20"/>
    </w:rPr>
  </w:style>
  <w:style w:type="paragraph" w:customStyle="1" w:styleId="380">
    <w:name w:val="xl85"/>
    <w:basedOn w:val="1"/>
    <w:semiHidden/>
    <w:qFormat/>
    <w:uiPriority w:val="0"/>
    <w:pPr>
      <w:widowControl/>
      <w:pBdr>
        <w:top w:val="single" w:color="auto" w:sz="8"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381">
    <w:name w:val="xl86"/>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382">
    <w:name w:val="xl87"/>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383">
    <w:name w:val="xl88"/>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18"/>
      <w:szCs w:val="18"/>
    </w:rPr>
  </w:style>
  <w:style w:type="paragraph" w:customStyle="1" w:styleId="384">
    <w:name w:val="xl89"/>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18"/>
      <w:szCs w:val="18"/>
    </w:rPr>
  </w:style>
  <w:style w:type="paragraph" w:customStyle="1" w:styleId="385">
    <w:name w:val="xl90"/>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86">
    <w:name w:val="xl91"/>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87">
    <w:name w:val="xl92"/>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color w:val="000000"/>
      <w:kern w:val="0"/>
      <w:sz w:val="18"/>
      <w:szCs w:val="18"/>
    </w:rPr>
  </w:style>
  <w:style w:type="paragraph" w:customStyle="1" w:styleId="388">
    <w:name w:val="xl93"/>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89">
    <w:name w:val="xl94"/>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90">
    <w:name w:val="xl95"/>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FF0000"/>
      <w:kern w:val="0"/>
      <w:sz w:val="18"/>
      <w:szCs w:val="18"/>
    </w:rPr>
  </w:style>
  <w:style w:type="paragraph" w:customStyle="1" w:styleId="391">
    <w:name w:val="xl96"/>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92">
    <w:name w:val="xl97"/>
    <w:basedOn w:val="1"/>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18"/>
      <w:szCs w:val="18"/>
    </w:rPr>
  </w:style>
  <w:style w:type="paragraph" w:customStyle="1" w:styleId="393">
    <w:name w:val="xl98"/>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94">
    <w:name w:val="xl99"/>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95">
    <w:name w:val="xl100"/>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18"/>
      <w:szCs w:val="18"/>
    </w:rPr>
  </w:style>
  <w:style w:type="paragraph" w:customStyle="1" w:styleId="396">
    <w:name w:val="xl101"/>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97">
    <w:name w:val="xl102"/>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98">
    <w:name w:val="xl103"/>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kern w:val="0"/>
      <w:sz w:val="20"/>
      <w:szCs w:val="20"/>
    </w:rPr>
  </w:style>
  <w:style w:type="paragraph" w:customStyle="1" w:styleId="399">
    <w:name w:val="xl104"/>
    <w:basedOn w:val="1"/>
    <w:semiHidden/>
    <w:qFormat/>
    <w:uiPriority w:val="0"/>
    <w:pPr>
      <w:widowControl/>
      <w:pBdr>
        <w:top w:val="single" w:color="auto" w:sz="4" w:space="0"/>
        <w:left w:val="single" w:color="auto" w:sz="8"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00">
    <w:name w:val="xl105"/>
    <w:basedOn w:val="1"/>
    <w:semiHidden/>
    <w:qFormat/>
    <w:uiPriority w:val="0"/>
    <w:pPr>
      <w:widowControl/>
      <w:pBdr>
        <w:top w:val="single" w:color="auto" w:sz="4" w:space="0"/>
        <w:left w:val="single" w:color="auto" w:sz="8"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01">
    <w:name w:val="xl106"/>
    <w:basedOn w:val="1"/>
    <w:semiHidden/>
    <w:qFormat/>
    <w:uiPriority w:val="0"/>
    <w:pPr>
      <w:widowControl/>
      <w:pBdr>
        <w:top w:val="single" w:color="auto" w:sz="4" w:space="0"/>
        <w:left w:val="single" w:color="auto" w:sz="8"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FF0000"/>
      <w:kern w:val="0"/>
      <w:sz w:val="18"/>
      <w:szCs w:val="18"/>
    </w:rPr>
  </w:style>
  <w:style w:type="paragraph" w:customStyle="1" w:styleId="402">
    <w:name w:val="xl107"/>
    <w:basedOn w:val="1"/>
    <w:semiHidden/>
    <w:qFormat/>
    <w:uiPriority w:val="0"/>
    <w:pPr>
      <w:widowControl/>
      <w:pBdr>
        <w:top w:val="single" w:color="auto" w:sz="4" w:space="0"/>
        <w:left w:val="single" w:color="auto" w:sz="4" w:space="0"/>
        <w:bottom w:val="single" w:color="auto" w:sz="4" w:space="0"/>
        <w:right w:val="single" w:color="auto" w:sz="8" w:space="0"/>
      </w:pBdr>
      <w:tabs>
        <w:tab w:val="clear" w:pos="480"/>
      </w:tabs>
      <w:spacing w:before="100" w:beforeAutospacing="1" w:after="100" w:afterAutospacing="1" w:line="240" w:lineRule="auto"/>
      <w:jc w:val="left"/>
    </w:pPr>
    <w:rPr>
      <w:rFonts w:ascii="宋体" w:hAnsi="宋体" w:cs="宋体"/>
      <w:color w:val="FF0000"/>
      <w:kern w:val="0"/>
      <w:sz w:val="20"/>
      <w:szCs w:val="20"/>
    </w:rPr>
  </w:style>
  <w:style w:type="paragraph" w:customStyle="1" w:styleId="403">
    <w:name w:val="xl108"/>
    <w:basedOn w:val="1"/>
    <w:semiHidden/>
    <w:qFormat/>
    <w:uiPriority w:val="0"/>
    <w:pPr>
      <w:widowControl/>
      <w:pBdr>
        <w:top w:val="single" w:color="auto" w:sz="4" w:space="0"/>
        <w:left w:val="single" w:color="auto" w:sz="4" w:space="0"/>
        <w:bottom w:val="single" w:color="auto" w:sz="4" w:space="0"/>
        <w:right w:val="single" w:color="auto" w:sz="8" w:space="0"/>
      </w:pBdr>
      <w:tabs>
        <w:tab w:val="clear" w:pos="480"/>
      </w:tabs>
      <w:spacing w:before="100" w:beforeAutospacing="1" w:after="100" w:afterAutospacing="1" w:line="240" w:lineRule="auto"/>
      <w:jc w:val="left"/>
    </w:pPr>
    <w:rPr>
      <w:rFonts w:ascii="宋体" w:hAnsi="宋体" w:cs="宋体"/>
      <w:kern w:val="0"/>
    </w:rPr>
  </w:style>
  <w:style w:type="paragraph" w:customStyle="1" w:styleId="404">
    <w:name w:val="xl109"/>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kern w:val="0"/>
      <w:sz w:val="18"/>
      <w:szCs w:val="18"/>
    </w:rPr>
  </w:style>
  <w:style w:type="paragraph" w:customStyle="1" w:styleId="405">
    <w:name w:val="xl110"/>
    <w:basedOn w:val="1"/>
    <w:semiHidden/>
    <w:qFormat/>
    <w:uiPriority w:val="0"/>
    <w:pPr>
      <w:widowControl/>
      <w:pBdr>
        <w:top w:val="single" w:color="auto" w:sz="4" w:space="0"/>
        <w:left w:val="single" w:color="auto" w:sz="8" w:space="0"/>
        <w:bottom w:val="single" w:color="auto" w:sz="8"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kern w:val="0"/>
      <w:sz w:val="18"/>
      <w:szCs w:val="18"/>
    </w:rPr>
  </w:style>
  <w:style w:type="paragraph" w:customStyle="1" w:styleId="406">
    <w:name w:val="xl111"/>
    <w:basedOn w:val="1"/>
    <w:semiHidden/>
    <w:qFormat/>
    <w:uiPriority w:val="0"/>
    <w:pPr>
      <w:widowControl/>
      <w:pBdr>
        <w:top w:val="single" w:color="auto" w:sz="4" w:space="0"/>
        <w:left w:val="single" w:color="auto" w:sz="4" w:space="0"/>
        <w:bottom w:val="single" w:color="auto" w:sz="8" w:space="0"/>
        <w:right w:val="single" w:color="auto" w:sz="4" w:space="0"/>
      </w:pBdr>
      <w:shd w:val="clear" w:color="auto" w:fill="FFFFFF"/>
      <w:tabs>
        <w:tab w:val="clear" w:pos="480"/>
      </w:tabs>
      <w:spacing w:before="100" w:beforeAutospacing="1" w:after="100" w:afterAutospacing="1" w:line="240" w:lineRule="auto"/>
      <w:textAlignment w:val="center"/>
    </w:pPr>
    <w:rPr>
      <w:rFonts w:ascii="宋体" w:hAnsi="宋体" w:cs="宋体"/>
      <w:kern w:val="0"/>
      <w:sz w:val="21"/>
      <w:szCs w:val="21"/>
    </w:rPr>
  </w:style>
  <w:style w:type="paragraph" w:customStyle="1" w:styleId="407">
    <w:name w:val="xl112"/>
    <w:basedOn w:val="1"/>
    <w:semiHidden/>
    <w:qFormat/>
    <w:uiPriority w:val="0"/>
    <w:pPr>
      <w:widowControl/>
      <w:pBdr>
        <w:top w:val="single" w:color="auto" w:sz="4" w:space="0"/>
        <w:left w:val="single" w:color="auto" w:sz="4" w:space="0"/>
        <w:bottom w:val="single" w:color="auto" w:sz="8" w:space="0"/>
        <w:right w:val="single" w:color="auto" w:sz="4" w:space="0"/>
      </w:pBdr>
      <w:tabs>
        <w:tab w:val="clear" w:pos="480"/>
      </w:tabs>
      <w:spacing w:before="100" w:beforeAutospacing="1" w:after="100" w:afterAutospacing="1" w:line="240" w:lineRule="auto"/>
      <w:jc w:val="left"/>
      <w:textAlignment w:val="center"/>
    </w:pPr>
    <w:rPr>
      <w:rFonts w:ascii="宋体" w:hAnsi="宋体" w:cs="宋体"/>
      <w:kern w:val="0"/>
      <w:sz w:val="20"/>
      <w:szCs w:val="20"/>
    </w:rPr>
  </w:style>
  <w:style w:type="paragraph" w:customStyle="1" w:styleId="408">
    <w:name w:val="xl113"/>
    <w:basedOn w:val="1"/>
    <w:semiHidden/>
    <w:qFormat/>
    <w:uiPriority w:val="0"/>
    <w:pPr>
      <w:widowControl/>
      <w:pBdr>
        <w:top w:val="single" w:color="auto" w:sz="4" w:space="0"/>
        <w:left w:val="single" w:color="auto" w:sz="4" w:space="0"/>
        <w:bottom w:val="single" w:color="auto" w:sz="8"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color w:val="000000"/>
      <w:kern w:val="0"/>
      <w:sz w:val="20"/>
      <w:szCs w:val="20"/>
    </w:rPr>
  </w:style>
  <w:style w:type="paragraph" w:customStyle="1" w:styleId="409">
    <w:name w:val="xl114"/>
    <w:basedOn w:val="1"/>
    <w:semiHidden/>
    <w:qFormat/>
    <w:uiPriority w:val="0"/>
    <w:pPr>
      <w:widowControl/>
      <w:pBdr>
        <w:top w:val="single" w:color="auto" w:sz="4" w:space="0"/>
        <w:left w:val="single" w:color="auto" w:sz="4" w:space="0"/>
        <w:bottom w:val="single" w:color="auto" w:sz="8"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10">
    <w:name w:val="xl115"/>
    <w:basedOn w:val="1"/>
    <w:semiHidden/>
    <w:qFormat/>
    <w:uiPriority w:val="0"/>
    <w:pPr>
      <w:widowControl/>
      <w:pBdr>
        <w:top w:val="single" w:color="auto" w:sz="4" w:space="0"/>
        <w:left w:val="single" w:color="auto" w:sz="4" w:space="0"/>
        <w:bottom w:val="single" w:color="auto" w:sz="8"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11">
    <w:name w:val="xl116"/>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FF0000"/>
      <w:kern w:val="0"/>
      <w:sz w:val="18"/>
      <w:szCs w:val="18"/>
    </w:rPr>
  </w:style>
  <w:style w:type="paragraph" w:customStyle="1" w:styleId="412">
    <w:name w:val="xl117"/>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kern w:val="0"/>
      <w:sz w:val="21"/>
      <w:szCs w:val="21"/>
    </w:rPr>
  </w:style>
  <w:style w:type="paragraph" w:customStyle="1" w:styleId="413">
    <w:name w:val="xl118"/>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FF0000"/>
      <w:kern w:val="0"/>
      <w:sz w:val="20"/>
      <w:szCs w:val="20"/>
    </w:rPr>
  </w:style>
  <w:style w:type="paragraph" w:customStyle="1" w:styleId="414">
    <w:name w:val="xl119"/>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color w:val="000000"/>
      <w:kern w:val="0"/>
      <w:sz w:val="22"/>
      <w:szCs w:val="22"/>
    </w:rPr>
  </w:style>
  <w:style w:type="paragraph" w:customStyle="1" w:styleId="415">
    <w:name w:val="xl120"/>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22"/>
      <w:szCs w:val="22"/>
    </w:rPr>
  </w:style>
  <w:style w:type="paragraph" w:customStyle="1" w:styleId="416">
    <w:name w:val="xl121"/>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22"/>
      <w:szCs w:val="22"/>
    </w:rPr>
  </w:style>
  <w:style w:type="paragraph" w:customStyle="1" w:styleId="417">
    <w:name w:val="xl122"/>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textAlignment w:val="center"/>
    </w:pPr>
    <w:rPr>
      <w:rFonts w:ascii="宋体" w:hAnsi="宋体" w:cs="宋体"/>
      <w:b/>
      <w:bCs/>
      <w:kern w:val="0"/>
      <w:sz w:val="21"/>
      <w:szCs w:val="21"/>
    </w:rPr>
  </w:style>
  <w:style w:type="paragraph" w:customStyle="1" w:styleId="418">
    <w:name w:val="xl123"/>
    <w:basedOn w:val="1"/>
    <w:semiHidden/>
    <w:qFormat/>
    <w:uiPriority w:val="0"/>
    <w:pPr>
      <w:widowControl/>
      <w:pBdr>
        <w:top w:val="single" w:color="auto" w:sz="4" w:space="0"/>
        <w:left w:val="single" w:color="auto" w:sz="8"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kern w:val="0"/>
      <w:sz w:val="18"/>
      <w:szCs w:val="18"/>
    </w:rPr>
  </w:style>
  <w:style w:type="paragraph" w:customStyle="1" w:styleId="419">
    <w:name w:val="xl124"/>
    <w:basedOn w:val="1"/>
    <w:semiHidden/>
    <w:qFormat/>
    <w:uiPriority w:val="0"/>
    <w:pPr>
      <w:widowControl/>
      <w:pBdr>
        <w:top w:val="single" w:color="auto" w:sz="4" w:space="0"/>
        <w:left w:val="single" w:color="auto" w:sz="4" w:space="0"/>
        <w:right w:val="single" w:color="auto" w:sz="4" w:space="0"/>
      </w:pBdr>
      <w:shd w:val="clear" w:color="auto" w:fill="FFFFFF"/>
      <w:tabs>
        <w:tab w:val="clear" w:pos="480"/>
      </w:tabs>
      <w:spacing w:before="100" w:beforeAutospacing="1" w:after="100" w:afterAutospacing="1" w:line="240" w:lineRule="auto"/>
      <w:textAlignment w:val="center"/>
    </w:pPr>
    <w:rPr>
      <w:rFonts w:ascii="宋体" w:hAnsi="宋体" w:cs="宋体"/>
      <w:kern w:val="0"/>
      <w:sz w:val="21"/>
      <w:szCs w:val="21"/>
    </w:rPr>
  </w:style>
  <w:style w:type="paragraph" w:customStyle="1" w:styleId="420">
    <w:name w:val="xl125"/>
    <w:basedOn w:val="1"/>
    <w:semiHidden/>
    <w:qFormat/>
    <w:uiPriority w:val="0"/>
    <w:pPr>
      <w:widowControl/>
      <w:pBdr>
        <w:top w:val="single" w:color="auto" w:sz="4" w:space="0"/>
        <w:left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kern w:val="0"/>
      <w:sz w:val="21"/>
      <w:szCs w:val="21"/>
    </w:rPr>
  </w:style>
  <w:style w:type="paragraph" w:customStyle="1" w:styleId="421">
    <w:name w:val="xl126"/>
    <w:basedOn w:val="1"/>
    <w:semiHidden/>
    <w:qFormat/>
    <w:uiPriority w:val="0"/>
    <w:pPr>
      <w:widowControl/>
      <w:pBdr>
        <w:top w:val="single" w:color="auto" w:sz="4" w:space="0"/>
        <w:left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kern w:val="0"/>
      <w:sz w:val="20"/>
      <w:szCs w:val="20"/>
    </w:rPr>
  </w:style>
  <w:style w:type="paragraph" w:customStyle="1" w:styleId="422">
    <w:name w:val="xl127"/>
    <w:basedOn w:val="1"/>
    <w:semiHidden/>
    <w:qFormat/>
    <w:uiPriority w:val="0"/>
    <w:pPr>
      <w:widowControl/>
      <w:pBdr>
        <w:top w:val="single" w:color="auto" w:sz="4" w:space="0"/>
        <w:left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23">
    <w:name w:val="xl128"/>
    <w:basedOn w:val="1"/>
    <w:semiHidden/>
    <w:qFormat/>
    <w:uiPriority w:val="0"/>
    <w:pPr>
      <w:widowControl/>
      <w:pBdr>
        <w:top w:val="single" w:color="auto" w:sz="4" w:space="0"/>
        <w:left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24">
    <w:name w:val="xl129"/>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18"/>
      <w:szCs w:val="18"/>
    </w:rPr>
  </w:style>
  <w:style w:type="paragraph" w:customStyle="1" w:styleId="425">
    <w:name w:val="xl130"/>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26">
    <w:name w:val="xl131"/>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27">
    <w:name w:val="xl132"/>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28">
    <w:name w:val="xl133"/>
    <w:basedOn w:val="1"/>
    <w:semiHidden/>
    <w:qFormat/>
    <w:uiPriority w:val="0"/>
    <w:pPr>
      <w:widowControl/>
      <w:pBdr>
        <w:top w:val="single" w:color="auto" w:sz="4" w:space="0"/>
        <w:left w:val="single" w:color="auto" w:sz="8"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29">
    <w:name w:val="xl134"/>
    <w:basedOn w:val="1"/>
    <w:semiHidden/>
    <w:qFormat/>
    <w:uiPriority w:val="0"/>
    <w:pPr>
      <w:widowControl/>
      <w:pBdr>
        <w:top w:val="single" w:color="auto" w:sz="4" w:space="0"/>
        <w:left w:val="single" w:color="auto" w:sz="8"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30">
    <w:name w:val="xl135"/>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31">
    <w:name w:val="xl136"/>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kern w:val="0"/>
      <w:sz w:val="18"/>
      <w:szCs w:val="18"/>
    </w:rPr>
  </w:style>
  <w:style w:type="paragraph" w:customStyle="1" w:styleId="432">
    <w:name w:val="xl137"/>
    <w:basedOn w:val="1"/>
    <w:semiHidden/>
    <w:qFormat/>
    <w:uiPriority w:val="0"/>
    <w:pPr>
      <w:widowControl/>
      <w:pBdr>
        <w:top w:val="single" w:color="auto" w:sz="8"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33">
    <w:name w:val="xl138"/>
    <w:basedOn w:val="1"/>
    <w:semiHidden/>
    <w:qFormat/>
    <w:uiPriority w:val="0"/>
    <w:pPr>
      <w:widowControl/>
      <w:pBdr>
        <w:top w:val="single" w:color="auto" w:sz="8"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34">
    <w:name w:val="xl139"/>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35">
    <w:name w:val="xl140"/>
    <w:basedOn w:val="1"/>
    <w:semiHidden/>
    <w:qFormat/>
    <w:uiPriority w:val="0"/>
    <w:pPr>
      <w:widowControl/>
      <w:pBdr>
        <w:top w:val="single" w:color="auto" w:sz="8"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36">
    <w:name w:val="xl141"/>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37">
    <w:name w:val="报告书表格"/>
    <w:basedOn w:val="1"/>
    <w:semiHidden/>
    <w:qFormat/>
    <w:uiPriority w:val="0"/>
    <w:pPr>
      <w:tabs>
        <w:tab w:val="clear" w:pos="480"/>
      </w:tabs>
      <w:adjustRightInd w:val="0"/>
      <w:spacing w:before="60" w:after="60" w:line="240" w:lineRule="atLeast"/>
      <w:jc w:val="center"/>
      <w:textAlignment w:val="baseline"/>
    </w:pPr>
    <w:rPr>
      <w:kern w:val="0"/>
      <w:sz w:val="21"/>
      <w:szCs w:val="20"/>
    </w:rPr>
  </w:style>
  <w:style w:type="paragraph" w:customStyle="1" w:styleId="438">
    <w:name w:val="Char Char Char Char Char Char"/>
    <w:basedOn w:val="1"/>
    <w:qFormat/>
    <w:uiPriority w:val="0"/>
    <w:pPr>
      <w:tabs>
        <w:tab w:val="clear" w:pos="480"/>
      </w:tabs>
      <w:spacing w:line="240" w:lineRule="auto"/>
    </w:pPr>
    <w:rPr>
      <w:sz w:val="21"/>
    </w:rPr>
  </w:style>
  <w:style w:type="paragraph" w:customStyle="1" w:styleId="439">
    <w:name w:val="报告正文 Char"/>
    <w:basedOn w:val="1"/>
    <w:link w:val="469"/>
    <w:semiHidden/>
    <w:qFormat/>
    <w:uiPriority w:val="0"/>
    <w:pPr>
      <w:tabs>
        <w:tab w:val="clear" w:pos="480"/>
      </w:tabs>
      <w:adjustRightInd w:val="0"/>
      <w:snapToGrid w:val="0"/>
      <w:spacing w:line="312" w:lineRule="auto"/>
      <w:ind w:left="2600"/>
    </w:pPr>
    <w:rPr>
      <w:rFonts w:ascii="华文细黑" w:eastAsia="华文细黑" w:cs="宋体"/>
      <w:sz w:val="20"/>
      <w:szCs w:val="20"/>
    </w:rPr>
  </w:style>
  <w:style w:type="paragraph" w:customStyle="1" w:styleId="440">
    <w:name w:val="四号 1.5倍行距 宋体 Timenewrome"/>
    <w:basedOn w:val="1"/>
    <w:next w:val="1"/>
    <w:semiHidden/>
    <w:qFormat/>
    <w:uiPriority w:val="0"/>
    <w:pPr>
      <w:tabs>
        <w:tab w:val="clear" w:pos="480"/>
      </w:tabs>
      <w:spacing w:line="240" w:lineRule="auto"/>
    </w:pPr>
    <w:rPr>
      <w:sz w:val="21"/>
      <w:szCs w:val="21"/>
    </w:rPr>
  </w:style>
  <w:style w:type="paragraph" w:customStyle="1" w:styleId="441">
    <w:name w:val="此篇标题2"/>
    <w:semiHidden/>
    <w:qFormat/>
    <w:uiPriority w:val="0"/>
    <w:pPr>
      <w:jc w:val="center"/>
      <w:outlineLvl w:val="1"/>
    </w:pPr>
    <w:rPr>
      <w:rFonts w:ascii="仿宋_GB2312" w:hAnsi="Arial" w:eastAsia="宋体" w:cs="Times New Roman"/>
      <w:b/>
      <w:kern w:val="2"/>
      <w:sz w:val="30"/>
      <w:szCs w:val="24"/>
      <w:lang w:val="en-US" w:eastAsia="zh-CN" w:bidi="ar-SA"/>
    </w:rPr>
  </w:style>
  <w:style w:type="paragraph" w:customStyle="1" w:styleId="442">
    <w:name w:val="中文报告书样式"/>
    <w:basedOn w:val="1"/>
    <w:semiHidden/>
    <w:qFormat/>
    <w:uiPriority w:val="0"/>
    <w:pPr>
      <w:tabs>
        <w:tab w:val="clear" w:pos="480"/>
      </w:tabs>
      <w:adjustRightInd w:val="0"/>
      <w:spacing w:line="520" w:lineRule="exact"/>
      <w:ind w:firstLine="578"/>
      <w:textAlignment w:val="baseline"/>
    </w:pPr>
    <w:rPr>
      <w:kern w:val="24"/>
      <w:sz w:val="28"/>
      <w:szCs w:val="20"/>
    </w:rPr>
  </w:style>
  <w:style w:type="paragraph" w:customStyle="1" w:styleId="443">
    <w:name w:val="headin"/>
    <w:basedOn w:val="1"/>
    <w:next w:val="1"/>
    <w:semiHidden/>
    <w:qFormat/>
    <w:uiPriority w:val="0"/>
    <w:pPr>
      <w:keepNext/>
      <w:keepLines/>
      <w:tabs>
        <w:tab w:val="clear" w:pos="480"/>
      </w:tabs>
      <w:spacing w:before="260" w:after="260" w:line="416" w:lineRule="auto"/>
    </w:pPr>
    <w:rPr>
      <w:b/>
      <w:bCs/>
      <w:sz w:val="32"/>
      <w:szCs w:val="32"/>
    </w:rPr>
  </w:style>
  <w:style w:type="paragraph" w:customStyle="1" w:styleId="444">
    <w:name w:val="电镀正文"/>
    <w:basedOn w:val="20"/>
    <w:link w:val="1305"/>
    <w:semiHidden/>
    <w:qFormat/>
    <w:uiPriority w:val="0"/>
    <w:pPr>
      <w:tabs>
        <w:tab w:val="clear" w:pos="480"/>
      </w:tabs>
      <w:spacing w:line="400" w:lineRule="exact"/>
      <w:ind w:firstLine="200"/>
    </w:pPr>
  </w:style>
  <w:style w:type="character" w:customStyle="1" w:styleId="445">
    <w:name w:val="此篇标题3 Char"/>
    <w:link w:val="446"/>
    <w:semiHidden/>
    <w:qFormat/>
    <w:uiPriority w:val="0"/>
    <w:rPr>
      <w:rFonts w:ascii="仿宋_GB2312" w:hAnsi="Arial"/>
      <w:b/>
      <w:kern w:val="2"/>
      <w:sz w:val="24"/>
      <w:lang w:val="en-US" w:eastAsia="zh-CN" w:bidi="ar-SA"/>
    </w:rPr>
  </w:style>
  <w:style w:type="paragraph" w:customStyle="1" w:styleId="446">
    <w:name w:val="此篇标题3"/>
    <w:link w:val="445"/>
    <w:semiHidden/>
    <w:qFormat/>
    <w:uiPriority w:val="0"/>
    <w:pPr>
      <w:spacing w:before="120" w:after="120"/>
      <w:jc w:val="center"/>
    </w:pPr>
    <w:rPr>
      <w:rFonts w:ascii="仿宋_GB2312" w:hAnsi="Arial" w:eastAsia="宋体" w:cs="Times New Roman"/>
      <w:b/>
      <w:kern w:val="2"/>
      <w:sz w:val="24"/>
      <w:szCs w:val="24"/>
      <w:lang w:val="en-US" w:eastAsia="zh-CN" w:bidi="ar-SA"/>
    </w:rPr>
  </w:style>
  <w:style w:type="character" w:customStyle="1" w:styleId="447">
    <w:name w:val="标题 3 Char1"/>
    <w:semiHidden/>
    <w:qFormat/>
    <w:uiPriority w:val="0"/>
    <w:rPr>
      <w:rFonts w:eastAsia="仿宋_GB2312"/>
      <w:b/>
      <w:kern w:val="2"/>
      <w:sz w:val="24"/>
      <w:lang w:val="en-US" w:eastAsia="zh-CN" w:bidi="ar-SA"/>
    </w:rPr>
  </w:style>
  <w:style w:type="paragraph" w:customStyle="1" w:styleId="448">
    <w:name w:val="中气一级"/>
    <w:basedOn w:val="2"/>
    <w:next w:val="449"/>
    <w:semiHidden/>
    <w:qFormat/>
    <w:uiPriority w:val="0"/>
    <w:pPr>
      <w:numPr>
        <w:numId w:val="0"/>
      </w:numPr>
      <w:tabs>
        <w:tab w:val="clear" w:pos="480"/>
      </w:tabs>
      <w:spacing w:before="300" w:after="300" w:line="520" w:lineRule="exact"/>
      <w:jc w:val="left"/>
    </w:pPr>
    <w:rPr>
      <w:rFonts w:ascii="Times New Roman" w:eastAsia="黑体"/>
      <w:b w:val="0"/>
    </w:rPr>
  </w:style>
  <w:style w:type="paragraph" w:customStyle="1" w:styleId="449">
    <w:name w:val="中气二级"/>
    <w:basedOn w:val="261"/>
    <w:next w:val="1"/>
    <w:semiHidden/>
    <w:qFormat/>
    <w:uiPriority w:val="0"/>
    <w:pPr>
      <w:spacing w:beforeLines="50" w:afterLines="50" w:line="360" w:lineRule="auto"/>
      <w:ind w:left="1560" w:firstLine="0" w:firstLineChars="0"/>
      <w:jc w:val="left"/>
    </w:pPr>
  </w:style>
  <w:style w:type="paragraph" w:customStyle="1" w:styleId="450">
    <w:name w:val="中气三级"/>
    <w:basedOn w:val="4"/>
    <w:next w:val="1"/>
    <w:semiHidden/>
    <w:qFormat/>
    <w:uiPriority w:val="0"/>
    <w:pPr>
      <w:numPr>
        <w:ilvl w:val="0"/>
        <w:numId w:val="0"/>
      </w:numPr>
      <w:tabs>
        <w:tab w:val="left" w:pos="2760"/>
        <w:tab w:val="clear" w:pos="480"/>
        <w:tab w:val="clear" w:pos="840"/>
      </w:tabs>
      <w:adjustRightInd w:val="0"/>
      <w:spacing w:beforeLines="50" w:afterLines="50" w:line="360" w:lineRule="auto"/>
      <w:jc w:val="left"/>
      <w:textAlignment w:val="baseline"/>
    </w:pPr>
    <w:rPr>
      <w:rFonts w:ascii="Times New Roman" w:eastAsia="黑体"/>
      <w:b w:val="0"/>
      <w:bCs w:val="0"/>
      <w:snapToGrid w:val="0"/>
      <w:kern w:val="0"/>
      <w:sz w:val="24"/>
      <w:szCs w:val="20"/>
    </w:rPr>
  </w:style>
  <w:style w:type="paragraph" w:customStyle="1" w:styleId="451">
    <w:name w:val="中气表头"/>
    <w:basedOn w:val="1"/>
    <w:link w:val="452"/>
    <w:semiHidden/>
    <w:qFormat/>
    <w:uiPriority w:val="0"/>
    <w:pPr>
      <w:tabs>
        <w:tab w:val="clear" w:pos="480"/>
      </w:tabs>
      <w:spacing w:line="240" w:lineRule="auto"/>
      <w:jc w:val="center"/>
    </w:pPr>
    <w:rPr>
      <w:rFonts w:eastAsia="黑体"/>
      <w:b/>
      <w:sz w:val="21"/>
      <w:szCs w:val="21"/>
    </w:rPr>
  </w:style>
  <w:style w:type="character" w:customStyle="1" w:styleId="452">
    <w:name w:val="中气表头 Char"/>
    <w:link w:val="451"/>
    <w:qFormat/>
    <w:uiPriority w:val="0"/>
    <w:rPr>
      <w:rFonts w:eastAsia="黑体"/>
      <w:b/>
      <w:kern w:val="2"/>
      <w:sz w:val="21"/>
      <w:szCs w:val="21"/>
      <w:lang w:val="en-US" w:eastAsia="zh-CN" w:bidi="ar-SA"/>
    </w:rPr>
  </w:style>
  <w:style w:type="paragraph" w:customStyle="1" w:styleId="453">
    <w:name w:val="Char Char1 Char Char Char Char Char Char Char"/>
    <w:basedOn w:val="1"/>
    <w:semiHidden/>
    <w:qFormat/>
    <w:uiPriority w:val="0"/>
    <w:pPr>
      <w:tabs>
        <w:tab w:val="clear" w:pos="480"/>
      </w:tabs>
      <w:spacing w:line="240" w:lineRule="auto"/>
    </w:pPr>
    <w:rPr>
      <w:sz w:val="21"/>
    </w:rPr>
  </w:style>
  <w:style w:type="character" w:customStyle="1" w:styleId="454">
    <w:name w:val="articlebody3"/>
    <w:semiHidden/>
    <w:qFormat/>
    <w:uiPriority w:val="0"/>
    <w:rPr>
      <w:sz w:val="21"/>
      <w:szCs w:val="21"/>
    </w:rPr>
  </w:style>
  <w:style w:type="paragraph" w:customStyle="1" w:styleId="455">
    <w:name w:val="正文自己"/>
    <w:basedOn w:val="45"/>
    <w:link w:val="456"/>
    <w:semiHidden/>
    <w:qFormat/>
    <w:uiPriority w:val="0"/>
    <w:pPr>
      <w:spacing w:line="500" w:lineRule="exact"/>
      <w:ind w:firstLine="488"/>
    </w:pPr>
    <w:rPr>
      <w:rFonts w:ascii="Times New Roman" w:hAnsi="Times New Roman"/>
      <w:spacing w:val="2"/>
      <w:sz w:val="24"/>
      <w:szCs w:val="24"/>
    </w:rPr>
  </w:style>
  <w:style w:type="character" w:customStyle="1" w:styleId="456">
    <w:name w:val="正文自己 Char"/>
    <w:link w:val="455"/>
    <w:qFormat/>
    <w:uiPriority w:val="0"/>
    <w:rPr>
      <w:rFonts w:eastAsia="宋体"/>
      <w:spacing w:val="2"/>
      <w:kern w:val="2"/>
      <w:sz w:val="24"/>
      <w:szCs w:val="24"/>
      <w:lang w:val="en-US" w:eastAsia="zh-CN" w:bidi="ar-SA"/>
    </w:rPr>
  </w:style>
  <w:style w:type="paragraph" w:customStyle="1" w:styleId="457">
    <w:name w:val="ZX 2标题"/>
    <w:basedOn w:val="3"/>
    <w:link w:val="1749"/>
    <w:qFormat/>
    <w:uiPriority w:val="0"/>
    <w:pPr>
      <w:spacing w:before="0" w:after="0"/>
    </w:pPr>
    <w:rPr>
      <w:rFonts w:ascii="宋体" w:cs="宋体"/>
      <w:szCs w:val="20"/>
    </w:rPr>
  </w:style>
  <w:style w:type="paragraph" w:customStyle="1" w:styleId="458">
    <w:name w:val="ZX 3标题"/>
    <w:basedOn w:val="4"/>
    <w:link w:val="482"/>
    <w:qFormat/>
    <w:uiPriority w:val="0"/>
    <w:pPr>
      <w:keepNext w:val="0"/>
      <w:spacing w:before="0" w:after="0" w:line="360" w:lineRule="auto"/>
    </w:pPr>
    <w:rPr>
      <w:rFonts w:ascii="Times New Roman" w:eastAsia="宋体"/>
      <w:color w:val="000000"/>
      <w:kern w:val="18"/>
      <w:szCs w:val="30"/>
    </w:rPr>
  </w:style>
  <w:style w:type="paragraph" w:customStyle="1" w:styleId="459">
    <w:name w:val="样式 标题 3标题 3 CharReHead 3 WSAh3H3B Head条标题1.1.1Section头...1"/>
    <w:basedOn w:val="4"/>
    <w:semiHidden/>
    <w:qFormat/>
    <w:uiPriority w:val="0"/>
    <w:pPr>
      <w:spacing w:before="60" w:after="60" w:line="360" w:lineRule="auto"/>
    </w:pPr>
    <w:rPr>
      <w:rFonts w:ascii="宋体" w:hAnsi="宋体" w:eastAsia="宋体" w:cs="宋体"/>
      <w:szCs w:val="20"/>
    </w:rPr>
  </w:style>
  <w:style w:type="paragraph" w:customStyle="1" w:styleId="460">
    <w:name w:val="ZX 4标题"/>
    <w:basedOn w:val="5"/>
    <w:qFormat/>
    <w:uiPriority w:val="0"/>
    <w:pPr>
      <w:keepNext w:val="0"/>
      <w:widowControl/>
      <w:tabs>
        <w:tab w:val="clear" w:pos="480"/>
      </w:tabs>
      <w:spacing w:before="0" w:after="0"/>
    </w:pPr>
    <w:rPr>
      <w:rFonts w:ascii="Times New Roman" w:hAnsi="Times New Roman" w:eastAsia="宋体"/>
      <w:sz w:val="24"/>
      <w:szCs w:val="20"/>
    </w:rPr>
  </w:style>
  <w:style w:type="paragraph" w:customStyle="1" w:styleId="461">
    <w:name w:val="ZX 1 标题"/>
    <w:basedOn w:val="2"/>
    <w:qFormat/>
    <w:uiPriority w:val="0"/>
    <w:pPr>
      <w:spacing w:before="120" w:after="120"/>
      <w:ind w:firstLine="0" w:firstLineChars="0"/>
      <w:jc w:val="center"/>
    </w:pPr>
    <w:rPr>
      <w:rFonts w:ascii="宋体" w:hAnsi="宋体" w:eastAsia="宋体" w:cs="宋体"/>
      <w:szCs w:val="20"/>
    </w:rPr>
  </w:style>
  <w:style w:type="paragraph" w:customStyle="1" w:styleId="462">
    <w:name w:val="TT正文"/>
    <w:basedOn w:val="1"/>
    <w:link w:val="463"/>
    <w:qFormat/>
    <w:uiPriority w:val="0"/>
    <w:pPr>
      <w:tabs>
        <w:tab w:val="clear" w:pos="480"/>
      </w:tabs>
    </w:pPr>
    <w:rPr>
      <w:rFonts w:cs="宋体"/>
      <w:color w:val="000000"/>
      <w:szCs w:val="20"/>
    </w:rPr>
  </w:style>
  <w:style w:type="character" w:customStyle="1" w:styleId="463">
    <w:name w:val="TT正文 Char"/>
    <w:link w:val="462"/>
    <w:qFormat/>
    <w:uiPriority w:val="0"/>
    <w:rPr>
      <w:rFonts w:eastAsia="宋体" w:cs="宋体"/>
      <w:color w:val="000000"/>
      <w:kern w:val="2"/>
      <w:sz w:val="24"/>
      <w:lang w:val="en-US" w:eastAsia="zh-CN" w:bidi="ar-SA"/>
    </w:rPr>
  </w:style>
  <w:style w:type="character" w:customStyle="1" w:styleId="464">
    <w:name w:val="reflink plainlinks nourlexpansion"/>
    <w:basedOn w:val="133"/>
    <w:semiHidden/>
    <w:qFormat/>
    <w:uiPriority w:val="0"/>
  </w:style>
  <w:style w:type="paragraph" w:customStyle="1" w:styleId="465">
    <w:name w:val="样式 首行缩进:  2 字符"/>
    <w:basedOn w:val="1"/>
    <w:link w:val="477"/>
    <w:semiHidden/>
    <w:qFormat/>
    <w:uiPriority w:val="0"/>
    <w:pPr>
      <w:tabs>
        <w:tab w:val="clear" w:pos="480"/>
      </w:tabs>
      <w:ind w:firstLine="480"/>
    </w:pPr>
    <w:rPr>
      <w:rFonts w:cs="宋体"/>
      <w:szCs w:val="20"/>
    </w:rPr>
  </w:style>
  <w:style w:type="paragraph" w:customStyle="1" w:styleId="466">
    <w:name w:val="样式 小四 首行缩进:  0.85 厘米 行距: 1.5 倍行距"/>
    <w:basedOn w:val="1"/>
    <w:link w:val="1750"/>
    <w:qFormat/>
    <w:uiPriority w:val="0"/>
    <w:pPr>
      <w:tabs>
        <w:tab w:val="clear" w:pos="480"/>
      </w:tabs>
      <w:adjustRightInd w:val="0"/>
      <w:ind w:firstLine="480"/>
      <w:textAlignment w:val="baseline"/>
    </w:pPr>
    <w:rPr>
      <w:rFonts w:ascii="黑体" w:hAnsi="Arial" w:cs="宋体"/>
      <w:bCs/>
    </w:rPr>
  </w:style>
  <w:style w:type="character" w:customStyle="1" w:styleId="467">
    <w:name w:val="表格 Char"/>
    <w:link w:val="165"/>
    <w:qFormat/>
    <w:uiPriority w:val="0"/>
    <w:rPr>
      <w:rFonts w:eastAsia="楷体_GB2312"/>
      <w:kern w:val="2"/>
      <w:sz w:val="24"/>
      <w:lang w:val="en-US" w:eastAsia="zh-CN" w:bidi="ar-SA"/>
    </w:rPr>
  </w:style>
  <w:style w:type="table" w:customStyle="1" w:styleId="468">
    <w:name w:val="网格型1"/>
    <w:basedOn w:val="88"/>
    <w:qFormat/>
    <w:uiPriority w:val="59"/>
    <w:pPr>
      <w:widowControl w:val="0"/>
    </w:pPr>
    <w:rPr>
      <w:snapToGrid w:val="0"/>
    </w:rPr>
    <w:tblPr>
      <w:jc w:val="center"/>
      <w:tblBorders>
        <w:top w:val="single" w:color="auto" w:sz="18" w:space="0"/>
        <w:bottom w:val="single" w:color="auto" w:sz="18" w:space="0"/>
        <w:insideH w:val="single" w:color="auto" w:sz="4" w:space="0"/>
        <w:insideV w:val="single" w:color="auto" w:sz="4" w:space="0"/>
      </w:tblBorders>
    </w:tblPr>
    <w:trPr>
      <w:jc w:val="center"/>
    </w:trPr>
    <w:tcPr>
      <w:vAlign w:val="center"/>
    </w:tcPr>
  </w:style>
  <w:style w:type="character" w:customStyle="1" w:styleId="469">
    <w:name w:val="报告正文 Char Char"/>
    <w:link w:val="439"/>
    <w:qFormat/>
    <w:uiPriority w:val="0"/>
    <w:rPr>
      <w:rFonts w:ascii="华文细黑" w:eastAsia="华文细黑" w:cs="宋体"/>
      <w:kern w:val="2"/>
      <w:lang w:val="en-US" w:eastAsia="zh-CN" w:bidi="ar-SA"/>
    </w:rPr>
  </w:style>
  <w:style w:type="paragraph" w:customStyle="1" w:styleId="470">
    <w:name w:val="正文4"/>
    <w:basedOn w:val="1"/>
    <w:link w:val="476"/>
    <w:semiHidden/>
    <w:qFormat/>
    <w:uiPriority w:val="0"/>
    <w:rPr>
      <w:rFonts w:cs="宋体"/>
      <w:szCs w:val="20"/>
    </w:rPr>
  </w:style>
  <w:style w:type="character" w:customStyle="1" w:styleId="471">
    <w:name w:val="表格文字01 Char"/>
    <w:link w:val="472"/>
    <w:qFormat/>
    <w:uiPriority w:val="0"/>
    <w:rPr>
      <w:rFonts w:eastAsia="宋体"/>
      <w:snapToGrid w:val="0"/>
      <w:color w:val="000000"/>
      <w:kern w:val="2"/>
      <w:sz w:val="21"/>
      <w:lang w:val="en-US" w:eastAsia="zh-CN" w:bidi="ar-SA"/>
    </w:rPr>
  </w:style>
  <w:style w:type="paragraph" w:customStyle="1" w:styleId="472">
    <w:name w:val="表格文字01"/>
    <w:basedOn w:val="1"/>
    <w:link w:val="471"/>
    <w:qFormat/>
    <w:uiPriority w:val="0"/>
    <w:pPr>
      <w:tabs>
        <w:tab w:val="clear" w:pos="480"/>
      </w:tabs>
      <w:wordWrap w:val="0"/>
      <w:overflowPunct w:val="0"/>
      <w:topLinePunct/>
      <w:spacing w:line="240" w:lineRule="auto"/>
      <w:jc w:val="center"/>
    </w:pPr>
    <w:rPr>
      <w:snapToGrid w:val="0"/>
      <w:color w:val="000000"/>
      <w:sz w:val="21"/>
      <w:szCs w:val="20"/>
    </w:rPr>
  </w:style>
  <w:style w:type="paragraph" w:customStyle="1" w:styleId="473">
    <w:name w:val="样式 标题 3 + 左侧:  0.49 厘米 首行缩进:  0 厘米"/>
    <w:basedOn w:val="4"/>
    <w:qFormat/>
    <w:uiPriority w:val="0"/>
    <w:pPr>
      <w:numPr>
        <w:numId w:val="10"/>
      </w:numPr>
      <w:tabs>
        <w:tab w:val="left" w:pos="711"/>
        <w:tab w:val="left" w:pos="999"/>
        <w:tab w:val="clear" w:pos="480"/>
        <w:tab w:val="clear" w:pos="840"/>
      </w:tabs>
      <w:spacing w:before="260"/>
    </w:pPr>
    <w:rPr>
      <w:rFonts w:ascii="Times New Roman" w:eastAsia="宋体" w:cs="宋体"/>
      <w:sz w:val="32"/>
      <w:szCs w:val="20"/>
    </w:rPr>
  </w:style>
  <w:style w:type="character" w:customStyle="1" w:styleId="474">
    <w:name w:val="表格文字 Char1"/>
    <w:qFormat/>
    <w:uiPriority w:val="0"/>
    <w:rPr>
      <w:rFonts w:hAnsi="宋体" w:eastAsia="宋体" w:cs="Arial"/>
      <w:bCs/>
      <w:snapToGrid w:val="0"/>
      <w:color w:val="000000"/>
      <w:sz w:val="21"/>
      <w:szCs w:val="21"/>
      <w:lang w:val="eu-ES" w:eastAsia="zh-CN" w:bidi="ar-SA"/>
    </w:rPr>
  </w:style>
  <w:style w:type="paragraph" w:customStyle="1" w:styleId="475">
    <w:name w:val="样式 (西文) 宋体 (中文) 宋体 左 段前: 5 磅 段后: 5 磅 行距: 单倍行距"/>
    <w:basedOn w:val="1"/>
    <w:semiHidden/>
    <w:qFormat/>
    <w:uiPriority w:val="0"/>
    <w:pPr>
      <w:tabs>
        <w:tab w:val="clear" w:pos="480"/>
      </w:tabs>
      <w:spacing w:line="240" w:lineRule="auto"/>
      <w:jc w:val="left"/>
    </w:pPr>
    <w:rPr>
      <w:rFonts w:cs="宋体"/>
      <w:kern w:val="0"/>
      <w:sz w:val="21"/>
      <w:szCs w:val="20"/>
    </w:rPr>
  </w:style>
  <w:style w:type="character" w:customStyle="1" w:styleId="476">
    <w:name w:val="正文4 Char"/>
    <w:link w:val="470"/>
    <w:qFormat/>
    <w:uiPriority w:val="0"/>
    <w:rPr>
      <w:rFonts w:eastAsia="宋体" w:cs="宋体"/>
      <w:kern w:val="2"/>
      <w:sz w:val="24"/>
      <w:lang w:val="en-US" w:eastAsia="zh-CN" w:bidi="ar-SA"/>
    </w:rPr>
  </w:style>
  <w:style w:type="character" w:customStyle="1" w:styleId="477">
    <w:name w:val="样式 首行缩进:  2 字符 Char"/>
    <w:link w:val="465"/>
    <w:qFormat/>
    <w:uiPriority w:val="0"/>
    <w:rPr>
      <w:rFonts w:eastAsia="宋体" w:cs="宋体"/>
      <w:kern w:val="2"/>
      <w:sz w:val="24"/>
      <w:lang w:val="en-US" w:eastAsia="zh-CN" w:bidi="ar-SA"/>
    </w:rPr>
  </w:style>
  <w:style w:type="character" w:customStyle="1" w:styleId="478">
    <w:name w:val="hangju"/>
    <w:basedOn w:val="133"/>
    <w:semiHidden/>
    <w:qFormat/>
    <w:uiPriority w:val="0"/>
  </w:style>
  <w:style w:type="paragraph" w:customStyle="1" w:styleId="479">
    <w:name w:val="大号TT"/>
    <w:basedOn w:val="1"/>
    <w:qFormat/>
    <w:uiPriority w:val="0"/>
    <w:pPr>
      <w:ind w:firstLine="562"/>
      <w:jc w:val="center"/>
    </w:pPr>
    <w:rPr>
      <w:rFonts w:cs="宋体"/>
      <w:b/>
      <w:bCs/>
      <w:sz w:val="28"/>
      <w:szCs w:val="20"/>
    </w:rPr>
  </w:style>
  <w:style w:type="character" w:customStyle="1" w:styleId="480">
    <w:name w:val="content"/>
    <w:basedOn w:val="133"/>
    <w:semiHidden/>
    <w:qFormat/>
    <w:uiPriority w:val="0"/>
  </w:style>
  <w:style w:type="paragraph" w:customStyle="1" w:styleId="481">
    <w:name w:val="中气正文"/>
    <w:basedOn w:val="1"/>
    <w:link w:val="2459"/>
    <w:semiHidden/>
    <w:qFormat/>
    <w:uiPriority w:val="0"/>
    <w:pPr>
      <w:tabs>
        <w:tab w:val="clear" w:pos="480"/>
      </w:tabs>
      <w:ind w:firstLine="480"/>
    </w:pPr>
  </w:style>
  <w:style w:type="character" w:customStyle="1" w:styleId="482">
    <w:name w:val="ZX 3标题 Char"/>
    <w:link w:val="458"/>
    <w:qFormat/>
    <w:uiPriority w:val="0"/>
    <w:rPr>
      <w:b/>
      <w:bCs/>
      <w:color w:val="000000"/>
      <w:kern w:val="18"/>
      <w:sz w:val="30"/>
      <w:szCs w:val="30"/>
      <w:lang w:val="zh-CN"/>
    </w:rPr>
  </w:style>
  <w:style w:type="character" w:customStyle="1" w:styleId="483">
    <w:name w:val="标题 3 Char"/>
    <w:link w:val="4"/>
    <w:qFormat/>
    <w:uiPriority w:val="9"/>
    <w:rPr>
      <w:rFonts w:ascii="仿宋_GB2312" w:eastAsia="仿宋_GB2312"/>
      <w:b/>
      <w:bCs/>
      <w:kern w:val="2"/>
      <w:sz w:val="30"/>
      <w:szCs w:val="32"/>
      <w:lang w:val="zh-CN"/>
    </w:rPr>
  </w:style>
  <w:style w:type="character" w:customStyle="1" w:styleId="484">
    <w:name w:val="标题 5 Char"/>
    <w:link w:val="6"/>
    <w:qFormat/>
    <w:uiPriority w:val="9"/>
    <w:rPr>
      <w:rFonts w:ascii="宋体" w:hAnsi="Impact" w:eastAsia="楷体_GB2312"/>
      <w:b/>
      <w:kern w:val="2"/>
      <w:sz w:val="24"/>
      <w:lang w:val="zh-CN"/>
    </w:rPr>
  </w:style>
  <w:style w:type="character" w:customStyle="1" w:styleId="485">
    <w:name w:val="标题 6 Char"/>
    <w:link w:val="7"/>
    <w:qFormat/>
    <w:uiPriority w:val="0"/>
    <w:rPr>
      <w:rFonts w:ascii="Arial" w:hAnsi="Arial" w:eastAsia="楷体_GB2312"/>
      <w:b/>
      <w:kern w:val="24"/>
      <w:sz w:val="24"/>
      <w:lang w:val="zh-CN"/>
    </w:rPr>
  </w:style>
  <w:style w:type="character" w:customStyle="1" w:styleId="486">
    <w:name w:val="标题 7 Char"/>
    <w:link w:val="8"/>
    <w:qFormat/>
    <w:uiPriority w:val="0"/>
    <w:rPr>
      <w:rFonts w:ascii="宋体" w:hAnsi="Impact" w:eastAsia="楷体_GB2312"/>
      <w:b/>
      <w:kern w:val="24"/>
      <w:sz w:val="24"/>
      <w:lang w:val="zh-CN"/>
    </w:rPr>
  </w:style>
  <w:style w:type="character" w:customStyle="1" w:styleId="487">
    <w:name w:val="标题 8 Char1"/>
    <w:link w:val="9"/>
    <w:qFormat/>
    <w:uiPriority w:val="0"/>
    <w:rPr>
      <w:rFonts w:ascii="Arial" w:hAnsi="Arial" w:eastAsia="黑体"/>
      <w:kern w:val="24"/>
      <w:sz w:val="24"/>
      <w:lang w:val="zh-CN"/>
    </w:rPr>
  </w:style>
  <w:style w:type="character" w:customStyle="1" w:styleId="488">
    <w:name w:val="标题 9 Char"/>
    <w:link w:val="10"/>
    <w:qFormat/>
    <w:uiPriority w:val="0"/>
    <w:rPr>
      <w:rFonts w:ascii="Arial" w:hAnsi="Arial" w:eastAsia="黑体"/>
      <w:kern w:val="24"/>
      <w:sz w:val="28"/>
      <w:lang w:val="zh-CN"/>
    </w:rPr>
  </w:style>
  <w:style w:type="character" w:customStyle="1" w:styleId="489">
    <w:name w:val="文档结构图 Char"/>
    <w:link w:val="25"/>
    <w:qFormat/>
    <w:uiPriority w:val="0"/>
    <w:rPr>
      <w:rFonts w:eastAsia="宋体"/>
      <w:kern w:val="2"/>
      <w:sz w:val="21"/>
      <w:szCs w:val="24"/>
      <w:lang w:val="en-US" w:eastAsia="zh-CN" w:bidi="ar-SA"/>
    </w:rPr>
  </w:style>
  <w:style w:type="paragraph" w:customStyle="1" w:styleId="490">
    <w:name w:val="字元 字元 Char Char 字元 字元1"/>
    <w:basedOn w:val="1"/>
    <w:semiHidden/>
    <w:qFormat/>
    <w:uiPriority w:val="0"/>
    <w:pPr>
      <w:tabs>
        <w:tab w:val="clear" w:pos="480"/>
      </w:tabs>
      <w:spacing w:line="240" w:lineRule="auto"/>
    </w:pPr>
  </w:style>
  <w:style w:type="character" w:customStyle="1" w:styleId="491">
    <w:name w:val="批注框文本 Char2"/>
    <w:link w:val="54"/>
    <w:qFormat/>
    <w:uiPriority w:val="0"/>
    <w:rPr>
      <w:rFonts w:eastAsia="宋体"/>
      <w:kern w:val="2"/>
      <w:sz w:val="18"/>
      <w:szCs w:val="18"/>
      <w:lang w:val="en-US" w:eastAsia="zh-CN" w:bidi="ar-SA"/>
    </w:rPr>
  </w:style>
  <w:style w:type="character" w:customStyle="1" w:styleId="492">
    <w:name w:val="页脚 Char"/>
    <w:link w:val="55"/>
    <w:qFormat/>
    <w:uiPriority w:val="0"/>
    <w:rPr>
      <w:rFonts w:eastAsia="宋体"/>
      <w:kern w:val="2"/>
      <w:sz w:val="18"/>
      <w:szCs w:val="18"/>
      <w:lang w:val="en-US" w:eastAsia="zh-CN" w:bidi="ar-SA"/>
    </w:rPr>
  </w:style>
  <w:style w:type="character" w:customStyle="1" w:styleId="493">
    <w:name w:val="正文文本缩进 3 Char"/>
    <w:link w:val="70"/>
    <w:qFormat/>
    <w:uiPriority w:val="0"/>
    <w:rPr>
      <w:rFonts w:eastAsia="宋体"/>
      <w:kern w:val="2"/>
      <w:sz w:val="24"/>
      <w:szCs w:val="24"/>
      <w:lang w:val="en-US" w:eastAsia="zh-CN" w:bidi="ar-SA"/>
    </w:rPr>
  </w:style>
  <w:style w:type="paragraph" w:customStyle="1" w:styleId="494">
    <w:name w:val="样式3"/>
    <w:basedOn w:val="1"/>
    <w:qFormat/>
    <w:uiPriority w:val="0"/>
    <w:pPr>
      <w:tabs>
        <w:tab w:val="clear" w:pos="480"/>
      </w:tabs>
      <w:autoSpaceDE w:val="0"/>
      <w:autoSpaceDN w:val="0"/>
      <w:adjustRightInd w:val="0"/>
      <w:snapToGrid w:val="0"/>
      <w:spacing w:line="500" w:lineRule="atLeast"/>
      <w:jc w:val="left"/>
      <w:outlineLvl w:val="1"/>
    </w:pPr>
    <w:rPr>
      <w:rFonts w:eastAsia="楷体_GB2312"/>
      <w:b/>
      <w:kern w:val="0"/>
      <w:sz w:val="28"/>
      <w:szCs w:val="20"/>
    </w:rPr>
  </w:style>
  <w:style w:type="paragraph" w:customStyle="1" w:styleId="495">
    <w:name w:val="居中正文"/>
    <w:basedOn w:val="86"/>
    <w:qFormat/>
    <w:uiPriority w:val="0"/>
    <w:pPr>
      <w:adjustRightInd w:val="0"/>
      <w:spacing w:before="120" w:after="0" w:line="360" w:lineRule="auto"/>
      <w:ind w:firstLine="0" w:firstLineChars="0"/>
      <w:jc w:val="center"/>
      <w:textAlignment w:val="baseline"/>
    </w:pPr>
    <w:rPr>
      <w:rFonts w:ascii="宋体"/>
      <w:kern w:val="28"/>
      <w:sz w:val="24"/>
      <w:szCs w:val="20"/>
    </w:rPr>
  </w:style>
  <w:style w:type="character" w:customStyle="1" w:styleId="496">
    <w:name w:val="正文文字 Char Char Char Char Char Char Char Char"/>
    <w:qFormat/>
    <w:uiPriority w:val="0"/>
    <w:rPr>
      <w:rFonts w:eastAsia="宋体"/>
      <w:kern w:val="2"/>
      <w:sz w:val="21"/>
      <w:szCs w:val="24"/>
      <w:lang w:val="en-US" w:eastAsia="zh-CN" w:bidi="ar-SA"/>
    </w:rPr>
  </w:style>
  <w:style w:type="character" w:customStyle="1" w:styleId="497">
    <w:name w:val="正文首行缩进 Char1"/>
    <w:link w:val="86"/>
    <w:qFormat/>
    <w:uiPriority w:val="0"/>
    <w:rPr>
      <w:rFonts w:eastAsia="宋体"/>
      <w:kern w:val="2"/>
      <w:sz w:val="21"/>
      <w:szCs w:val="24"/>
      <w:lang w:val="en-US" w:eastAsia="zh-CN" w:bidi="ar-SA"/>
    </w:rPr>
  </w:style>
  <w:style w:type="character" w:customStyle="1" w:styleId="498">
    <w:name w:val="zw_9_b2"/>
    <w:basedOn w:val="133"/>
    <w:semiHidden/>
    <w:qFormat/>
    <w:uiPriority w:val="0"/>
  </w:style>
  <w:style w:type="character" w:customStyle="1" w:styleId="499">
    <w:name w:val="正文文本缩进 2 Char2"/>
    <w:link w:val="51"/>
    <w:qFormat/>
    <w:uiPriority w:val="0"/>
    <w:rPr>
      <w:rFonts w:eastAsia="宋体"/>
      <w:spacing w:val="-18"/>
      <w:kern w:val="11"/>
      <w:sz w:val="30"/>
      <w:szCs w:val="24"/>
      <w:lang w:val="en-US" w:eastAsia="zh-CN" w:bidi="ar-SA"/>
    </w:rPr>
  </w:style>
  <w:style w:type="character" w:customStyle="1" w:styleId="500">
    <w:name w:val="页眉 Char"/>
    <w:link w:val="57"/>
    <w:qFormat/>
    <w:uiPriority w:val="99"/>
    <w:rPr>
      <w:rFonts w:eastAsia="宋体"/>
      <w:kern w:val="2"/>
      <w:sz w:val="18"/>
      <w:szCs w:val="18"/>
      <w:lang w:val="en-US" w:eastAsia="zh-CN" w:bidi="ar-SA"/>
    </w:rPr>
  </w:style>
  <w:style w:type="character" w:customStyle="1" w:styleId="501">
    <w:name w:val="特点标题 Char"/>
    <w:semiHidden/>
    <w:qFormat/>
    <w:uiPriority w:val="0"/>
    <w:rPr>
      <w:rFonts w:ascii="宋体" w:eastAsia="宋体"/>
      <w:sz w:val="24"/>
      <w:lang w:val="en-US" w:eastAsia="zh-CN" w:bidi="ar-SA"/>
    </w:rPr>
  </w:style>
  <w:style w:type="character" w:customStyle="1" w:styleId="502">
    <w:name w:val="Char Char6"/>
    <w:qFormat/>
    <w:uiPriority w:val="0"/>
    <w:rPr>
      <w:rFonts w:eastAsia="宋体"/>
      <w:sz w:val="24"/>
      <w:lang w:val="en-US" w:eastAsia="zh-CN" w:bidi="ar-SA"/>
    </w:rPr>
  </w:style>
  <w:style w:type="character" w:customStyle="1" w:styleId="503">
    <w:name w:val="正文文本 2 Char2"/>
    <w:link w:val="76"/>
    <w:qFormat/>
    <w:uiPriority w:val="0"/>
    <w:rPr>
      <w:rFonts w:eastAsia="宋体"/>
      <w:color w:val="000000"/>
      <w:kern w:val="2"/>
      <w:sz w:val="24"/>
      <w:lang w:val="en-US" w:eastAsia="zh-CN" w:bidi="ar-SA"/>
    </w:rPr>
  </w:style>
  <w:style w:type="paragraph" w:customStyle="1" w:styleId="504">
    <w:name w:val="myformat_content Char"/>
    <w:basedOn w:val="1"/>
    <w:semiHidden/>
    <w:qFormat/>
    <w:uiPriority w:val="0"/>
    <w:pPr>
      <w:tabs>
        <w:tab w:val="clear" w:pos="480"/>
      </w:tabs>
      <w:spacing w:beforeLines="50" w:afterLines="50" w:line="360" w:lineRule="exact"/>
      <w:ind w:firstLine="480"/>
    </w:pPr>
    <w:rPr>
      <w:szCs w:val="20"/>
    </w:rPr>
  </w:style>
  <w:style w:type="paragraph" w:customStyle="1" w:styleId="505">
    <w:name w:val="表内5S"/>
    <w:basedOn w:val="1"/>
    <w:semiHidden/>
    <w:qFormat/>
    <w:uiPriority w:val="0"/>
    <w:pPr>
      <w:tabs>
        <w:tab w:val="clear" w:pos="480"/>
      </w:tabs>
      <w:spacing w:line="300" w:lineRule="atLeast"/>
      <w:jc w:val="center"/>
    </w:pPr>
    <w:rPr>
      <w:rFonts w:eastAsia="方正宋三简体"/>
      <w:sz w:val="21"/>
      <w:szCs w:val="20"/>
    </w:rPr>
  </w:style>
  <w:style w:type="paragraph" w:customStyle="1" w:styleId="506">
    <w:name w:val="样式 标题 3 + 华文中宋 小三 段前: 6 磅 段后: 6 磅 行距: 多倍行距 1.4 字行"/>
    <w:basedOn w:val="4"/>
    <w:link w:val="507"/>
    <w:semiHidden/>
    <w:qFormat/>
    <w:uiPriority w:val="0"/>
    <w:pPr>
      <w:keepLines w:val="0"/>
      <w:tabs>
        <w:tab w:val="left" w:pos="42"/>
        <w:tab w:val="left" w:pos="861"/>
        <w:tab w:val="clear" w:pos="480"/>
        <w:tab w:val="clear" w:pos="840"/>
      </w:tabs>
      <w:spacing w:beforeLines="50" w:afterLines="50" w:line="360" w:lineRule="auto"/>
      <w:ind w:left="693" w:hanging="720"/>
      <w:jc w:val="left"/>
    </w:pPr>
    <w:rPr>
      <w:rFonts w:ascii="华文中宋" w:hAnsi="华文中宋" w:eastAsia="华文中宋"/>
      <w:bCs w:val="0"/>
      <w:color w:val="000000"/>
      <w:szCs w:val="30"/>
    </w:rPr>
  </w:style>
  <w:style w:type="character" w:customStyle="1" w:styleId="507">
    <w:name w:val="样式 标题 3 + 华文中宋 小三 段前: 6 磅 段后: 6 磅 行距: 多倍行距 1.4 字行 Char1"/>
    <w:link w:val="506"/>
    <w:semiHidden/>
    <w:qFormat/>
    <w:uiPriority w:val="0"/>
    <w:rPr>
      <w:rFonts w:ascii="华文中宋" w:hAnsi="华文中宋" w:eastAsia="华文中宋"/>
      <w:b/>
      <w:color w:val="000000"/>
      <w:kern w:val="2"/>
      <w:sz w:val="30"/>
      <w:szCs w:val="30"/>
      <w:lang w:val="zh-CN"/>
    </w:rPr>
  </w:style>
  <w:style w:type="paragraph" w:customStyle="1" w:styleId="508">
    <w:name w:val="自制表格1"/>
    <w:basedOn w:val="1"/>
    <w:next w:val="1"/>
    <w:semiHidden/>
    <w:qFormat/>
    <w:uiPriority w:val="0"/>
    <w:pPr>
      <w:tabs>
        <w:tab w:val="clear" w:pos="480"/>
      </w:tabs>
      <w:adjustRightInd w:val="0"/>
      <w:snapToGrid w:val="0"/>
      <w:spacing w:line="240" w:lineRule="auto"/>
      <w:jc w:val="center"/>
    </w:pPr>
    <w:rPr>
      <w:sz w:val="21"/>
    </w:rPr>
  </w:style>
  <w:style w:type="paragraph" w:customStyle="1" w:styleId="509">
    <w:name w:val="样式1."/>
    <w:basedOn w:val="1"/>
    <w:semiHidden/>
    <w:qFormat/>
    <w:uiPriority w:val="0"/>
    <w:pPr>
      <w:tabs>
        <w:tab w:val="clear" w:pos="480"/>
      </w:tabs>
      <w:adjustRightInd w:val="0"/>
      <w:snapToGrid w:val="0"/>
      <w:spacing w:line="460" w:lineRule="exact"/>
    </w:pPr>
    <w:rPr>
      <w:rFonts w:eastAsia="黑体"/>
      <w:b/>
      <w:sz w:val="32"/>
      <w:szCs w:val="20"/>
    </w:rPr>
  </w:style>
  <w:style w:type="paragraph" w:customStyle="1" w:styleId="510">
    <w:name w:val="自制正文1"/>
    <w:basedOn w:val="1"/>
    <w:next w:val="1"/>
    <w:semiHidden/>
    <w:qFormat/>
    <w:uiPriority w:val="0"/>
    <w:pPr>
      <w:tabs>
        <w:tab w:val="clear" w:pos="480"/>
      </w:tabs>
      <w:adjustRightInd w:val="0"/>
      <w:snapToGrid w:val="0"/>
      <w:ind w:firstLine="480"/>
    </w:pPr>
  </w:style>
  <w:style w:type="paragraph" w:customStyle="1" w:styleId="511">
    <w:name w:val="表格 3"/>
    <w:basedOn w:val="165"/>
    <w:semiHidden/>
    <w:qFormat/>
    <w:uiPriority w:val="0"/>
    <w:pPr>
      <w:autoSpaceDE w:val="0"/>
      <w:autoSpaceDN w:val="0"/>
      <w:spacing w:line="240" w:lineRule="auto"/>
      <w:jc w:val="center"/>
      <w:textAlignment w:val="auto"/>
    </w:pPr>
    <w:rPr>
      <w:rFonts w:eastAsia="宋体"/>
      <w:kern w:val="0"/>
      <w:sz w:val="21"/>
    </w:rPr>
  </w:style>
  <w:style w:type="character" w:customStyle="1" w:styleId="512">
    <w:name w:val="批注主题 Char3"/>
    <w:link w:val="85"/>
    <w:qFormat/>
    <w:uiPriority w:val="0"/>
    <w:rPr>
      <w:rFonts w:eastAsia="宋体"/>
      <w:b/>
      <w:bCs/>
      <w:kern w:val="2"/>
      <w:sz w:val="24"/>
      <w:szCs w:val="24"/>
      <w:lang w:val="en-US" w:eastAsia="zh-CN" w:bidi="ar-SA"/>
    </w:rPr>
  </w:style>
  <w:style w:type="paragraph" w:customStyle="1" w:styleId="513">
    <w:name w:val="zi1"/>
    <w:basedOn w:val="1"/>
    <w:semiHidden/>
    <w:qFormat/>
    <w:uiPriority w:val="0"/>
    <w:pPr>
      <w:widowControl/>
      <w:tabs>
        <w:tab w:val="clear" w:pos="480"/>
      </w:tabs>
      <w:spacing w:before="100" w:beforeAutospacing="1" w:after="100" w:afterAutospacing="1" w:line="240" w:lineRule="auto"/>
      <w:jc w:val="left"/>
    </w:pPr>
    <w:rPr>
      <w:rFonts w:ascii="宋体" w:hAnsi="宋体"/>
      <w:kern w:val="0"/>
    </w:rPr>
  </w:style>
  <w:style w:type="paragraph" w:customStyle="1" w:styleId="514">
    <w:name w:val="附录标题"/>
    <w:basedOn w:val="1"/>
    <w:semiHidden/>
    <w:qFormat/>
    <w:uiPriority w:val="0"/>
    <w:pPr>
      <w:tabs>
        <w:tab w:val="clear" w:pos="480"/>
      </w:tabs>
      <w:autoSpaceDE w:val="0"/>
      <w:autoSpaceDN w:val="0"/>
      <w:adjustRightInd w:val="0"/>
      <w:spacing w:beforeLines="50" w:afterLines="50" w:line="400" w:lineRule="exact"/>
      <w:ind w:firstLine="643"/>
      <w:jc w:val="center"/>
    </w:pPr>
    <w:rPr>
      <w:rFonts w:ascii="仿宋_GB2312" w:eastAsia="仿宋_GB2312"/>
      <w:b/>
      <w:sz w:val="32"/>
    </w:rPr>
  </w:style>
  <w:style w:type="paragraph" w:customStyle="1" w:styleId="515">
    <w:name w:val="附录1级"/>
    <w:basedOn w:val="1"/>
    <w:semiHidden/>
    <w:qFormat/>
    <w:uiPriority w:val="0"/>
    <w:pPr>
      <w:tabs>
        <w:tab w:val="clear" w:pos="480"/>
      </w:tabs>
      <w:spacing w:beforeLines="50" w:line="400" w:lineRule="exact"/>
    </w:pPr>
    <w:rPr>
      <w:rFonts w:eastAsia="仿宋_GB2312"/>
      <w:b/>
      <w:sz w:val="30"/>
    </w:rPr>
  </w:style>
  <w:style w:type="paragraph" w:customStyle="1" w:styleId="516">
    <w:name w:val="附录标题2级"/>
    <w:basedOn w:val="1"/>
    <w:semiHidden/>
    <w:qFormat/>
    <w:uiPriority w:val="0"/>
    <w:pPr>
      <w:tabs>
        <w:tab w:val="clear" w:pos="480"/>
      </w:tabs>
      <w:spacing w:beforeLines="50" w:line="400" w:lineRule="exact"/>
    </w:pPr>
    <w:rPr>
      <w:rFonts w:eastAsia="仿宋_GB2312"/>
      <w:b/>
      <w:sz w:val="28"/>
    </w:rPr>
  </w:style>
  <w:style w:type="paragraph" w:customStyle="1" w:styleId="517">
    <w:name w:val="表题 2"/>
    <w:basedOn w:val="1"/>
    <w:semiHidden/>
    <w:qFormat/>
    <w:uiPriority w:val="0"/>
    <w:pPr>
      <w:tabs>
        <w:tab w:val="clear" w:pos="480"/>
      </w:tabs>
      <w:adjustRightInd w:val="0"/>
      <w:spacing w:before="120" w:after="120" w:line="240" w:lineRule="auto"/>
      <w:jc w:val="center"/>
      <w:textAlignment w:val="baseline"/>
    </w:pPr>
    <w:rPr>
      <w:kern w:val="0"/>
      <w:sz w:val="28"/>
      <w:szCs w:val="20"/>
    </w:rPr>
  </w:style>
  <w:style w:type="paragraph" w:customStyle="1" w:styleId="518">
    <w:name w:val="表格 2"/>
    <w:basedOn w:val="165"/>
    <w:semiHidden/>
    <w:qFormat/>
    <w:uiPriority w:val="0"/>
    <w:pPr>
      <w:autoSpaceDE w:val="0"/>
      <w:autoSpaceDN w:val="0"/>
      <w:spacing w:line="240" w:lineRule="auto"/>
      <w:jc w:val="center"/>
      <w:textAlignment w:val="baseline"/>
    </w:pPr>
    <w:rPr>
      <w:rFonts w:eastAsia="宋体"/>
      <w:kern w:val="0"/>
    </w:rPr>
  </w:style>
  <w:style w:type="paragraph" w:customStyle="1" w:styleId="519">
    <w:name w:val="8"/>
    <w:basedOn w:val="1"/>
    <w:next w:val="70"/>
    <w:link w:val="2439"/>
    <w:semiHidden/>
    <w:qFormat/>
    <w:uiPriority w:val="0"/>
    <w:pPr>
      <w:tabs>
        <w:tab w:val="clear" w:pos="480"/>
      </w:tabs>
      <w:ind w:firstLine="425"/>
    </w:pPr>
    <w:rPr>
      <w:szCs w:val="20"/>
    </w:rPr>
  </w:style>
  <w:style w:type="paragraph" w:customStyle="1" w:styleId="520">
    <w:name w:val="7"/>
    <w:basedOn w:val="1"/>
    <w:next w:val="70"/>
    <w:qFormat/>
    <w:uiPriority w:val="0"/>
    <w:pPr>
      <w:tabs>
        <w:tab w:val="clear" w:pos="480"/>
      </w:tabs>
      <w:ind w:firstLine="540"/>
    </w:pPr>
    <w:rPr>
      <w:szCs w:val="20"/>
    </w:rPr>
  </w:style>
  <w:style w:type="character" w:customStyle="1" w:styleId="521">
    <w:name w:val="zi"/>
    <w:basedOn w:val="133"/>
    <w:semiHidden/>
    <w:qFormat/>
    <w:uiPriority w:val="0"/>
  </w:style>
  <w:style w:type="paragraph" w:customStyle="1" w:styleId="522">
    <w:name w:val="xl23"/>
    <w:basedOn w:val="1"/>
    <w:qFormat/>
    <w:uiPriority w:val="0"/>
    <w:pPr>
      <w:widowControl/>
      <w:tabs>
        <w:tab w:val="clear" w:pos="480"/>
      </w:tabs>
      <w:spacing w:before="100" w:beforeAutospacing="1" w:after="100" w:afterAutospacing="1" w:line="240" w:lineRule="auto"/>
      <w:jc w:val="center"/>
    </w:pPr>
    <w:rPr>
      <w:rFonts w:eastAsia="Arial Unicode MS"/>
      <w:kern w:val="0"/>
    </w:rPr>
  </w:style>
  <w:style w:type="character" w:customStyle="1" w:styleId="523">
    <w:name w:val="标题3"/>
    <w:basedOn w:val="133"/>
    <w:qFormat/>
    <w:uiPriority w:val="0"/>
  </w:style>
  <w:style w:type="character" w:customStyle="1" w:styleId="524">
    <w:name w:val="javascript"/>
    <w:basedOn w:val="133"/>
    <w:semiHidden/>
    <w:qFormat/>
    <w:uiPriority w:val="0"/>
  </w:style>
  <w:style w:type="paragraph" w:customStyle="1" w:styleId="525">
    <w:name w:val="9"/>
    <w:basedOn w:val="1"/>
    <w:next w:val="76"/>
    <w:semiHidden/>
    <w:qFormat/>
    <w:uiPriority w:val="0"/>
    <w:pPr>
      <w:tabs>
        <w:tab w:val="clear" w:pos="480"/>
      </w:tabs>
      <w:adjustRightInd w:val="0"/>
      <w:snapToGrid w:val="0"/>
      <w:spacing w:line="240" w:lineRule="auto"/>
      <w:jc w:val="center"/>
    </w:pPr>
    <w:rPr>
      <w:color w:val="000000"/>
      <w:sz w:val="21"/>
    </w:rPr>
  </w:style>
  <w:style w:type="paragraph" w:customStyle="1" w:styleId="526">
    <w:name w:val="t_text"/>
    <w:basedOn w:val="1"/>
    <w:semiHidden/>
    <w:qFormat/>
    <w:uiPriority w:val="0"/>
    <w:pPr>
      <w:widowControl/>
      <w:tabs>
        <w:tab w:val="clear" w:pos="480"/>
      </w:tabs>
      <w:spacing w:before="100" w:after="100" w:line="300" w:lineRule="atLeast"/>
      <w:jc w:val="left"/>
    </w:pPr>
    <w:rPr>
      <w:rFonts w:ascii="宋体" w:hAnsi="宋体"/>
      <w:kern w:val="0"/>
      <w:szCs w:val="20"/>
    </w:rPr>
  </w:style>
  <w:style w:type="paragraph" w:customStyle="1" w:styleId="527">
    <w:name w:val="样式 标题 2SeHead wsa2ChapterChapter Title + 黑体 段前: 6 磅"/>
    <w:basedOn w:val="3"/>
    <w:semiHidden/>
    <w:qFormat/>
    <w:uiPriority w:val="0"/>
    <w:pPr>
      <w:widowControl/>
      <w:numPr>
        <w:ilvl w:val="0"/>
        <w:numId w:val="0"/>
      </w:numPr>
      <w:tabs>
        <w:tab w:val="clear" w:pos="480"/>
        <w:tab w:val="clear" w:pos="630"/>
      </w:tabs>
      <w:snapToGrid w:val="0"/>
      <w:spacing w:before="156" w:after="156"/>
      <w:jc w:val="left"/>
    </w:pPr>
    <w:rPr>
      <w:rFonts w:hAnsi="Arial"/>
      <w:b w:val="0"/>
      <w:bCs w:val="0"/>
      <w:sz w:val="30"/>
      <w:szCs w:val="30"/>
    </w:rPr>
  </w:style>
  <w:style w:type="paragraph" w:customStyle="1" w:styleId="528">
    <w:name w:val="样式 标题 2SeHead wsa2ChapterChapter Title + 宋体"/>
    <w:basedOn w:val="3"/>
    <w:semiHidden/>
    <w:qFormat/>
    <w:uiPriority w:val="0"/>
    <w:pPr>
      <w:widowControl/>
      <w:numPr>
        <w:ilvl w:val="0"/>
        <w:numId w:val="0"/>
      </w:numPr>
      <w:tabs>
        <w:tab w:val="clear" w:pos="480"/>
        <w:tab w:val="clear" w:pos="630"/>
      </w:tabs>
      <w:snapToGrid w:val="0"/>
      <w:spacing w:before="0" w:after="156"/>
      <w:jc w:val="left"/>
    </w:pPr>
    <w:rPr>
      <w:rFonts w:hAnsi="宋体"/>
      <w:b w:val="0"/>
      <w:bCs w:val="0"/>
      <w:sz w:val="30"/>
      <w:szCs w:val="30"/>
    </w:rPr>
  </w:style>
  <w:style w:type="paragraph" w:customStyle="1" w:styleId="529">
    <w:name w:val="样式 表格1 + 行距: 单倍行距1"/>
    <w:basedOn w:val="1"/>
    <w:semiHidden/>
    <w:qFormat/>
    <w:uiPriority w:val="0"/>
    <w:pPr>
      <w:tabs>
        <w:tab w:val="clear" w:pos="480"/>
      </w:tabs>
      <w:adjustRightInd w:val="0"/>
      <w:snapToGrid w:val="0"/>
      <w:spacing w:line="240" w:lineRule="auto"/>
      <w:jc w:val="center"/>
      <w:textAlignment w:val="baseline"/>
    </w:pPr>
    <w:rPr>
      <w:rFonts w:ascii="宋体" w:hAnsi="宋体"/>
      <w:kern w:val="0"/>
      <w:sz w:val="21"/>
      <w:szCs w:val="20"/>
    </w:rPr>
  </w:style>
  <w:style w:type="paragraph" w:customStyle="1" w:styleId="530">
    <w:name w:val="样式 标题 3h3H3sect1.2.3 + 仿宋_GB2312 四号"/>
    <w:basedOn w:val="4"/>
    <w:next w:val="1"/>
    <w:semiHidden/>
    <w:qFormat/>
    <w:uiPriority w:val="0"/>
    <w:pPr>
      <w:keepNext w:val="0"/>
      <w:numPr>
        <w:ilvl w:val="0"/>
        <w:numId w:val="0"/>
      </w:numPr>
      <w:tabs>
        <w:tab w:val="left" w:pos="0"/>
        <w:tab w:val="clear" w:pos="480"/>
        <w:tab w:val="clear" w:pos="840"/>
      </w:tabs>
      <w:spacing w:beforeLines="50" w:afterLines="50" w:line="360" w:lineRule="auto"/>
    </w:pPr>
    <w:rPr>
      <w:rFonts w:hAnsi="仿宋_GB2312"/>
      <w:spacing w:val="20"/>
      <w:kern w:val="11"/>
      <w:sz w:val="28"/>
      <w:szCs w:val="28"/>
    </w:rPr>
  </w:style>
  <w:style w:type="paragraph" w:customStyle="1" w:styleId="531">
    <w:name w:val="样式 标题 2 + 仿宋_GB2312 小三 行距: 1.5 倍行距"/>
    <w:basedOn w:val="3"/>
    <w:semiHidden/>
    <w:qFormat/>
    <w:uiPriority w:val="0"/>
    <w:pPr>
      <w:numPr>
        <w:ilvl w:val="0"/>
        <w:numId w:val="0"/>
      </w:numPr>
      <w:tabs>
        <w:tab w:val="left" w:pos="720"/>
        <w:tab w:val="clear" w:pos="480"/>
        <w:tab w:val="clear" w:pos="630"/>
      </w:tabs>
      <w:snapToGrid w:val="0"/>
      <w:spacing w:after="260" w:line="416" w:lineRule="auto"/>
    </w:pPr>
    <w:rPr>
      <w:rFonts w:ascii="仿宋_GB2312" w:hAnsi="宋体" w:eastAsia="仿宋_GB2312"/>
      <w:sz w:val="30"/>
      <w:szCs w:val="24"/>
    </w:rPr>
  </w:style>
  <w:style w:type="paragraph" w:customStyle="1" w:styleId="532">
    <w:name w:val="样式 正文首行缩进 2 + 首行缩进:  2 字符1"/>
    <w:basedOn w:val="87"/>
    <w:semiHidden/>
    <w:qFormat/>
    <w:uiPriority w:val="0"/>
    <w:pPr>
      <w:tabs>
        <w:tab w:val="clear" w:pos="480"/>
      </w:tabs>
      <w:ind w:left="0" w:leftChars="0" w:firstLine="480"/>
    </w:pPr>
    <w:rPr>
      <w:szCs w:val="20"/>
    </w:rPr>
  </w:style>
  <w:style w:type="character" w:customStyle="1" w:styleId="533">
    <w:name w:val="正文首行缩进 2 Char2"/>
    <w:link w:val="87"/>
    <w:qFormat/>
    <w:uiPriority w:val="0"/>
    <w:rPr>
      <w:rFonts w:ascii="宋体" w:eastAsia="宋体"/>
      <w:kern w:val="2"/>
      <w:sz w:val="24"/>
      <w:szCs w:val="24"/>
      <w:lang w:val="en-US" w:eastAsia="zh-CN" w:bidi="ar-SA"/>
    </w:rPr>
  </w:style>
  <w:style w:type="character" w:customStyle="1" w:styleId="534">
    <w:name w:val="样式 题注 Char + 黑体 小四"/>
    <w:semiHidden/>
    <w:qFormat/>
    <w:uiPriority w:val="0"/>
    <w:rPr>
      <w:rFonts w:ascii="黑体" w:hAnsi="黑体" w:eastAsia="黑体" w:cs="Arial"/>
      <w:kern w:val="2"/>
      <w:sz w:val="24"/>
      <w:lang w:val="en-US" w:eastAsia="zh-CN" w:bidi="ar-SA"/>
    </w:rPr>
  </w:style>
  <w:style w:type="paragraph" w:customStyle="1" w:styleId="535">
    <w:name w:val="样式 正文首行缩进 + 宋体 小四 行距: 1.5 倍行距"/>
    <w:basedOn w:val="86"/>
    <w:semiHidden/>
    <w:qFormat/>
    <w:uiPriority w:val="0"/>
    <w:pPr>
      <w:spacing w:line="360" w:lineRule="auto"/>
      <w:ind w:firstLine="480" w:firstLineChars="200"/>
    </w:pPr>
    <w:rPr>
      <w:rFonts w:ascii="宋体" w:hAnsi="宋体"/>
      <w:sz w:val="24"/>
    </w:rPr>
  </w:style>
  <w:style w:type="paragraph" w:customStyle="1" w:styleId="536">
    <w:name w:val="文本框"/>
    <w:basedOn w:val="1"/>
    <w:qFormat/>
    <w:uiPriority w:val="0"/>
    <w:pPr>
      <w:tabs>
        <w:tab w:val="clear" w:pos="480"/>
      </w:tabs>
      <w:spacing w:line="360" w:lineRule="atLeast"/>
      <w:jc w:val="center"/>
    </w:pPr>
    <w:rPr>
      <w:sz w:val="21"/>
      <w:szCs w:val="20"/>
    </w:rPr>
  </w:style>
  <w:style w:type="character" w:customStyle="1" w:styleId="537">
    <w:name w:val="zi11"/>
    <w:semiHidden/>
    <w:qFormat/>
    <w:uiPriority w:val="0"/>
    <w:rPr>
      <w:color w:val="FFFFFF"/>
      <w:sz w:val="21"/>
      <w:szCs w:val="21"/>
      <w:u w:val="none"/>
    </w:rPr>
  </w:style>
  <w:style w:type="character" w:customStyle="1" w:styleId="538">
    <w:name w:val="yellow1"/>
    <w:semiHidden/>
    <w:qFormat/>
    <w:uiPriority w:val="0"/>
    <w:rPr>
      <w:color w:val="FFFF00"/>
      <w:u w:val="none"/>
    </w:rPr>
  </w:style>
  <w:style w:type="paragraph" w:customStyle="1" w:styleId="539">
    <w:name w:val="tt1"/>
    <w:basedOn w:val="1"/>
    <w:semiHidden/>
    <w:qFormat/>
    <w:uiPriority w:val="0"/>
    <w:pPr>
      <w:widowControl/>
      <w:tabs>
        <w:tab w:val="clear" w:pos="480"/>
      </w:tabs>
      <w:spacing w:before="100" w:beforeAutospacing="1" w:after="100" w:afterAutospacing="1" w:line="240" w:lineRule="auto"/>
      <w:jc w:val="left"/>
    </w:pPr>
    <w:rPr>
      <w:rFonts w:ascii="Arial Unicode MS" w:hAnsi="Arial Unicode MS"/>
      <w:kern w:val="0"/>
    </w:rPr>
  </w:style>
  <w:style w:type="paragraph" w:customStyle="1" w:styleId="540">
    <w:name w:val="biao1"/>
    <w:basedOn w:val="1"/>
    <w:semiHidden/>
    <w:qFormat/>
    <w:uiPriority w:val="0"/>
    <w:pPr>
      <w:widowControl/>
      <w:tabs>
        <w:tab w:val="clear" w:pos="480"/>
      </w:tabs>
      <w:spacing w:before="100" w:beforeAutospacing="1" w:after="100" w:afterAutospacing="1" w:line="240" w:lineRule="auto"/>
      <w:jc w:val="left"/>
    </w:pPr>
    <w:rPr>
      <w:rFonts w:ascii="Arial Unicode MS" w:hAnsi="Arial Unicode MS"/>
      <w:kern w:val="0"/>
    </w:rPr>
  </w:style>
  <w:style w:type="paragraph" w:customStyle="1" w:styleId="541">
    <w:name w:val="biao2"/>
    <w:basedOn w:val="1"/>
    <w:semiHidden/>
    <w:qFormat/>
    <w:uiPriority w:val="0"/>
    <w:pPr>
      <w:widowControl/>
      <w:tabs>
        <w:tab w:val="clear" w:pos="480"/>
      </w:tabs>
      <w:spacing w:before="100" w:beforeAutospacing="1" w:after="100" w:afterAutospacing="1" w:line="240" w:lineRule="auto"/>
      <w:jc w:val="left"/>
    </w:pPr>
    <w:rPr>
      <w:rFonts w:ascii="Arial Unicode MS" w:hAnsi="Arial Unicode MS"/>
      <w:kern w:val="0"/>
    </w:rPr>
  </w:style>
  <w:style w:type="paragraph" w:customStyle="1" w:styleId="542">
    <w:name w:val="z-窗体顶端1"/>
    <w:basedOn w:val="1"/>
    <w:next w:val="1"/>
    <w:link w:val="543"/>
    <w:qFormat/>
    <w:uiPriority w:val="0"/>
    <w:pPr>
      <w:widowControl/>
      <w:pBdr>
        <w:bottom w:val="single" w:color="auto" w:sz="6" w:space="1"/>
      </w:pBdr>
      <w:tabs>
        <w:tab w:val="clear" w:pos="480"/>
      </w:tabs>
      <w:spacing w:line="240" w:lineRule="auto"/>
      <w:jc w:val="center"/>
    </w:pPr>
    <w:rPr>
      <w:rFonts w:ascii="Arial" w:hAnsi="Arial" w:cs="Arial"/>
      <w:vanish/>
      <w:kern w:val="0"/>
      <w:sz w:val="16"/>
      <w:szCs w:val="16"/>
    </w:rPr>
  </w:style>
  <w:style w:type="character" w:customStyle="1" w:styleId="543">
    <w:name w:val="z-窗体顶端 Char"/>
    <w:link w:val="542"/>
    <w:qFormat/>
    <w:uiPriority w:val="0"/>
    <w:rPr>
      <w:rFonts w:ascii="Arial" w:hAnsi="Arial" w:eastAsia="宋体" w:cs="Arial"/>
      <w:vanish/>
      <w:sz w:val="16"/>
      <w:szCs w:val="16"/>
      <w:lang w:val="en-US" w:eastAsia="zh-CN" w:bidi="ar-SA"/>
    </w:rPr>
  </w:style>
  <w:style w:type="paragraph" w:customStyle="1" w:styleId="544">
    <w:name w:val="z-窗体底端1"/>
    <w:basedOn w:val="1"/>
    <w:next w:val="1"/>
    <w:link w:val="3415"/>
    <w:qFormat/>
    <w:uiPriority w:val="0"/>
    <w:pPr>
      <w:widowControl/>
      <w:pBdr>
        <w:top w:val="single" w:color="auto" w:sz="6" w:space="1"/>
      </w:pBdr>
      <w:tabs>
        <w:tab w:val="clear" w:pos="480"/>
      </w:tabs>
      <w:spacing w:line="240" w:lineRule="auto"/>
      <w:jc w:val="center"/>
    </w:pPr>
    <w:rPr>
      <w:rFonts w:ascii="Arial" w:hAnsi="Arial" w:cs="Arial"/>
      <w:vanish/>
      <w:kern w:val="0"/>
      <w:sz w:val="16"/>
      <w:szCs w:val="16"/>
    </w:rPr>
  </w:style>
  <w:style w:type="paragraph" w:customStyle="1" w:styleId="545">
    <w:name w:val="表"/>
    <w:basedOn w:val="1"/>
    <w:qFormat/>
    <w:uiPriority w:val="0"/>
    <w:pPr>
      <w:tabs>
        <w:tab w:val="clear" w:pos="480"/>
      </w:tabs>
      <w:snapToGrid w:val="0"/>
      <w:spacing w:line="240" w:lineRule="auto"/>
      <w:jc w:val="center"/>
    </w:pPr>
    <w:rPr>
      <w:spacing w:val="2"/>
      <w:sz w:val="21"/>
      <w:szCs w:val="20"/>
    </w:rPr>
  </w:style>
  <w:style w:type="paragraph" w:customStyle="1" w:styleId="546">
    <w:name w:val="正文01"/>
    <w:basedOn w:val="1"/>
    <w:link w:val="2274"/>
    <w:qFormat/>
    <w:uiPriority w:val="0"/>
    <w:pPr>
      <w:tabs>
        <w:tab w:val="clear" w:pos="480"/>
      </w:tabs>
      <w:spacing w:before="60" w:line="480" w:lineRule="exact"/>
      <w:ind w:firstLine="539"/>
    </w:pPr>
    <w:rPr>
      <w:sz w:val="27"/>
      <w:szCs w:val="20"/>
    </w:rPr>
  </w:style>
  <w:style w:type="paragraph" w:customStyle="1" w:styleId="547">
    <w:name w:val="正文首行缩进2字符"/>
    <w:basedOn w:val="1"/>
    <w:semiHidden/>
    <w:qFormat/>
    <w:uiPriority w:val="0"/>
    <w:pPr>
      <w:tabs>
        <w:tab w:val="clear" w:pos="480"/>
      </w:tabs>
      <w:ind w:firstLine="420"/>
    </w:pPr>
    <w:rPr>
      <w:rFonts w:cs="宋体"/>
      <w:sz w:val="21"/>
      <w:szCs w:val="20"/>
    </w:rPr>
  </w:style>
  <w:style w:type="paragraph" w:customStyle="1" w:styleId="548">
    <w:name w:val="标题3首行缩进2字符"/>
    <w:basedOn w:val="4"/>
    <w:next w:val="547"/>
    <w:semiHidden/>
    <w:qFormat/>
    <w:uiPriority w:val="0"/>
    <w:pPr>
      <w:numPr>
        <w:ilvl w:val="0"/>
        <w:numId w:val="0"/>
      </w:numPr>
      <w:tabs>
        <w:tab w:val="clear" w:pos="480"/>
        <w:tab w:val="clear" w:pos="840"/>
      </w:tabs>
      <w:spacing w:beforeLines="50" w:afterLines="50" w:line="360" w:lineRule="auto"/>
      <w:ind w:firstLine="422" w:firstLineChars="200"/>
    </w:pPr>
    <w:rPr>
      <w:rFonts w:ascii="宋体" w:hAnsi="宋体" w:eastAsia="宋体" w:cs="宋体"/>
      <w:bCs w:val="0"/>
      <w:sz w:val="21"/>
      <w:szCs w:val="24"/>
    </w:rPr>
  </w:style>
  <w:style w:type="paragraph" w:customStyle="1" w:styleId="549">
    <w:name w:val="标题 1实例1"/>
    <w:basedOn w:val="2"/>
    <w:next w:val="547"/>
    <w:semiHidden/>
    <w:qFormat/>
    <w:uiPriority w:val="0"/>
    <w:pPr>
      <w:numPr>
        <w:numId w:val="0"/>
      </w:numPr>
      <w:tabs>
        <w:tab w:val="clear" w:pos="480"/>
      </w:tabs>
      <w:snapToGrid w:val="0"/>
      <w:spacing w:beforeLines="50" w:afterLines="50"/>
      <w:jc w:val="center"/>
    </w:pPr>
    <w:rPr>
      <w:rFonts w:ascii="Arial" w:hAnsi="Arial" w:eastAsia="宋体" w:cs="宋体"/>
      <w:kern w:val="0"/>
      <w:sz w:val="28"/>
      <w:szCs w:val="20"/>
    </w:rPr>
  </w:style>
  <w:style w:type="paragraph" w:customStyle="1" w:styleId="550">
    <w:name w:val="标题 2实例1"/>
    <w:basedOn w:val="3"/>
    <w:next w:val="547"/>
    <w:semiHidden/>
    <w:qFormat/>
    <w:uiPriority w:val="0"/>
    <w:pPr>
      <w:numPr>
        <w:ilvl w:val="0"/>
        <w:numId w:val="0"/>
      </w:numPr>
      <w:tabs>
        <w:tab w:val="clear" w:pos="480"/>
        <w:tab w:val="clear" w:pos="630"/>
      </w:tabs>
      <w:snapToGrid w:val="0"/>
      <w:spacing w:beforeLines="50" w:afterLines="50"/>
      <w:ind w:firstLine="482" w:firstLineChars="200"/>
    </w:pPr>
    <w:rPr>
      <w:rFonts w:hAnsi="宋体" w:cs="宋体"/>
      <w:sz w:val="24"/>
      <w:szCs w:val="24"/>
    </w:rPr>
  </w:style>
  <w:style w:type="character" w:customStyle="1" w:styleId="551">
    <w:name w:val="font3"/>
    <w:basedOn w:val="133"/>
    <w:semiHidden/>
    <w:qFormat/>
    <w:uiPriority w:val="0"/>
  </w:style>
  <w:style w:type="paragraph" w:customStyle="1" w:styleId="552">
    <w:name w:val="T正文"/>
    <w:basedOn w:val="151"/>
    <w:next w:val="151"/>
    <w:qFormat/>
    <w:uiPriority w:val="0"/>
    <w:rPr>
      <w:rFonts w:ascii="宋体" w:eastAsia="宋体" w:cs="Times New Roman"/>
      <w:color w:val="auto"/>
    </w:rPr>
  </w:style>
  <w:style w:type="paragraph" w:customStyle="1" w:styleId="553">
    <w:name w:val="Char Char Char"/>
    <w:basedOn w:val="1"/>
    <w:qFormat/>
    <w:uiPriority w:val="0"/>
    <w:pPr>
      <w:tabs>
        <w:tab w:val="clear" w:pos="480"/>
      </w:tabs>
      <w:spacing w:line="240" w:lineRule="auto"/>
    </w:pPr>
    <w:rPr>
      <w:sz w:val="21"/>
    </w:rPr>
  </w:style>
  <w:style w:type="paragraph" w:customStyle="1" w:styleId="554">
    <w:name w:val="Char Char Char Char Char Char1 Char Char Char1 Char Char Char1 Char Char Char Char Char Char Char Char Char Char"/>
    <w:basedOn w:val="1"/>
    <w:next w:val="1"/>
    <w:semiHidden/>
    <w:qFormat/>
    <w:uiPriority w:val="0"/>
    <w:pPr>
      <w:tabs>
        <w:tab w:val="clear" w:pos="480"/>
      </w:tabs>
    </w:pPr>
    <w:rPr>
      <w:rFonts w:ascii="宋体" w:hAnsi="宋体" w:cs="宋体"/>
    </w:rPr>
  </w:style>
  <w:style w:type="paragraph" w:customStyle="1" w:styleId="555">
    <w:name w:val="样式 标题 2Chapter Heading2nd levelh22Titre2l2H2Header 2UND...2"/>
    <w:basedOn w:val="3"/>
    <w:semiHidden/>
    <w:qFormat/>
    <w:uiPriority w:val="0"/>
    <w:pPr>
      <w:numPr>
        <w:ilvl w:val="0"/>
        <w:numId w:val="0"/>
      </w:numPr>
      <w:tabs>
        <w:tab w:val="clear" w:pos="480"/>
        <w:tab w:val="clear" w:pos="630"/>
      </w:tabs>
      <w:snapToGrid w:val="0"/>
      <w:spacing w:before="156" w:after="156"/>
    </w:pPr>
    <w:rPr>
      <w:rFonts w:hAnsi="宋体"/>
      <w:b w:val="0"/>
      <w:sz w:val="24"/>
    </w:rPr>
  </w:style>
  <w:style w:type="character" w:customStyle="1" w:styleId="556">
    <w:name w:val="样式 标题 2Chapter Heading2nd levelh22Titre2l2H2Header 2UND...2 Char"/>
    <w:semiHidden/>
    <w:qFormat/>
    <w:uiPriority w:val="0"/>
    <w:rPr>
      <w:rFonts w:eastAsia="黑体"/>
      <w:bCs/>
      <w:kern w:val="2"/>
      <w:sz w:val="24"/>
      <w:szCs w:val="32"/>
      <w:lang w:val="en-US" w:eastAsia="zh-CN" w:bidi="ar-SA"/>
    </w:rPr>
  </w:style>
  <w:style w:type="character" w:customStyle="1" w:styleId="557">
    <w:name w:val="孙普文字 Char Char"/>
    <w:semiHidden/>
    <w:qFormat/>
    <w:uiPriority w:val="0"/>
    <w:rPr>
      <w:rFonts w:ascii="宋体" w:hAnsi="Courier New" w:eastAsia="宋体"/>
      <w:kern w:val="2"/>
      <w:sz w:val="24"/>
      <w:szCs w:val="24"/>
      <w:lang w:val="en-US" w:eastAsia="zh-CN" w:bidi="ar-SA"/>
    </w:rPr>
  </w:style>
  <w:style w:type="paragraph" w:customStyle="1" w:styleId="558">
    <w:name w:val="样式 标题 2Chapter Heading2nd levelh22Titre2l2H2Header 2UND..."/>
    <w:basedOn w:val="3"/>
    <w:semiHidden/>
    <w:qFormat/>
    <w:uiPriority w:val="0"/>
    <w:pPr>
      <w:numPr>
        <w:ilvl w:val="0"/>
        <w:numId w:val="0"/>
      </w:numPr>
      <w:tabs>
        <w:tab w:val="clear" w:pos="480"/>
        <w:tab w:val="clear" w:pos="630"/>
      </w:tabs>
      <w:snapToGrid w:val="0"/>
      <w:spacing w:before="156" w:after="156"/>
    </w:pPr>
    <w:rPr>
      <w:rFonts w:hAnsi="宋体" w:cs="宋体"/>
      <w:b w:val="0"/>
      <w:sz w:val="24"/>
      <w:szCs w:val="24"/>
    </w:rPr>
  </w:style>
  <w:style w:type="paragraph" w:customStyle="1" w:styleId="559">
    <w:name w:val="段落"/>
    <w:basedOn w:val="1"/>
    <w:link w:val="674"/>
    <w:qFormat/>
    <w:uiPriority w:val="0"/>
    <w:pPr>
      <w:tabs>
        <w:tab w:val="left" w:pos="949"/>
        <w:tab w:val="clear" w:pos="480"/>
      </w:tabs>
      <w:spacing w:line="440" w:lineRule="exact"/>
      <w:ind w:firstLine="601"/>
    </w:pPr>
    <w:rPr>
      <w:rFonts w:ascii="宋体" w:hAnsi="宋体"/>
      <w:color w:val="000000"/>
      <w:kern w:val="0"/>
      <w:szCs w:val="18"/>
    </w:rPr>
  </w:style>
  <w:style w:type="paragraph" w:customStyle="1" w:styleId="560">
    <w:name w:val="样式 标题4 + 首行缩进:  2 字符"/>
    <w:basedOn w:val="20"/>
    <w:semiHidden/>
    <w:qFormat/>
    <w:uiPriority w:val="0"/>
    <w:pPr>
      <w:keepNext/>
      <w:keepLines/>
      <w:tabs>
        <w:tab w:val="clear" w:pos="480"/>
      </w:tabs>
      <w:ind w:firstLine="0" w:firstLineChars="0"/>
      <w:outlineLvl w:val="2"/>
    </w:pPr>
    <w:rPr>
      <w:rFonts w:ascii="楷体_GB2312" w:hAnsi="宋体" w:cs="宋体"/>
      <w:szCs w:val="20"/>
    </w:rPr>
  </w:style>
  <w:style w:type="paragraph" w:customStyle="1" w:styleId="561">
    <w:name w:val="样式 标题 1章节标题章标题 1-*+h11st levelSection Headl1b1本标题不使用篇标...1"/>
    <w:basedOn w:val="2"/>
    <w:semiHidden/>
    <w:qFormat/>
    <w:uiPriority w:val="0"/>
    <w:pPr>
      <w:numPr>
        <w:numId w:val="0"/>
      </w:numPr>
      <w:tabs>
        <w:tab w:val="clear" w:pos="480"/>
      </w:tabs>
      <w:snapToGrid w:val="0"/>
      <w:spacing w:before="240" w:after="120"/>
      <w:jc w:val="left"/>
    </w:pPr>
    <w:rPr>
      <w:rFonts w:ascii="Times New Roman" w:hAnsi="宋体" w:eastAsia="宋体"/>
      <w:sz w:val="28"/>
      <w:szCs w:val="20"/>
    </w:rPr>
  </w:style>
  <w:style w:type="paragraph" w:customStyle="1" w:styleId="562">
    <w:name w:val="Char Char Char Char Char Char1 Char"/>
    <w:basedOn w:val="1"/>
    <w:semiHidden/>
    <w:qFormat/>
    <w:uiPriority w:val="0"/>
    <w:pPr>
      <w:tabs>
        <w:tab w:val="clear" w:pos="480"/>
      </w:tabs>
    </w:pPr>
  </w:style>
  <w:style w:type="paragraph" w:customStyle="1" w:styleId="563">
    <w:name w:val="Char Char Char Char Char Char Char3"/>
    <w:basedOn w:val="1"/>
    <w:qFormat/>
    <w:uiPriority w:val="0"/>
    <w:pPr>
      <w:widowControl/>
      <w:tabs>
        <w:tab w:val="clear" w:pos="480"/>
      </w:tabs>
      <w:spacing w:after="160" w:line="240" w:lineRule="exact"/>
      <w:jc w:val="left"/>
    </w:pPr>
    <w:rPr>
      <w:rFonts w:ascii="Verdana" w:hAnsi="Verdana"/>
      <w:kern w:val="0"/>
      <w:sz w:val="20"/>
      <w:szCs w:val="32"/>
      <w:lang w:eastAsia="en-US"/>
    </w:rPr>
  </w:style>
  <w:style w:type="paragraph" w:customStyle="1" w:styleId="564">
    <w:name w:val="样式 标题 1章节标题章标题 1-*+h11st levelSection Headl1b1本标题不使用篇标..."/>
    <w:basedOn w:val="2"/>
    <w:semiHidden/>
    <w:qFormat/>
    <w:uiPriority w:val="0"/>
    <w:pPr>
      <w:numPr>
        <w:numId w:val="0"/>
      </w:numPr>
      <w:tabs>
        <w:tab w:val="clear" w:pos="480"/>
      </w:tabs>
      <w:snapToGrid w:val="0"/>
      <w:spacing w:before="240" w:after="120"/>
      <w:jc w:val="left"/>
    </w:pPr>
    <w:rPr>
      <w:rFonts w:ascii="Times New Roman" w:hAnsi="宋体" w:eastAsia="宋体"/>
      <w:bCs w:val="0"/>
      <w:sz w:val="28"/>
      <w:szCs w:val="20"/>
    </w:rPr>
  </w:style>
  <w:style w:type="character" w:customStyle="1" w:styleId="565">
    <w:name w:val="text21"/>
    <w:semiHidden/>
    <w:qFormat/>
    <w:uiPriority w:val="0"/>
    <w:rPr>
      <w:color w:val="000000"/>
      <w:sz w:val="21"/>
      <w:u w:val="none"/>
    </w:rPr>
  </w:style>
  <w:style w:type="paragraph" w:customStyle="1" w:styleId="566">
    <w:name w:val="CM46"/>
    <w:basedOn w:val="151"/>
    <w:next w:val="151"/>
    <w:semiHidden/>
    <w:qFormat/>
    <w:uiPriority w:val="0"/>
    <w:pPr>
      <w:spacing w:line="500" w:lineRule="atLeast"/>
    </w:pPr>
    <w:rPr>
      <w:rFonts w:ascii="仿宋_GB2312" w:eastAsia="仿宋_GB2312" w:cs="Times New Roman"/>
      <w:color w:val="auto"/>
      <w:szCs w:val="20"/>
    </w:rPr>
  </w:style>
  <w:style w:type="paragraph" w:customStyle="1" w:styleId="567">
    <w:name w:val="CM126"/>
    <w:basedOn w:val="1"/>
    <w:next w:val="1"/>
    <w:semiHidden/>
    <w:qFormat/>
    <w:uiPriority w:val="0"/>
    <w:pPr>
      <w:tabs>
        <w:tab w:val="clear" w:pos="480"/>
      </w:tabs>
      <w:autoSpaceDE w:val="0"/>
      <w:autoSpaceDN w:val="0"/>
      <w:adjustRightInd w:val="0"/>
      <w:spacing w:after="285" w:line="240" w:lineRule="auto"/>
      <w:jc w:val="left"/>
    </w:pPr>
    <w:rPr>
      <w:rFonts w:ascii="仿宋_GB2312" w:eastAsia="仿宋_GB2312"/>
      <w:kern w:val="0"/>
      <w:szCs w:val="20"/>
    </w:rPr>
  </w:style>
  <w:style w:type="paragraph" w:customStyle="1" w:styleId="568">
    <w:name w:val="CM45"/>
    <w:basedOn w:val="151"/>
    <w:next w:val="151"/>
    <w:qFormat/>
    <w:uiPriority w:val="0"/>
    <w:pPr>
      <w:spacing w:line="500" w:lineRule="atLeast"/>
    </w:pPr>
    <w:rPr>
      <w:rFonts w:ascii="仿宋_GB2312" w:eastAsia="仿宋_GB2312" w:cs="Times New Roman"/>
      <w:color w:val="auto"/>
      <w:szCs w:val="20"/>
    </w:rPr>
  </w:style>
  <w:style w:type="paragraph" w:customStyle="1" w:styleId="569">
    <w:name w:val="Char Char Char1 Char"/>
    <w:basedOn w:val="1"/>
    <w:qFormat/>
    <w:uiPriority w:val="0"/>
    <w:pPr>
      <w:tabs>
        <w:tab w:val="clear" w:pos="480"/>
      </w:tabs>
      <w:snapToGrid w:val="0"/>
    </w:pPr>
    <w:rPr>
      <w:rFonts w:eastAsia="仿宋_GB2312"/>
    </w:rPr>
  </w:style>
  <w:style w:type="paragraph" w:customStyle="1" w:styleId="570">
    <w:name w:val="Char Char Char1 Char Char Char"/>
    <w:basedOn w:val="1"/>
    <w:qFormat/>
    <w:uiPriority w:val="0"/>
    <w:pPr>
      <w:tabs>
        <w:tab w:val="clear" w:pos="480"/>
      </w:tabs>
    </w:pPr>
    <w:rPr>
      <w:rFonts w:ascii="宋体" w:hAnsi="宋体" w:cs="宋体"/>
    </w:rPr>
  </w:style>
  <w:style w:type="paragraph" w:customStyle="1" w:styleId="571">
    <w:name w:val="正文001"/>
    <w:basedOn w:val="1"/>
    <w:semiHidden/>
    <w:qFormat/>
    <w:uiPriority w:val="0"/>
    <w:pPr>
      <w:tabs>
        <w:tab w:val="clear" w:pos="480"/>
      </w:tabs>
      <w:spacing w:before="60" w:line="460" w:lineRule="exact"/>
    </w:pPr>
    <w:rPr>
      <w:rFonts w:ascii="Arial" w:hAnsi="Arial"/>
      <w:szCs w:val="20"/>
    </w:rPr>
  </w:style>
  <w:style w:type="paragraph" w:customStyle="1" w:styleId="572">
    <w:name w:val="Char Char Char1 Char Char Char Char Char Char Char"/>
    <w:basedOn w:val="1"/>
    <w:semiHidden/>
    <w:qFormat/>
    <w:uiPriority w:val="0"/>
    <w:pPr>
      <w:tabs>
        <w:tab w:val="clear" w:pos="480"/>
      </w:tabs>
    </w:pPr>
    <w:rPr>
      <w:rFonts w:ascii="宋体" w:hAnsi="宋体" w:cs="宋体"/>
    </w:rPr>
  </w:style>
  <w:style w:type="paragraph" w:customStyle="1" w:styleId="573">
    <w:name w:val="册除格式 Char Char"/>
    <w:semiHidden/>
    <w:qFormat/>
    <w:uiPriority w:val="0"/>
    <w:pPr>
      <w:spacing w:line="360" w:lineRule="auto"/>
      <w:ind w:firstLine="482"/>
      <w:jc w:val="center"/>
    </w:pPr>
    <w:rPr>
      <w:rFonts w:ascii="黑体" w:hAnsi="Arial" w:eastAsia="宋体" w:cs="Arial"/>
      <w:snapToGrid w:val="0"/>
      <w:spacing w:val="4"/>
      <w:kern w:val="18"/>
      <w:sz w:val="24"/>
      <w:szCs w:val="28"/>
      <w:lang w:val="en-US" w:eastAsia="zh-CN" w:bidi="ar-SA"/>
    </w:rPr>
  </w:style>
  <w:style w:type="paragraph" w:customStyle="1" w:styleId="574">
    <w:name w:val="标题三"/>
    <w:basedOn w:val="4"/>
    <w:next w:val="1"/>
    <w:semiHidden/>
    <w:qFormat/>
    <w:uiPriority w:val="0"/>
    <w:pPr>
      <w:keepLines w:val="0"/>
      <w:numPr>
        <w:ilvl w:val="0"/>
        <w:numId w:val="0"/>
      </w:numPr>
      <w:tabs>
        <w:tab w:val="clear" w:pos="480"/>
        <w:tab w:val="clear" w:pos="840"/>
      </w:tabs>
      <w:autoSpaceDE w:val="0"/>
      <w:autoSpaceDN w:val="0"/>
      <w:adjustRightInd w:val="0"/>
      <w:spacing w:beforeLines="50" w:afterLines="50" w:line="360" w:lineRule="auto"/>
      <w:ind w:firstLine="482"/>
      <w:jc w:val="left"/>
      <w:textAlignment w:val="baseline"/>
    </w:pPr>
    <w:rPr>
      <w:rFonts w:ascii="黑体" w:hAnsi="宋体" w:eastAsia="宋体"/>
      <w:sz w:val="24"/>
      <w:szCs w:val="24"/>
    </w:rPr>
  </w:style>
  <w:style w:type="paragraph" w:customStyle="1" w:styleId="575">
    <w:name w:val="表文"/>
    <w:basedOn w:val="1"/>
    <w:link w:val="1758"/>
    <w:qFormat/>
    <w:uiPriority w:val="0"/>
    <w:pPr>
      <w:tabs>
        <w:tab w:val="left" w:pos="1021"/>
        <w:tab w:val="clear" w:pos="480"/>
      </w:tabs>
      <w:adjustRightInd w:val="0"/>
      <w:snapToGrid w:val="0"/>
      <w:spacing w:line="440" w:lineRule="exact"/>
      <w:jc w:val="center"/>
    </w:pPr>
    <w:rPr>
      <w:spacing w:val="-2"/>
    </w:rPr>
  </w:style>
  <w:style w:type="character" w:customStyle="1" w:styleId="576">
    <w:name w:val="defaultfont1"/>
    <w:basedOn w:val="133"/>
    <w:semiHidden/>
    <w:qFormat/>
    <w:uiPriority w:val="0"/>
  </w:style>
  <w:style w:type="paragraph" w:customStyle="1" w:styleId="577">
    <w:name w:val="Char2"/>
    <w:basedOn w:val="1"/>
    <w:qFormat/>
    <w:uiPriority w:val="0"/>
    <w:pPr>
      <w:tabs>
        <w:tab w:val="clear" w:pos="480"/>
      </w:tabs>
      <w:snapToGrid w:val="0"/>
    </w:pPr>
    <w:rPr>
      <w:rFonts w:eastAsia="仿宋_GB2312"/>
    </w:rPr>
  </w:style>
  <w:style w:type="character" w:customStyle="1" w:styleId="578">
    <w:name w:val="newsbody1"/>
    <w:semiHidden/>
    <w:qFormat/>
    <w:uiPriority w:val="0"/>
    <w:rPr>
      <w:color w:val="363636"/>
      <w:spacing w:val="345"/>
      <w:sz w:val="21"/>
      <w:szCs w:val="21"/>
    </w:rPr>
  </w:style>
  <w:style w:type="paragraph" w:customStyle="1" w:styleId="579">
    <w:name w:val="表格文字（韶关规划）"/>
    <w:basedOn w:val="1"/>
    <w:semiHidden/>
    <w:qFormat/>
    <w:uiPriority w:val="0"/>
    <w:pPr>
      <w:tabs>
        <w:tab w:val="left" w:pos="7996"/>
        <w:tab w:val="clear" w:pos="480"/>
      </w:tabs>
      <w:autoSpaceDE w:val="0"/>
      <w:autoSpaceDN w:val="0"/>
      <w:adjustRightInd w:val="0"/>
      <w:snapToGrid w:val="0"/>
      <w:spacing w:line="264" w:lineRule="auto"/>
      <w:jc w:val="center"/>
    </w:pPr>
    <w:rPr>
      <w:kern w:val="0"/>
      <w:sz w:val="21"/>
      <w:szCs w:val="21"/>
      <w:lang w:val="zh-CN"/>
    </w:rPr>
  </w:style>
  <w:style w:type="paragraph" w:customStyle="1" w:styleId="580">
    <w:name w:val="Char Char Char Char Char Char Char Char Char Char Char Char Char2"/>
    <w:basedOn w:val="1"/>
    <w:semiHidden/>
    <w:qFormat/>
    <w:uiPriority w:val="0"/>
    <w:pPr>
      <w:tabs>
        <w:tab w:val="clear" w:pos="480"/>
      </w:tabs>
      <w:adjustRightInd w:val="0"/>
      <w:ind w:firstLine="540" w:firstLineChars="225"/>
      <w:jc w:val="left"/>
    </w:pPr>
    <w:rPr>
      <w:rFonts w:ascii="宋体" w:hAnsi="宋体" w:cs="Arial"/>
      <w:snapToGrid w:val="0"/>
      <w:kern w:val="0"/>
      <w:sz w:val="21"/>
      <w:szCs w:val="21"/>
      <w:lang w:val="eu-ES"/>
    </w:rPr>
  </w:style>
  <w:style w:type="paragraph" w:customStyle="1" w:styleId="581">
    <w:name w:val="Plain Text1"/>
    <w:basedOn w:val="1"/>
    <w:qFormat/>
    <w:uiPriority w:val="0"/>
    <w:pPr>
      <w:tabs>
        <w:tab w:val="clear" w:pos="480"/>
      </w:tabs>
      <w:adjustRightInd w:val="0"/>
      <w:spacing w:line="240" w:lineRule="auto"/>
      <w:textAlignment w:val="baseline"/>
    </w:pPr>
    <w:rPr>
      <w:rFonts w:ascii="宋体" w:hAnsi="Courier New"/>
      <w:sz w:val="21"/>
      <w:szCs w:val="20"/>
    </w:rPr>
  </w:style>
  <w:style w:type="paragraph" w:customStyle="1" w:styleId="582">
    <w:name w:val="HTML 预先格式化"/>
    <w:basedOn w:val="1"/>
    <w:semiHidden/>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clear" w:pos="480"/>
      </w:tabs>
      <w:spacing w:line="240" w:lineRule="auto"/>
      <w:jc w:val="left"/>
    </w:pPr>
    <w:rPr>
      <w:rFonts w:ascii="Arial Unicode MS" w:hAnsi="Arial Unicode MS" w:eastAsia="Arial Unicode MS"/>
      <w:kern w:val="0"/>
      <w:sz w:val="20"/>
      <w:szCs w:val="20"/>
    </w:rPr>
  </w:style>
  <w:style w:type="paragraph" w:customStyle="1" w:styleId="583">
    <w:name w:val="标准"/>
    <w:basedOn w:val="1"/>
    <w:qFormat/>
    <w:uiPriority w:val="0"/>
    <w:pPr>
      <w:tabs>
        <w:tab w:val="clear" w:pos="480"/>
      </w:tabs>
      <w:adjustRightInd w:val="0"/>
      <w:spacing w:line="480" w:lineRule="exact"/>
      <w:textAlignment w:val="baseline"/>
    </w:pPr>
    <w:rPr>
      <w:kern w:val="0"/>
      <w:sz w:val="28"/>
      <w:szCs w:val="20"/>
      <w:lang w:val="en-GB"/>
    </w:rPr>
  </w:style>
  <w:style w:type="paragraph" w:customStyle="1" w:styleId="584">
    <w:name w:val="Normal1"/>
    <w:basedOn w:val="1"/>
    <w:semiHidden/>
    <w:qFormat/>
    <w:uiPriority w:val="0"/>
    <w:pPr>
      <w:tabs>
        <w:tab w:val="clear" w:pos="480"/>
      </w:tabs>
      <w:adjustRightInd w:val="0"/>
      <w:spacing w:line="480" w:lineRule="exact"/>
      <w:textAlignment w:val="baseline"/>
    </w:pPr>
    <w:rPr>
      <w:spacing w:val="-2"/>
      <w:kern w:val="0"/>
      <w:sz w:val="28"/>
      <w:szCs w:val="20"/>
    </w:rPr>
  </w:style>
  <w:style w:type="paragraph" w:customStyle="1" w:styleId="585">
    <w:name w:val="CM13"/>
    <w:basedOn w:val="151"/>
    <w:next w:val="151"/>
    <w:semiHidden/>
    <w:qFormat/>
    <w:uiPriority w:val="0"/>
    <w:pPr>
      <w:spacing w:line="468" w:lineRule="atLeast"/>
    </w:pPr>
    <w:rPr>
      <w:rFonts w:ascii="仿宋_GB2312" w:eastAsia="仿宋_GB2312" w:cs="仿宋_GB2312"/>
      <w:color w:val="auto"/>
    </w:rPr>
  </w:style>
  <w:style w:type="paragraph" w:customStyle="1" w:styleId="586">
    <w:name w:val="CM6"/>
    <w:basedOn w:val="151"/>
    <w:next w:val="151"/>
    <w:semiHidden/>
    <w:qFormat/>
    <w:uiPriority w:val="0"/>
    <w:pPr>
      <w:spacing w:line="471" w:lineRule="atLeast"/>
    </w:pPr>
    <w:rPr>
      <w:rFonts w:ascii="仿宋_GB2312" w:eastAsia="仿宋_GB2312" w:cs="仿宋_GB2312"/>
      <w:color w:val="auto"/>
    </w:rPr>
  </w:style>
  <w:style w:type="paragraph" w:customStyle="1" w:styleId="587">
    <w:name w:val="CM7"/>
    <w:basedOn w:val="151"/>
    <w:next w:val="151"/>
    <w:semiHidden/>
    <w:qFormat/>
    <w:uiPriority w:val="0"/>
    <w:pPr>
      <w:spacing w:line="468" w:lineRule="atLeast"/>
    </w:pPr>
    <w:rPr>
      <w:rFonts w:ascii="仿宋_GB2312" w:eastAsia="仿宋_GB2312" w:cs="仿宋_GB2312"/>
      <w:color w:val="auto"/>
    </w:rPr>
  </w:style>
  <w:style w:type="paragraph" w:customStyle="1" w:styleId="588">
    <w:name w:val="CM8"/>
    <w:basedOn w:val="151"/>
    <w:next w:val="151"/>
    <w:semiHidden/>
    <w:qFormat/>
    <w:uiPriority w:val="0"/>
    <w:pPr>
      <w:spacing w:line="468" w:lineRule="atLeast"/>
    </w:pPr>
    <w:rPr>
      <w:rFonts w:ascii="仿宋_GB2312" w:eastAsia="仿宋_GB2312" w:cs="仿宋_GB2312"/>
      <w:color w:val="auto"/>
    </w:rPr>
  </w:style>
  <w:style w:type="paragraph" w:customStyle="1" w:styleId="589">
    <w:name w:val="CM9"/>
    <w:basedOn w:val="151"/>
    <w:next w:val="151"/>
    <w:semiHidden/>
    <w:qFormat/>
    <w:uiPriority w:val="0"/>
    <w:pPr>
      <w:spacing w:line="468" w:lineRule="atLeast"/>
    </w:pPr>
    <w:rPr>
      <w:rFonts w:ascii="仿宋_GB2312" w:eastAsia="仿宋_GB2312" w:cs="仿宋_GB2312"/>
      <w:color w:val="auto"/>
    </w:rPr>
  </w:style>
  <w:style w:type="paragraph" w:customStyle="1" w:styleId="590">
    <w:name w:val="CM129"/>
    <w:basedOn w:val="151"/>
    <w:next w:val="151"/>
    <w:semiHidden/>
    <w:qFormat/>
    <w:uiPriority w:val="0"/>
    <w:pPr>
      <w:spacing w:after="365"/>
    </w:pPr>
    <w:rPr>
      <w:rFonts w:ascii="仿宋_GB2312" w:eastAsia="仿宋_GB2312" w:cs="仿宋_GB2312"/>
      <w:color w:val="auto"/>
    </w:rPr>
  </w:style>
  <w:style w:type="paragraph" w:customStyle="1" w:styleId="591">
    <w:name w:val="CM22"/>
    <w:basedOn w:val="151"/>
    <w:next w:val="151"/>
    <w:semiHidden/>
    <w:qFormat/>
    <w:uiPriority w:val="0"/>
    <w:pPr>
      <w:spacing w:line="468" w:lineRule="atLeast"/>
    </w:pPr>
    <w:rPr>
      <w:rFonts w:ascii="仿宋_GB2312" w:eastAsia="仿宋_GB2312" w:cs="仿宋_GB2312"/>
      <w:color w:val="auto"/>
    </w:rPr>
  </w:style>
  <w:style w:type="paragraph" w:customStyle="1" w:styleId="592">
    <w:name w:val="CM87"/>
    <w:basedOn w:val="151"/>
    <w:next w:val="151"/>
    <w:semiHidden/>
    <w:qFormat/>
    <w:uiPriority w:val="0"/>
    <w:pPr>
      <w:spacing w:line="468" w:lineRule="atLeast"/>
    </w:pPr>
    <w:rPr>
      <w:rFonts w:ascii="仿宋_GB2312" w:eastAsia="仿宋_GB2312" w:cs="仿宋_GB2312"/>
      <w:color w:val="auto"/>
    </w:rPr>
  </w:style>
  <w:style w:type="paragraph" w:customStyle="1" w:styleId="593">
    <w:name w:val="CM25"/>
    <w:basedOn w:val="151"/>
    <w:next w:val="151"/>
    <w:semiHidden/>
    <w:qFormat/>
    <w:uiPriority w:val="0"/>
    <w:pPr>
      <w:spacing w:line="468" w:lineRule="atLeast"/>
    </w:pPr>
    <w:rPr>
      <w:rFonts w:ascii="仿宋_GB2312" w:eastAsia="仿宋_GB2312" w:cs="仿宋_GB2312"/>
      <w:color w:val="auto"/>
    </w:rPr>
  </w:style>
  <w:style w:type="paragraph" w:customStyle="1" w:styleId="594">
    <w:name w:val="CM26"/>
    <w:basedOn w:val="151"/>
    <w:next w:val="151"/>
    <w:semiHidden/>
    <w:qFormat/>
    <w:uiPriority w:val="0"/>
    <w:pPr>
      <w:spacing w:line="468" w:lineRule="atLeast"/>
    </w:pPr>
    <w:rPr>
      <w:rFonts w:ascii="仿宋_GB2312" w:eastAsia="仿宋_GB2312" w:cs="仿宋_GB2312"/>
      <w:color w:val="auto"/>
    </w:rPr>
  </w:style>
  <w:style w:type="paragraph" w:customStyle="1" w:styleId="595">
    <w:name w:val="CM21"/>
    <w:basedOn w:val="151"/>
    <w:next w:val="151"/>
    <w:semiHidden/>
    <w:qFormat/>
    <w:uiPriority w:val="0"/>
    <w:pPr>
      <w:spacing w:line="468" w:lineRule="atLeast"/>
    </w:pPr>
    <w:rPr>
      <w:rFonts w:ascii="仿宋_GB2312" w:eastAsia="仿宋_GB2312" w:cs="仿宋_GB2312"/>
      <w:color w:val="auto"/>
    </w:rPr>
  </w:style>
  <w:style w:type="paragraph" w:customStyle="1" w:styleId="596">
    <w:name w:val="Char Char Char Char Char Char Char Char Char Char Char Char"/>
    <w:basedOn w:val="1"/>
    <w:qFormat/>
    <w:uiPriority w:val="0"/>
    <w:pPr>
      <w:tabs>
        <w:tab w:val="clear" w:pos="480"/>
      </w:tabs>
      <w:adjustRightInd w:val="0"/>
      <w:ind w:firstLine="540" w:firstLineChars="225"/>
      <w:jc w:val="left"/>
    </w:pPr>
    <w:rPr>
      <w:rFonts w:ascii="宋体" w:hAnsi="宋体" w:cs="Arial"/>
      <w:snapToGrid w:val="0"/>
      <w:kern w:val="0"/>
      <w:sz w:val="21"/>
      <w:szCs w:val="21"/>
      <w:lang w:val="eu-ES"/>
    </w:rPr>
  </w:style>
  <w:style w:type="paragraph" w:customStyle="1" w:styleId="597">
    <w:name w:val="Char Char Char1"/>
    <w:basedOn w:val="1"/>
    <w:semiHidden/>
    <w:qFormat/>
    <w:uiPriority w:val="0"/>
    <w:pPr>
      <w:tabs>
        <w:tab w:val="clear" w:pos="480"/>
      </w:tabs>
    </w:pPr>
    <w:rPr>
      <w:rFonts w:ascii="宋体" w:hAnsi="宋体" w:cs="宋体"/>
    </w:rPr>
  </w:style>
  <w:style w:type="paragraph" w:customStyle="1" w:styleId="598">
    <w:name w:val="样式 样式 标题 1章节标题章标题 1-*+h11st levelSection Headl1b1本标题不使用篇标...1 + ..."/>
    <w:basedOn w:val="1"/>
    <w:semiHidden/>
    <w:qFormat/>
    <w:uiPriority w:val="0"/>
    <w:pPr>
      <w:keepNext/>
      <w:keepLines/>
      <w:tabs>
        <w:tab w:val="clear" w:pos="480"/>
      </w:tabs>
      <w:spacing w:before="240" w:after="120"/>
      <w:jc w:val="left"/>
      <w:outlineLvl w:val="0"/>
    </w:pPr>
    <w:rPr>
      <w:rFonts w:eastAsia="黑体" w:cs="宋体"/>
      <w:b/>
      <w:bCs/>
      <w:kern w:val="44"/>
      <w:sz w:val="28"/>
      <w:szCs w:val="28"/>
    </w:rPr>
  </w:style>
  <w:style w:type="paragraph" w:customStyle="1" w:styleId="599">
    <w:name w:val="Char Char Char Char Char Char1 Char1"/>
    <w:basedOn w:val="1"/>
    <w:semiHidden/>
    <w:qFormat/>
    <w:uiPriority w:val="0"/>
    <w:pPr>
      <w:tabs>
        <w:tab w:val="clear" w:pos="480"/>
      </w:tabs>
    </w:pPr>
    <w:rPr>
      <w:rFonts w:ascii="宋体" w:hAnsi="宋体" w:cs="宋体"/>
    </w:rPr>
  </w:style>
  <w:style w:type="character" w:customStyle="1" w:styleId="600">
    <w:name w:val="tit2"/>
    <w:semiHidden/>
    <w:qFormat/>
    <w:uiPriority w:val="0"/>
    <w:rPr>
      <w:b/>
      <w:bCs/>
      <w:sz w:val="48"/>
      <w:szCs w:val="48"/>
    </w:rPr>
  </w:style>
  <w:style w:type="paragraph" w:customStyle="1" w:styleId="601">
    <w:name w:val="标题四"/>
    <w:basedOn w:val="1"/>
    <w:semiHidden/>
    <w:qFormat/>
    <w:uiPriority w:val="0"/>
    <w:pPr>
      <w:tabs>
        <w:tab w:val="clear" w:pos="480"/>
      </w:tabs>
      <w:ind w:firstLine="480"/>
    </w:pPr>
    <w:rPr>
      <w:bCs/>
      <w:szCs w:val="20"/>
    </w:rPr>
  </w:style>
  <w:style w:type="paragraph" w:customStyle="1" w:styleId="602">
    <w:name w:val="表头样式"/>
    <w:basedOn w:val="1"/>
    <w:semiHidden/>
    <w:qFormat/>
    <w:uiPriority w:val="0"/>
    <w:pPr>
      <w:tabs>
        <w:tab w:val="left" w:pos="3060"/>
        <w:tab w:val="clear" w:pos="480"/>
      </w:tabs>
      <w:spacing w:beforeLines="50"/>
      <w:jc w:val="center"/>
    </w:pPr>
    <w:rPr>
      <w:rFonts w:hAnsi="宋体"/>
      <w:b/>
      <w:bCs/>
    </w:rPr>
  </w:style>
  <w:style w:type="paragraph" w:customStyle="1" w:styleId="603">
    <w:name w:val="样式 (符号) 宋体 小四 黑色 首行缩进:  2 字符"/>
    <w:basedOn w:val="1"/>
    <w:semiHidden/>
    <w:qFormat/>
    <w:uiPriority w:val="0"/>
    <w:pPr>
      <w:tabs>
        <w:tab w:val="clear" w:pos="480"/>
      </w:tabs>
      <w:spacing w:line="440" w:lineRule="exact"/>
      <w:ind w:firstLine="480"/>
    </w:pPr>
    <w:rPr>
      <w:rFonts w:hAnsi="宋体" w:cs="宋体"/>
      <w:color w:val="000000"/>
      <w:szCs w:val="20"/>
    </w:rPr>
  </w:style>
  <w:style w:type="paragraph" w:styleId="604">
    <w:name w:val="List Paragraph"/>
    <w:basedOn w:val="1"/>
    <w:qFormat/>
    <w:uiPriority w:val="34"/>
    <w:pPr>
      <w:tabs>
        <w:tab w:val="clear" w:pos="480"/>
      </w:tabs>
      <w:spacing w:line="240" w:lineRule="auto"/>
      <w:ind w:firstLine="420"/>
    </w:pPr>
    <w:rPr>
      <w:rFonts w:ascii="Calibri" w:hAnsi="Calibri"/>
      <w:sz w:val="21"/>
      <w:szCs w:val="22"/>
    </w:rPr>
  </w:style>
  <w:style w:type="paragraph" w:customStyle="1" w:styleId="605">
    <w:name w:val="Char Char1 Char Char Char Char Char Char Char Char Char Char Char Char Char Char Char Char Char Char Char Char Char Char Char Char Char Char Char Char Char Char1 Char Char Char Char"/>
    <w:basedOn w:val="1"/>
    <w:semiHidden/>
    <w:qFormat/>
    <w:uiPriority w:val="0"/>
    <w:pPr>
      <w:tabs>
        <w:tab w:val="clear" w:pos="480"/>
      </w:tabs>
      <w:spacing w:line="240" w:lineRule="auto"/>
    </w:pPr>
    <w:rPr>
      <w:sz w:val="21"/>
    </w:rPr>
  </w:style>
  <w:style w:type="paragraph" w:customStyle="1" w:styleId="606">
    <w:name w:val="Char Char Char1 Char Char Char Char Char Char Char Char Char Char Char Char Char Char Char Char Char Char Char Char Char Char Char Char Char Char Char Char"/>
    <w:basedOn w:val="1"/>
    <w:semiHidden/>
    <w:qFormat/>
    <w:uiPriority w:val="0"/>
    <w:pPr>
      <w:tabs>
        <w:tab w:val="clear" w:pos="480"/>
      </w:tabs>
      <w:spacing w:line="240" w:lineRule="auto"/>
    </w:pPr>
    <w:rPr>
      <w:sz w:val="21"/>
    </w:rPr>
  </w:style>
  <w:style w:type="paragraph" w:customStyle="1" w:styleId="607">
    <w:name w:val="ST20_1"/>
    <w:basedOn w:val="1"/>
    <w:semiHidden/>
    <w:qFormat/>
    <w:uiPriority w:val="0"/>
    <w:pPr>
      <w:tabs>
        <w:tab w:val="clear" w:pos="480"/>
      </w:tabs>
      <w:autoSpaceDE w:val="0"/>
      <w:autoSpaceDN w:val="0"/>
      <w:adjustRightInd w:val="0"/>
      <w:spacing w:line="312" w:lineRule="atLeast"/>
      <w:jc w:val="center"/>
      <w:textAlignment w:val="baseline"/>
    </w:pPr>
    <w:rPr>
      <w:rFonts w:ascii="宋体" w:hAnsi="Tms Rmn"/>
      <w:kern w:val="0"/>
      <w:szCs w:val="20"/>
    </w:rPr>
  </w:style>
  <w:style w:type="paragraph" w:customStyle="1" w:styleId="608">
    <w:name w:val="样式 题注 + 首行缩进:  2 字符"/>
    <w:basedOn w:val="21"/>
    <w:semiHidden/>
    <w:qFormat/>
    <w:uiPriority w:val="0"/>
    <w:pPr>
      <w:widowControl w:val="0"/>
      <w:adjustRightInd/>
      <w:snapToGrid/>
      <w:spacing w:before="0" w:after="0"/>
      <w:ind w:firstLine="400"/>
    </w:pPr>
    <w:rPr>
      <w:rFonts w:cs="宋体"/>
      <w:b/>
      <w:color w:val="auto"/>
      <w:sz w:val="20"/>
    </w:rPr>
  </w:style>
  <w:style w:type="paragraph" w:customStyle="1" w:styleId="609">
    <w:name w:val="样式 题注 + 宋体 小四 非加粗"/>
    <w:basedOn w:val="21"/>
    <w:link w:val="611"/>
    <w:semiHidden/>
    <w:qFormat/>
    <w:uiPriority w:val="0"/>
    <w:pPr>
      <w:keepNext/>
      <w:widowControl w:val="0"/>
      <w:adjustRightInd/>
      <w:snapToGrid/>
      <w:spacing w:line="240" w:lineRule="auto"/>
      <w:ind w:firstLine="0" w:firstLineChars="0"/>
    </w:pPr>
    <w:rPr>
      <w:rFonts w:ascii="宋体" w:hAnsi="宋体" w:cs="仿宋_GB2312"/>
      <w:b/>
      <w:bCs/>
      <w:color w:val="auto"/>
      <w:spacing w:val="4"/>
      <w:szCs w:val="21"/>
    </w:rPr>
  </w:style>
  <w:style w:type="character" w:customStyle="1" w:styleId="610">
    <w:name w:val="Char Char4"/>
    <w:qFormat/>
    <w:uiPriority w:val="0"/>
    <w:rPr>
      <w:rFonts w:ascii="宋体" w:hAnsi="宋体" w:cs="仿宋_GB2312"/>
      <w:b/>
      <w:bCs/>
      <w:kern w:val="2"/>
      <w:sz w:val="24"/>
      <w:szCs w:val="21"/>
    </w:rPr>
  </w:style>
  <w:style w:type="character" w:customStyle="1" w:styleId="611">
    <w:name w:val="样式 题注 + 宋体 小四 非加粗 Char"/>
    <w:link w:val="609"/>
    <w:qFormat/>
    <w:uiPriority w:val="0"/>
    <w:rPr>
      <w:rFonts w:ascii="宋体" w:hAnsi="宋体" w:eastAsia="宋体" w:cs="仿宋_GB2312"/>
      <w:b/>
      <w:bCs/>
      <w:spacing w:val="4"/>
      <w:kern w:val="2"/>
      <w:sz w:val="24"/>
      <w:szCs w:val="21"/>
      <w:lang w:val="en-US" w:eastAsia="zh-CN" w:bidi="ar-SA"/>
    </w:rPr>
  </w:style>
  <w:style w:type="paragraph" w:customStyle="1" w:styleId="612">
    <w:name w:val="样式 行距: 1.5 倍行距"/>
    <w:basedOn w:val="1"/>
    <w:qFormat/>
    <w:uiPriority w:val="0"/>
    <w:pPr>
      <w:tabs>
        <w:tab w:val="clear" w:pos="480"/>
      </w:tabs>
      <w:ind w:firstLine="480"/>
    </w:pPr>
    <w:rPr>
      <w:rFonts w:cs="宋体"/>
      <w:szCs w:val="20"/>
    </w:rPr>
  </w:style>
  <w:style w:type="paragraph" w:customStyle="1" w:styleId="613">
    <w:name w:val="样式 题注 + 非加粗 黑色"/>
    <w:basedOn w:val="21"/>
    <w:link w:val="614"/>
    <w:semiHidden/>
    <w:qFormat/>
    <w:uiPriority w:val="0"/>
    <w:pPr>
      <w:keepNext/>
      <w:widowControl w:val="0"/>
      <w:adjustRightInd/>
      <w:snapToGrid/>
      <w:spacing w:line="240" w:lineRule="auto"/>
      <w:ind w:firstLine="0" w:firstLineChars="0"/>
    </w:pPr>
    <w:rPr>
      <w:rFonts w:ascii="宋体" w:hAnsi="宋体" w:cs="仿宋_GB2312"/>
      <w:b/>
      <w:bCs/>
      <w:szCs w:val="21"/>
    </w:rPr>
  </w:style>
  <w:style w:type="character" w:customStyle="1" w:styleId="614">
    <w:name w:val="样式 题注 + 非加粗 黑色 Char"/>
    <w:link w:val="613"/>
    <w:qFormat/>
    <w:uiPriority w:val="0"/>
    <w:rPr>
      <w:rFonts w:ascii="宋体" w:hAnsi="宋体" w:eastAsia="宋体" w:cs="仿宋_GB2312"/>
      <w:b/>
      <w:bCs/>
      <w:color w:val="000000"/>
      <w:kern w:val="2"/>
      <w:sz w:val="24"/>
      <w:szCs w:val="21"/>
      <w:lang w:val="en-US" w:eastAsia="zh-CN" w:bidi="ar-SA"/>
    </w:rPr>
  </w:style>
  <w:style w:type="paragraph" w:customStyle="1" w:styleId="615">
    <w:name w:val="样式 行距: 1.5 倍行距1"/>
    <w:basedOn w:val="1"/>
    <w:semiHidden/>
    <w:qFormat/>
    <w:uiPriority w:val="0"/>
    <w:pPr>
      <w:tabs>
        <w:tab w:val="clear" w:pos="480"/>
      </w:tabs>
      <w:ind w:firstLine="496"/>
    </w:pPr>
    <w:rPr>
      <w:rFonts w:cs="宋体"/>
      <w:szCs w:val="20"/>
    </w:rPr>
  </w:style>
  <w:style w:type="paragraph" w:customStyle="1" w:styleId="616">
    <w:name w:val="样式 标题 2节SeHead wsa2H21标题 1.1Chapter TitleChapter节标题 1.1..."/>
    <w:basedOn w:val="3"/>
    <w:semiHidden/>
    <w:qFormat/>
    <w:uiPriority w:val="0"/>
    <w:pPr>
      <w:tabs>
        <w:tab w:val="clear" w:pos="480"/>
        <w:tab w:val="clear" w:pos="630"/>
      </w:tabs>
      <w:adjustRightInd w:val="0"/>
      <w:snapToGrid w:val="0"/>
      <w:spacing w:beforeLines="50" w:afterLines="50"/>
      <w:ind w:left="576" w:hanging="576"/>
      <w:jc w:val="left"/>
      <w:textAlignment w:val="baseline"/>
    </w:pPr>
    <w:rPr>
      <w:rFonts w:ascii="宋体" w:hAnsi="宋体" w:cs="宋体"/>
      <w:sz w:val="30"/>
      <w:szCs w:val="20"/>
    </w:rPr>
  </w:style>
  <w:style w:type="paragraph" w:customStyle="1" w:styleId="617">
    <w:name w:val="样式8"/>
    <w:basedOn w:val="1"/>
    <w:link w:val="621"/>
    <w:qFormat/>
    <w:uiPriority w:val="0"/>
    <w:pPr>
      <w:tabs>
        <w:tab w:val="clear" w:pos="480"/>
      </w:tabs>
      <w:adjustRightInd w:val="0"/>
      <w:snapToGrid w:val="0"/>
      <w:ind w:firstLine="420"/>
    </w:pPr>
    <w:rPr>
      <w:rFonts w:hAnsi="宋体"/>
    </w:rPr>
  </w:style>
  <w:style w:type="character" w:customStyle="1" w:styleId="618">
    <w:name w:val="样式 正文 +"/>
    <w:semiHidden/>
    <w:qFormat/>
    <w:uiPriority w:val="0"/>
    <w:rPr>
      <w:rFonts w:ascii="Times New Roman" w:hAnsi="Times New Roman" w:eastAsia="宋体"/>
      <w:snapToGrid/>
      <w:spacing w:val="0"/>
      <w:w w:val="100"/>
      <w:kern w:val="2"/>
      <w:position w:val="0"/>
      <w:sz w:val="24"/>
    </w:rPr>
  </w:style>
  <w:style w:type="paragraph" w:customStyle="1" w:styleId="619">
    <w:name w:val="Char Char"/>
    <w:basedOn w:val="1"/>
    <w:semiHidden/>
    <w:qFormat/>
    <w:uiPriority w:val="0"/>
    <w:pPr>
      <w:tabs>
        <w:tab w:val="left" w:pos="0"/>
        <w:tab w:val="clear" w:pos="480"/>
      </w:tabs>
      <w:spacing w:line="240" w:lineRule="auto"/>
    </w:pPr>
    <w:rPr>
      <w:sz w:val="21"/>
      <w:szCs w:val="21"/>
    </w:rPr>
  </w:style>
  <w:style w:type="paragraph" w:customStyle="1" w:styleId="620">
    <w:name w:val="Char Char Char1 Char1"/>
    <w:basedOn w:val="1"/>
    <w:semiHidden/>
    <w:qFormat/>
    <w:uiPriority w:val="0"/>
    <w:pPr>
      <w:tabs>
        <w:tab w:val="clear" w:pos="480"/>
      </w:tabs>
      <w:spacing w:line="240" w:lineRule="auto"/>
    </w:pPr>
    <w:rPr>
      <w:sz w:val="21"/>
      <w:szCs w:val="20"/>
    </w:rPr>
  </w:style>
  <w:style w:type="character" w:customStyle="1" w:styleId="621">
    <w:name w:val="样式8 Char"/>
    <w:link w:val="617"/>
    <w:qFormat/>
    <w:uiPriority w:val="0"/>
    <w:rPr>
      <w:rFonts w:hAnsi="宋体" w:eastAsia="宋体"/>
      <w:kern w:val="2"/>
      <w:sz w:val="24"/>
      <w:szCs w:val="24"/>
      <w:lang w:val="en-US" w:eastAsia="zh-CN" w:bidi="ar-SA"/>
    </w:rPr>
  </w:style>
  <w:style w:type="character" w:customStyle="1" w:styleId="622">
    <w:name w:val="ZX 1 表标题 Char"/>
    <w:link w:val="623"/>
    <w:qFormat/>
    <w:uiPriority w:val="0"/>
    <w:rPr>
      <w:rFonts w:cs="宋体"/>
      <w:b/>
      <w:kern w:val="2"/>
      <w:sz w:val="21"/>
    </w:rPr>
  </w:style>
  <w:style w:type="paragraph" w:customStyle="1" w:styleId="623">
    <w:name w:val="ZX 1 表标题"/>
    <w:basedOn w:val="1"/>
    <w:link w:val="622"/>
    <w:qFormat/>
    <w:uiPriority w:val="0"/>
    <w:pPr>
      <w:numPr>
        <w:ilvl w:val="0"/>
        <w:numId w:val="11"/>
      </w:numPr>
      <w:tabs>
        <w:tab w:val="clear" w:pos="480"/>
      </w:tabs>
      <w:ind w:left="0" w:firstLine="0" w:firstLineChars="0"/>
      <w:jc w:val="center"/>
    </w:pPr>
    <w:rPr>
      <w:rFonts w:cs="宋体"/>
      <w:b/>
      <w:sz w:val="21"/>
      <w:szCs w:val="20"/>
    </w:rPr>
  </w:style>
  <w:style w:type="paragraph" w:customStyle="1" w:styleId="624">
    <w:name w:val="默认段落字体 Para Char Char Char Char Char Char Char Char Char Char"/>
    <w:basedOn w:val="4"/>
    <w:qFormat/>
    <w:uiPriority w:val="0"/>
    <w:pPr>
      <w:numPr>
        <w:ilvl w:val="0"/>
        <w:numId w:val="0"/>
      </w:numPr>
      <w:tabs>
        <w:tab w:val="left" w:pos="360"/>
        <w:tab w:val="left" w:pos="900"/>
        <w:tab w:val="clear" w:pos="480"/>
        <w:tab w:val="clear" w:pos="840"/>
      </w:tabs>
      <w:snapToGrid w:val="0"/>
      <w:spacing w:after="120" w:line="360" w:lineRule="auto"/>
      <w:ind w:left="542" w:leftChars="-12" w:firstLine="200" w:firstLineChars="200"/>
      <w:jc w:val="left"/>
    </w:pPr>
    <w:rPr>
      <w:rFonts w:ascii="Times New Roman" w:eastAsia="黑体"/>
      <w:b w:val="0"/>
      <w:bCs w:val="0"/>
      <w:snapToGrid w:val="0"/>
      <w:sz w:val="24"/>
      <w:szCs w:val="24"/>
    </w:rPr>
  </w:style>
  <w:style w:type="paragraph" w:customStyle="1" w:styleId="625">
    <w:name w:val="Char Char Char1 Char Char Char Char Char Char"/>
    <w:basedOn w:val="1"/>
    <w:semiHidden/>
    <w:qFormat/>
    <w:uiPriority w:val="0"/>
    <w:pPr>
      <w:tabs>
        <w:tab w:val="clear" w:pos="480"/>
      </w:tabs>
    </w:pPr>
    <w:rPr>
      <w:rFonts w:ascii="宋体" w:hAnsi="宋体" w:cs="宋体"/>
    </w:rPr>
  </w:style>
  <w:style w:type="character" w:customStyle="1" w:styleId="626">
    <w:name w:val="myfont11"/>
    <w:semiHidden/>
    <w:qFormat/>
    <w:uiPriority w:val="0"/>
    <w:rPr>
      <w:rFonts w:hint="default"/>
      <w:color w:val="000000"/>
      <w:spacing w:val="360"/>
      <w:sz w:val="18"/>
      <w:szCs w:val="18"/>
    </w:rPr>
  </w:style>
  <w:style w:type="character" w:customStyle="1" w:styleId="627">
    <w:name w:val="样式 (西文) Arial (中文) 楷体_GB2312"/>
    <w:semiHidden/>
    <w:qFormat/>
    <w:uiPriority w:val="0"/>
    <w:rPr>
      <w:rFonts w:ascii="宋体" w:hAnsi="Arial" w:eastAsia="宋体"/>
      <w:color w:val="auto"/>
      <w:spacing w:val="8"/>
      <w:w w:val="100"/>
      <w:kern w:val="0"/>
      <w:position w:val="0"/>
      <w:sz w:val="24"/>
      <w:szCs w:val="24"/>
      <w:u w:val="none"/>
      <w:vertAlign w:val="baseline"/>
    </w:rPr>
  </w:style>
  <w:style w:type="paragraph" w:customStyle="1" w:styleId="628">
    <w:name w:val="样式9"/>
    <w:basedOn w:val="20"/>
    <w:link w:val="2127"/>
    <w:qFormat/>
    <w:uiPriority w:val="0"/>
    <w:pPr>
      <w:tabs>
        <w:tab w:val="clear" w:pos="480"/>
      </w:tabs>
      <w:ind w:firstLine="480"/>
    </w:pPr>
    <w:rPr>
      <w:rFonts w:ascii="宋体"/>
      <w:snapToGrid w:val="0"/>
    </w:rPr>
  </w:style>
  <w:style w:type="character" w:customStyle="1" w:styleId="629">
    <w:name w:val="正文缩进 Char Char"/>
    <w:qFormat/>
    <w:uiPriority w:val="0"/>
    <w:rPr>
      <w:rFonts w:eastAsia="仿宋_GB2312"/>
      <w:kern w:val="2"/>
      <w:sz w:val="24"/>
      <w:szCs w:val="24"/>
      <w:lang w:val="en-US" w:eastAsia="zh-CN" w:bidi="ar-SA"/>
    </w:rPr>
  </w:style>
  <w:style w:type="paragraph" w:customStyle="1" w:styleId="630">
    <w:name w:val="样式10"/>
    <w:basedOn w:val="170"/>
    <w:link w:val="1476"/>
    <w:qFormat/>
    <w:uiPriority w:val="0"/>
    <w:pPr>
      <w:widowControl w:val="0"/>
      <w:autoSpaceDE w:val="0"/>
      <w:autoSpaceDN w:val="0"/>
      <w:adjustRightInd w:val="0"/>
      <w:spacing w:line="360" w:lineRule="auto"/>
      <w:textAlignment w:val="baseline"/>
    </w:pPr>
    <w:rPr>
      <w:rFonts w:ascii="宋体" w:hAnsi="宋体"/>
      <w:b/>
      <w:snapToGrid/>
      <w:color w:val="auto"/>
      <w:kern w:val="0"/>
      <w:sz w:val="24"/>
      <w:szCs w:val="20"/>
    </w:rPr>
  </w:style>
  <w:style w:type="paragraph" w:customStyle="1" w:styleId="631">
    <w:name w:val="样式11"/>
    <w:basedOn w:val="175"/>
    <w:link w:val="2161"/>
    <w:qFormat/>
    <w:uiPriority w:val="0"/>
    <w:pPr>
      <w:widowControl w:val="0"/>
      <w:snapToGrid/>
      <w:spacing w:line="300" w:lineRule="auto"/>
      <w:ind w:firstLine="0"/>
    </w:pPr>
    <w:rPr>
      <w:rFonts w:ascii="宋体"/>
      <w:b w:val="0"/>
      <w:snapToGrid w:val="0"/>
      <w:sz w:val="21"/>
      <w:lang w:val="en-US"/>
    </w:rPr>
  </w:style>
  <w:style w:type="character" w:customStyle="1" w:styleId="632">
    <w:name w:val="p15"/>
    <w:basedOn w:val="133"/>
    <w:qFormat/>
    <w:uiPriority w:val="0"/>
  </w:style>
  <w:style w:type="paragraph" w:customStyle="1" w:styleId="633">
    <w:name w:val="封面3"/>
    <w:basedOn w:val="634"/>
    <w:qFormat/>
    <w:uiPriority w:val="0"/>
    <w:pPr/>
    <w:rPr>
      <w:rFonts w:ascii="宋体" w:hAnsi="宋体"/>
      <w:sz w:val="72"/>
      <w:szCs w:val="72"/>
    </w:rPr>
  </w:style>
  <w:style w:type="paragraph" w:customStyle="1" w:styleId="634">
    <w:name w:val="封面2"/>
    <w:basedOn w:val="1"/>
    <w:qFormat/>
    <w:uiPriority w:val="0"/>
    <w:pPr>
      <w:tabs>
        <w:tab w:val="clear" w:pos="480"/>
      </w:tabs>
      <w:spacing w:line="240" w:lineRule="auto"/>
      <w:jc w:val="center"/>
    </w:pPr>
    <w:rPr>
      <w:b/>
      <w:sz w:val="44"/>
    </w:rPr>
  </w:style>
  <w:style w:type="paragraph" w:customStyle="1" w:styleId="635">
    <w:name w:val="封面4"/>
    <w:basedOn w:val="192"/>
    <w:qFormat/>
    <w:uiPriority w:val="0"/>
    <w:pPr>
      <w:tabs>
        <w:tab w:val="clear" w:pos="432"/>
      </w:tabs>
      <w:snapToGrid w:val="0"/>
    </w:pPr>
    <w:rPr>
      <w:rFonts w:ascii="Times New Roman" w:hAnsi="Times New Roman" w:eastAsia="宋体"/>
      <w:b/>
      <w:bCs/>
      <w:color w:val="000000"/>
      <w:kern w:val="2"/>
      <w:szCs w:val="24"/>
      <w:bdr w:val="single" w:color="auto" w:sz="4" w:space="0"/>
      <w14:shadow w14:blurRad="0" w14:dist="0" w14:dir="0" w14:sx="0" w14:sy="0" w14:kx="0" w14:ky="0" w14:algn="none">
        <w14:srgbClr w14:val="000000"/>
      </w14:shadow>
    </w:rPr>
  </w:style>
  <w:style w:type="character" w:customStyle="1" w:styleId="636">
    <w:name w:val="样式 表格 + 宋体 五号 Char"/>
    <w:semiHidden/>
    <w:qFormat/>
    <w:uiPriority w:val="0"/>
    <w:rPr>
      <w:rFonts w:ascii="宋体" w:hAnsi="宋体" w:eastAsia="宋体"/>
      <w:sz w:val="21"/>
      <w:lang w:val="en-US" w:eastAsia="zh-CN" w:bidi="ar-SA"/>
    </w:rPr>
  </w:style>
  <w:style w:type="paragraph" w:customStyle="1" w:styleId="637">
    <w:name w:val="责任页"/>
    <w:basedOn w:val="1"/>
    <w:semiHidden/>
    <w:qFormat/>
    <w:uiPriority w:val="0"/>
    <w:pPr>
      <w:tabs>
        <w:tab w:val="clear" w:pos="480"/>
      </w:tabs>
      <w:spacing w:line="300" w:lineRule="auto"/>
    </w:pPr>
    <w:rPr>
      <w:sz w:val="28"/>
    </w:rPr>
  </w:style>
  <w:style w:type="paragraph" w:customStyle="1" w:styleId="638">
    <w:name w:val="正文(首行缩进)"/>
    <w:basedOn w:val="1"/>
    <w:link w:val="1354"/>
    <w:qFormat/>
    <w:uiPriority w:val="0"/>
    <w:pPr>
      <w:tabs>
        <w:tab w:val="clear" w:pos="480"/>
      </w:tabs>
      <w:ind w:firstLine="510"/>
    </w:pPr>
    <w:rPr>
      <w:rFonts w:ascii="宋体" w:hAnsi="宋体"/>
      <w:snapToGrid w:val="0"/>
      <w:kern w:val="0"/>
    </w:rPr>
  </w:style>
  <w:style w:type="paragraph" w:customStyle="1" w:styleId="639">
    <w:name w:val="表格名和图名"/>
    <w:basedOn w:val="1"/>
    <w:semiHidden/>
    <w:qFormat/>
    <w:uiPriority w:val="0"/>
    <w:pPr>
      <w:tabs>
        <w:tab w:val="clear" w:pos="480"/>
      </w:tabs>
      <w:jc w:val="center"/>
    </w:pPr>
    <w:rPr>
      <w:b/>
      <w:color w:val="000000"/>
    </w:rPr>
  </w:style>
  <w:style w:type="paragraph" w:customStyle="1" w:styleId="640">
    <w:name w:val="文本框1"/>
    <w:basedOn w:val="1"/>
    <w:semiHidden/>
    <w:qFormat/>
    <w:uiPriority w:val="0"/>
    <w:pPr>
      <w:tabs>
        <w:tab w:val="clear" w:pos="480"/>
      </w:tabs>
      <w:spacing w:line="240" w:lineRule="auto"/>
    </w:pPr>
    <w:rPr>
      <w:rFonts w:ascii="宋体" w:hAnsi="宋体"/>
      <w:szCs w:val="20"/>
    </w:rPr>
  </w:style>
  <w:style w:type="character" w:customStyle="1" w:styleId="641">
    <w:name w:val="copyright1"/>
    <w:semiHidden/>
    <w:qFormat/>
    <w:uiPriority w:val="0"/>
    <w:rPr>
      <w:rFonts w:hint="default"/>
      <w:color w:val="000000"/>
      <w:spacing w:val="360"/>
    </w:rPr>
  </w:style>
  <w:style w:type="character" w:customStyle="1" w:styleId="642">
    <w:name w:val="desctext1"/>
    <w:semiHidden/>
    <w:qFormat/>
    <w:uiPriority w:val="0"/>
    <w:rPr>
      <w:spacing w:val="15"/>
      <w:sz w:val="18"/>
      <w:szCs w:val="18"/>
    </w:rPr>
  </w:style>
  <w:style w:type="paragraph" w:customStyle="1" w:styleId="643">
    <w:name w:val="封面5"/>
    <w:basedOn w:val="1"/>
    <w:qFormat/>
    <w:uiPriority w:val="0"/>
    <w:pPr>
      <w:tabs>
        <w:tab w:val="clear" w:pos="480"/>
      </w:tabs>
      <w:snapToGrid w:val="0"/>
      <w:spacing w:line="240" w:lineRule="auto"/>
    </w:pPr>
    <w:rPr>
      <w:sz w:val="21"/>
    </w:rPr>
  </w:style>
  <w:style w:type="paragraph" w:customStyle="1" w:styleId="644">
    <w:name w:val="自制表格"/>
    <w:basedOn w:val="1"/>
    <w:next w:val="1"/>
    <w:semiHidden/>
    <w:qFormat/>
    <w:uiPriority w:val="0"/>
    <w:pPr>
      <w:tabs>
        <w:tab w:val="clear" w:pos="480"/>
      </w:tabs>
      <w:spacing w:after="120" w:line="240" w:lineRule="auto"/>
    </w:pPr>
    <w:rPr>
      <w:rFonts w:ascii="宋体"/>
      <w:kern w:val="10"/>
      <w:sz w:val="28"/>
      <w:szCs w:val="20"/>
    </w:rPr>
  </w:style>
  <w:style w:type="paragraph" w:customStyle="1" w:styleId="645">
    <w:name w:val="正文样式"/>
    <w:basedOn w:val="1"/>
    <w:semiHidden/>
    <w:qFormat/>
    <w:uiPriority w:val="0"/>
    <w:pPr>
      <w:tabs>
        <w:tab w:val="clear" w:pos="480"/>
      </w:tabs>
      <w:spacing w:line="240" w:lineRule="auto"/>
    </w:pPr>
    <w:rPr>
      <w:spacing w:val="4"/>
    </w:rPr>
  </w:style>
  <w:style w:type="paragraph" w:customStyle="1" w:styleId="646">
    <w:name w:val="环评正文"/>
    <w:basedOn w:val="1"/>
    <w:semiHidden/>
    <w:qFormat/>
    <w:uiPriority w:val="0"/>
    <w:pPr>
      <w:tabs>
        <w:tab w:val="clear" w:pos="480"/>
      </w:tabs>
    </w:pPr>
  </w:style>
  <w:style w:type="character" w:customStyle="1" w:styleId="647">
    <w:name w:val="aspmaker1"/>
    <w:semiHidden/>
    <w:qFormat/>
    <w:uiPriority w:val="0"/>
    <w:rPr>
      <w:rFonts w:hint="default" w:ascii="Verdana" w:hAnsi="Verdana"/>
      <w:sz w:val="20"/>
      <w:szCs w:val="20"/>
    </w:rPr>
  </w:style>
  <w:style w:type="character" w:customStyle="1" w:styleId="648">
    <w:name w:val="slink1"/>
    <w:semiHidden/>
    <w:qFormat/>
    <w:uiPriority w:val="0"/>
    <w:rPr>
      <w:rFonts w:hint="default" w:ascii="ˎ̥" w:hAnsi="ˎ̥"/>
      <w:sz w:val="18"/>
      <w:szCs w:val="18"/>
      <w:u w:val="none"/>
    </w:rPr>
  </w:style>
  <w:style w:type="paragraph" w:customStyle="1" w:styleId="649">
    <w:name w:val="TAB"/>
    <w:basedOn w:val="33"/>
    <w:semiHidden/>
    <w:qFormat/>
    <w:uiPriority w:val="0"/>
    <w:pPr>
      <w:widowControl/>
      <w:spacing w:before="60" w:after="60"/>
      <w:jc w:val="left"/>
    </w:pPr>
    <w:rPr>
      <w:rFonts w:ascii="Arial" w:hAnsi="Arial"/>
      <w:kern w:val="0"/>
      <w:sz w:val="18"/>
      <w:lang w:eastAsia="fr-FR"/>
    </w:rPr>
  </w:style>
  <w:style w:type="character" w:customStyle="1" w:styleId="650">
    <w:name w:val="about-left1"/>
    <w:semiHidden/>
    <w:qFormat/>
    <w:uiPriority w:val="0"/>
    <w:rPr>
      <w:color w:val="3A3A3A"/>
      <w:spacing w:val="15"/>
      <w:sz w:val="18"/>
      <w:szCs w:val="18"/>
      <w:u w:val="none"/>
    </w:rPr>
  </w:style>
  <w:style w:type="paragraph" w:customStyle="1" w:styleId="651">
    <w:name w:val="我的正文"/>
    <w:basedOn w:val="1"/>
    <w:semiHidden/>
    <w:qFormat/>
    <w:uiPriority w:val="0"/>
    <w:pPr>
      <w:tabs>
        <w:tab w:val="clear" w:pos="480"/>
      </w:tabs>
      <w:spacing w:line="440" w:lineRule="exact"/>
    </w:pPr>
  </w:style>
  <w:style w:type="paragraph" w:customStyle="1" w:styleId="652">
    <w:name w:val="二级无标题条"/>
    <w:basedOn w:val="1"/>
    <w:qFormat/>
    <w:uiPriority w:val="0"/>
    <w:pPr>
      <w:tabs>
        <w:tab w:val="clear" w:pos="480"/>
      </w:tabs>
      <w:spacing w:line="240" w:lineRule="auto"/>
    </w:pPr>
    <w:rPr>
      <w:sz w:val="21"/>
    </w:rPr>
  </w:style>
  <w:style w:type="paragraph" w:customStyle="1" w:styleId="653">
    <w:name w:val="comm3"/>
    <w:basedOn w:val="1"/>
    <w:semiHidden/>
    <w:qFormat/>
    <w:uiPriority w:val="0"/>
    <w:pPr>
      <w:widowControl/>
      <w:tabs>
        <w:tab w:val="clear" w:pos="480"/>
      </w:tabs>
      <w:spacing w:after="60" w:line="240" w:lineRule="auto"/>
      <w:jc w:val="center"/>
    </w:pPr>
    <w:rPr>
      <w:rFonts w:ascii="Arial" w:hAnsi="Arial"/>
      <w:kern w:val="0"/>
      <w:szCs w:val="20"/>
      <w:lang w:val="en-CA" w:eastAsia="en-US"/>
    </w:rPr>
  </w:style>
  <w:style w:type="paragraph" w:customStyle="1" w:styleId="654">
    <w:name w:val="样式 宋体 小四 首行缩进:  0.85 厘米 行距: 多倍行距 1.75 字行"/>
    <w:basedOn w:val="1"/>
    <w:semiHidden/>
    <w:qFormat/>
    <w:uiPriority w:val="0"/>
    <w:pPr>
      <w:tabs>
        <w:tab w:val="clear" w:pos="480"/>
      </w:tabs>
      <w:adjustRightInd w:val="0"/>
      <w:ind w:firstLine="340"/>
    </w:pPr>
    <w:rPr>
      <w:rFonts w:ascii="宋体" w:hAnsi="宋体"/>
      <w:szCs w:val="20"/>
    </w:rPr>
  </w:style>
  <w:style w:type="paragraph" w:customStyle="1" w:styleId="655">
    <w:name w:val="基准页脚样式"/>
    <w:basedOn w:val="33"/>
    <w:semiHidden/>
    <w:qFormat/>
    <w:uiPriority w:val="0"/>
    <w:pPr>
      <w:adjustRightInd w:val="0"/>
      <w:snapToGrid w:val="0"/>
      <w:jc w:val="center"/>
    </w:pPr>
    <w:rPr>
      <w:rFonts w:hAnsi="Times New Roman"/>
    </w:rPr>
  </w:style>
  <w:style w:type="paragraph" w:customStyle="1" w:styleId="656">
    <w:name w:val="小房1"/>
    <w:basedOn w:val="1"/>
    <w:semiHidden/>
    <w:qFormat/>
    <w:uiPriority w:val="0"/>
    <w:pPr>
      <w:tabs>
        <w:tab w:val="clear" w:pos="480"/>
      </w:tabs>
      <w:adjustRightInd w:val="0"/>
      <w:spacing w:before="60" w:line="276" w:lineRule="auto"/>
      <w:ind w:firstLine="482"/>
      <w:textAlignment w:val="baseline"/>
    </w:pPr>
    <w:rPr>
      <w:rFonts w:eastAsia="仿宋_GB2312"/>
      <w:kern w:val="0"/>
      <w:sz w:val="28"/>
      <w:szCs w:val="20"/>
    </w:rPr>
  </w:style>
  <w:style w:type="paragraph" w:customStyle="1" w:styleId="657">
    <w:name w:val="图表题"/>
    <w:next w:val="1"/>
    <w:semiHidden/>
    <w:qFormat/>
    <w:uiPriority w:val="0"/>
    <w:pPr>
      <w:spacing w:before="156" w:after="156" w:line="360" w:lineRule="exact"/>
      <w:jc w:val="center"/>
      <w:textAlignment w:val="center"/>
    </w:pPr>
    <w:rPr>
      <w:rFonts w:ascii="宋体" w:hAnsi="宋体" w:eastAsia="宋体" w:cs="Times New Roman"/>
      <w:b/>
      <w:kern w:val="2"/>
      <w:sz w:val="24"/>
      <w:szCs w:val="24"/>
      <w:lang w:val="en-US" w:eastAsia="zh-CN" w:bidi="ar-SA"/>
    </w:rPr>
  </w:style>
  <w:style w:type="character" w:customStyle="1" w:styleId="658">
    <w:name w:val="contenttext11"/>
    <w:semiHidden/>
    <w:qFormat/>
    <w:uiPriority w:val="0"/>
    <w:rPr>
      <w:rFonts w:hint="eastAsia" w:ascii="宋体" w:hAnsi="宋体" w:eastAsia="宋体"/>
      <w:color w:val="000000"/>
      <w:spacing w:val="240"/>
      <w:sz w:val="24"/>
      <w:szCs w:val="24"/>
    </w:rPr>
  </w:style>
  <w:style w:type="paragraph" w:customStyle="1" w:styleId="659">
    <w:name w:val="样式 标题 3"/>
    <w:basedOn w:val="4"/>
    <w:semiHidden/>
    <w:qFormat/>
    <w:uiPriority w:val="0"/>
    <w:pPr>
      <w:tabs>
        <w:tab w:val="clear" w:pos="480"/>
        <w:tab w:val="clear" w:pos="840"/>
      </w:tabs>
      <w:adjustRightInd w:val="0"/>
      <w:spacing w:before="260" w:line="360" w:lineRule="auto"/>
      <w:ind w:firstLine="113"/>
    </w:pPr>
    <w:rPr>
      <w:rFonts w:ascii="宋体" w:hAnsi="宋体" w:eastAsia="宋体"/>
      <w:spacing w:val="20"/>
      <w:kern w:val="11"/>
      <w:sz w:val="28"/>
      <w:szCs w:val="20"/>
    </w:rPr>
  </w:style>
  <w:style w:type="paragraph" w:customStyle="1" w:styleId="660">
    <w:name w:val="样式 标题 2"/>
    <w:basedOn w:val="3"/>
    <w:link w:val="2740"/>
    <w:semiHidden/>
    <w:qFormat/>
    <w:uiPriority w:val="0"/>
    <w:pPr>
      <w:numPr>
        <w:ilvl w:val="0"/>
        <w:numId w:val="0"/>
      </w:numPr>
      <w:tabs>
        <w:tab w:val="clear" w:pos="480"/>
        <w:tab w:val="clear" w:pos="630"/>
      </w:tabs>
      <w:adjustRightInd w:val="0"/>
      <w:spacing w:before="163" w:beforeAutospacing="1" w:after="0" w:afterAutospacing="1"/>
    </w:pPr>
    <w:rPr>
      <w:rFonts w:ascii="仿宋_GB2312" w:hAnsi="宋体" w:eastAsia="仿宋_GB2312"/>
      <w:sz w:val="30"/>
      <w:szCs w:val="20"/>
      <w:lang w:val="en-US"/>
    </w:rPr>
  </w:style>
  <w:style w:type="character" w:customStyle="1" w:styleId="661">
    <w:name w:val="unnamed31"/>
    <w:semiHidden/>
    <w:qFormat/>
    <w:uiPriority w:val="0"/>
    <w:rPr>
      <w:color w:val="000000"/>
      <w:spacing w:val="345"/>
      <w:sz w:val="20"/>
      <w:szCs w:val="20"/>
      <w:u w:val="none"/>
    </w:rPr>
  </w:style>
  <w:style w:type="paragraph" w:customStyle="1" w:styleId="662">
    <w:name w:val="封面标准文稿编辑信息"/>
    <w:semiHidden/>
    <w:qFormat/>
    <w:uiPriority w:val="0"/>
    <w:pPr>
      <w:spacing w:before="180" w:line="180" w:lineRule="exact"/>
      <w:jc w:val="center"/>
    </w:pPr>
    <w:rPr>
      <w:rFonts w:ascii="宋体" w:hAnsi="Times New Roman" w:eastAsia="宋体" w:cs="Times New Roman"/>
      <w:kern w:val="2"/>
      <w:sz w:val="21"/>
      <w:szCs w:val="24"/>
      <w:lang w:val="en-US" w:eastAsia="zh-CN" w:bidi="ar-SA"/>
    </w:rPr>
  </w:style>
  <w:style w:type="paragraph" w:customStyle="1" w:styleId="663">
    <w:name w:val="样式 正文缩进 + 首行缩进:  2 字符"/>
    <w:basedOn w:val="20"/>
    <w:link w:val="3358"/>
    <w:qFormat/>
    <w:uiPriority w:val="0"/>
    <w:pPr>
      <w:tabs>
        <w:tab w:val="clear" w:pos="480"/>
      </w:tabs>
      <w:ind w:firstLine="480"/>
    </w:pPr>
    <w:rPr>
      <w:rFonts w:ascii="宋体" w:hAnsi="宋体"/>
      <w:kern w:val="0"/>
      <w:szCs w:val="20"/>
    </w:rPr>
  </w:style>
  <w:style w:type="paragraph" w:customStyle="1" w:styleId="664">
    <w:name w:val="样式 标题 2 + 段前: 0 磅 段后: 0 磅 行距: 单倍行距"/>
    <w:basedOn w:val="3"/>
    <w:semiHidden/>
    <w:qFormat/>
    <w:uiPriority w:val="0"/>
    <w:pPr>
      <w:keepNext w:val="0"/>
      <w:keepLines w:val="0"/>
      <w:numPr>
        <w:ilvl w:val="0"/>
        <w:numId w:val="0"/>
      </w:numPr>
      <w:tabs>
        <w:tab w:val="clear" w:pos="480"/>
        <w:tab w:val="clear" w:pos="630"/>
      </w:tabs>
      <w:adjustRightInd w:val="0"/>
      <w:spacing w:before="0" w:beforeAutospacing="1" w:after="0" w:afterAutospacing="1" w:line="500" w:lineRule="exact"/>
    </w:pPr>
    <w:rPr>
      <w:rFonts w:ascii="宋体" w:hAnsi="宋体" w:eastAsia="黑体"/>
      <w:sz w:val="28"/>
      <w:szCs w:val="24"/>
    </w:rPr>
  </w:style>
  <w:style w:type="paragraph" w:customStyle="1" w:styleId="665">
    <w:name w:val="Char Char Char Char Char Char Char Char"/>
    <w:basedOn w:val="1"/>
    <w:semiHidden/>
    <w:qFormat/>
    <w:uiPriority w:val="0"/>
    <w:pPr>
      <w:tabs>
        <w:tab w:val="clear" w:pos="480"/>
      </w:tabs>
      <w:spacing w:line="240" w:lineRule="auto"/>
    </w:pPr>
  </w:style>
  <w:style w:type="paragraph" w:customStyle="1" w:styleId="666">
    <w:name w:val="Char Char Char Char Char Char Char Char Char"/>
    <w:basedOn w:val="1"/>
    <w:semiHidden/>
    <w:qFormat/>
    <w:uiPriority w:val="0"/>
    <w:pPr>
      <w:tabs>
        <w:tab w:val="clear" w:pos="480"/>
      </w:tabs>
      <w:spacing w:line="240" w:lineRule="auto"/>
    </w:pPr>
  </w:style>
  <w:style w:type="paragraph" w:customStyle="1" w:styleId="667">
    <w:name w:val="Char Char Char Char Char Char Char Char Char Char Char1 Char"/>
    <w:basedOn w:val="1"/>
    <w:semiHidden/>
    <w:qFormat/>
    <w:uiPriority w:val="0"/>
    <w:pPr>
      <w:tabs>
        <w:tab w:val="clear" w:pos="480"/>
      </w:tabs>
      <w:spacing w:line="240" w:lineRule="auto"/>
    </w:pPr>
  </w:style>
  <w:style w:type="character" w:customStyle="1" w:styleId="668">
    <w:name w:val="列表编号 5 Char"/>
    <w:semiHidden/>
    <w:qFormat/>
    <w:uiPriority w:val="0"/>
    <w:rPr>
      <w:rFonts w:eastAsia="宋体"/>
      <w:kern w:val="2"/>
      <w:sz w:val="24"/>
      <w:szCs w:val="24"/>
      <w:lang w:val="en-US" w:eastAsia="zh-CN" w:bidi="ar-SA"/>
    </w:rPr>
  </w:style>
  <w:style w:type="paragraph" w:customStyle="1" w:styleId="669">
    <w:name w:val="Char Char1 Char"/>
    <w:basedOn w:val="1"/>
    <w:qFormat/>
    <w:uiPriority w:val="0"/>
    <w:pPr>
      <w:tabs>
        <w:tab w:val="clear" w:pos="480"/>
      </w:tabs>
      <w:spacing w:line="240" w:lineRule="auto"/>
    </w:pPr>
    <w:rPr>
      <w:sz w:val="21"/>
    </w:rPr>
  </w:style>
  <w:style w:type="character" w:customStyle="1" w:styleId="670">
    <w:name w:val="正文首行缩进 Char"/>
    <w:link w:val="671"/>
    <w:qFormat/>
    <w:uiPriority w:val="0"/>
    <w:rPr>
      <w:rFonts w:eastAsia="宋体"/>
      <w:kern w:val="2"/>
      <w:sz w:val="24"/>
      <w:szCs w:val="24"/>
      <w:lang w:val="en-US" w:eastAsia="zh-CN" w:bidi="ar-SA"/>
    </w:rPr>
  </w:style>
  <w:style w:type="paragraph" w:customStyle="1" w:styleId="671">
    <w:name w:val="正文首行缩进1"/>
    <w:basedOn w:val="33"/>
    <w:link w:val="670"/>
    <w:qFormat/>
    <w:uiPriority w:val="0"/>
    <w:pPr>
      <w:spacing w:after="120"/>
      <w:ind w:firstLine="420" w:firstLineChars="100"/>
    </w:pPr>
    <w:rPr>
      <w:rFonts w:ascii="Times New Roman" w:hAnsi="Times New Roman"/>
      <w:sz w:val="24"/>
      <w:szCs w:val="24"/>
    </w:rPr>
  </w:style>
  <w:style w:type="character" w:customStyle="1" w:styleId="672">
    <w:name w:val="正文样式1 Char"/>
    <w:link w:val="301"/>
    <w:qFormat/>
    <w:uiPriority w:val="0"/>
    <w:rPr>
      <w:rFonts w:eastAsia="宋体"/>
      <w:kern w:val="24"/>
      <w:sz w:val="24"/>
      <w:lang w:val="en-US" w:eastAsia="zh-CN" w:bidi="ar-SA"/>
    </w:rPr>
  </w:style>
  <w:style w:type="paragraph" w:customStyle="1" w:styleId="673">
    <w:name w:val="表尾"/>
    <w:basedOn w:val="1"/>
    <w:qFormat/>
    <w:uiPriority w:val="0"/>
    <w:pPr>
      <w:tabs>
        <w:tab w:val="left" w:pos="1021"/>
        <w:tab w:val="clear" w:pos="480"/>
      </w:tabs>
      <w:spacing w:line="160" w:lineRule="atLeast"/>
    </w:pPr>
    <w:rPr>
      <w:sz w:val="10"/>
    </w:rPr>
  </w:style>
  <w:style w:type="character" w:customStyle="1" w:styleId="674">
    <w:name w:val="段落 Char"/>
    <w:link w:val="559"/>
    <w:qFormat/>
    <w:uiPriority w:val="0"/>
    <w:rPr>
      <w:rFonts w:ascii="宋体" w:hAnsi="宋体" w:eastAsia="宋体"/>
      <w:color w:val="000000"/>
      <w:sz w:val="24"/>
      <w:szCs w:val="18"/>
      <w:lang w:val="en-US" w:eastAsia="zh-CN" w:bidi="ar-SA"/>
    </w:rPr>
  </w:style>
  <w:style w:type="paragraph" w:customStyle="1" w:styleId="675">
    <w:name w:val="Char Char1 Char Char Char Char Char Char Char2"/>
    <w:basedOn w:val="1"/>
    <w:semiHidden/>
    <w:qFormat/>
    <w:uiPriority w:val="0"/>
    <w:pPr>
      <w:tabs>
        <w:tab w:val="clear" w:pos="480"/>
      </w:tabs>
      <w:spacing w:line="240" w:lineRule="auto"/>
    </w:pPr>
    <w:rPr>
      <w:sz w:val="21"/>
    </w:rPr>
  </w:style>
  <w:style w:type="paragraph" w:customStyle="1" w:styleId="676">
    <w:name w:val="表格正文 Char"/>
    <w:basedOn w:val="1"/>
    <w:next w:val="1"/>
    <w:semiHidden/>
    <w:qFormat/>
    <w:uiPriority w:val="0"/>
    <w:pPr>
      <w:tabs>
        <w:tab w:val="clear" w:pos="480"/>
      </w:tabs>
      <w:adjustRightInd w:val="0"/>
      <w:snapToGrid w:val="0"/>
      <w:spacing w:line="240" w:lineRule="auto"/>
      <w:ind w:firstLine="476"/>
      <w:jc w:val="center"/>
      <w:textAlignment w:val="baseline"/>
    </w:pPr>
    <w:rPr>
      <w:rFonts w:ascii="宋体"/>
      <w:snapToGrid w:val="0"/>
      <w:spacing w:val="4"/>
      <w:w w:val="90"/>
      <w:kern w:val="0"/>
    </w:rPr>
  </w:style>
  <w:style w:type="paragraph" w:customStyle="1" w:styleId="677">
    <w:name w:val="xl22"/>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678">
    <w:name w:val="项目名称"/>
    <w:basedOn w:val="1"/>
    <w:semiHidden/>
    <w:qFormat/>
    <w:uiPriority w:val="0"/>
    <w:pPr>
      <w:tabs>
        <w:tab w:val="clear" w:pos="480"/>
      </w:tabs>
      <w:adjustRightInd w:val="0"/>
      <w:jc w:val="center"/>
      <w:textAlignment w:val="baseline"/>
    </w:pPr>
    <w:rPr>
      <w:rFonts w:ascii="黑体" w:hAnsi="宋体" w:eastAsia="黑体"/>
      <w:b/>
      <w:bCs/>
      <w:color w:val="000000"/>
      <w:sz w:val="32"/>
      <w:szCs w:val="32"/>
    </w:rPr>
  </w:style>
  <w:style w:type="paragraph" w:customStyle="1" w:styleId="679">
    <w:name w:val="【表格文字】"/>
    <w:basedOn w:val="1"/>
    <w:next w:val="1"/>
    <w:semiHidden/>
    <w:qFormat/>
    <w:uiPriority w:val="0"/>
    <w:pPr>
      <w:tabs>
        <w:tab w:val="clear" w:pos="480"/>
      </w:tabs>
      <w:spacing w:line="320" w:lineRule="atLeast"/>
      <w:jc w:val="center"/>
    </w:pPr>
    <w:rPr>
      <w:sz w:val="21"/>
    </w:rPr>
  </w:style>
  <w:style w:type="character" w:customStyle="1" w:styleId="680">
    <w:name w:val="titlel2black_bold1"/>
    <w:semiHidden/>
    <w:qFormat/>
    <w:uiPriority w:val="0"/>
    <w:rPr>
      <w:b/>
      <w:bCs/>
      <w:color w:val="000000"/>
      <w:sz w:val="21"/>
      <w:szCs w:val="21"/>
    </w:rPr>
  </w:style>
  <w:style w:type="character" w:customStyle="1" w:styleId="681">
    <w:name w:val="hottext1"/>
    <w:basedOn w:val="133"/>
    <w:semiHidden/>
    <w:qFormat/>
    <w:uiPriority w:val="0"/>
  </w:style>
  <w:style w:type="paragraph" w:customStyle="1" w:styleId="682">
    <w:name w:val="Char6"/>
    <w:basedOn w:val="1"/>
    <w:semiHidden/>
    <w:qFormat/>
    <w:uiPriority w:val="0"/>
    <w:pPr>
      <w:tabs>
        <w:tab w:val="clear" w:pos="480"/>
      </w:tabs>
      <w:spacing w:line="240" w:lineRule="auto"/>
    </w:pPr>
    <w:rPr>
      <w:sz w:val="21"/>
    </w:rPr>
  </w:style>
  <w:style w:type="paragraph" w:customStyle="1" w:styleId="683">
    <w:name w:val="样式 标题 4Subsection标题 14 + Times New Roman 黑色1"/>
    <w:basedOn w:val="5"/>
    <w:semiHidden/>
    <w:qFormat/>
    <w:uiPriority w:val="0"/>
    <w:pPr>
      <w:numPr>
        <w:ilvl w:val="0"/>
        <w:numId w:val="0"/>
      </w:numPr>
      <w:tabs>
        <w:tab w:val="clear" w:pos="480"/>
      </w:tabs>
      <w:spacing w:before="0" w:after="0"/>
    </w:pPr>
    <w:rPr>
      <w:rFonts w:ascii="Times New Roman" w:hAnsi="Times New Roman" w:eastAsia="宋体"/>
      <w:b w:val="0"/>
      <w:bCs w:val="0"/>
      <w:color w:val="000000"/>
      <w:sz w:val="24"/>
      <w:szCs w:val="20"/>
    </w:rPr>
  </w:style>
  <w:style w:type="paragraph" w:customStyle="1" w:styleId="684">
    <w:name w:val="8 Char"/>
    <w:basedOn w:val="1"/>
    <w:link w:val="2435"/>
    <w:semiHidden/>
    <w:qFormat/>
    <w:uiPriority w:val="0"/>
    <w:pPr>
      <w:tabs>
        <w:tab w:val="clear" w:pos="480"/>
      </w:tabs>
      <w:spacing w:line="240" w:lineRule="auto"/>
    </w:pPr>
    <w:rPr>
      <w:rFonts w:ascii="Tahoma" w:hAnsi="Tahoma"/>
      <w:szCs w:val="20"/>
    </w:rPr>
  </w:style>
  <w:style w:type="paragraph" w:customStyle="1" w:styleId="685">
    <w:name w:val="Char Char Char Char Char Char1 Char Char Char Char Char Char Char"/>
    <w:basedOn w:val="1"/>
    <w:semiHidden/>
    <w:qFormat/>
    <w:uiPriority w:val="0"/>
    <w:pPr>
      <w:tabs>
        <w:tab w:val="clear" w:pos="480"/>
      </w:tabs>
    </w:pPr>
    <w:rPr>
      <w:rFonts w:ascii="宋体" w:hAnsi="宋体" w:cs="宋体"/>
    </w:rPr>
  </w:style>
  <w:style w:type="character" w:customStyle="1" w:styleId="686">
    <w:name w:val="题注 Char Char"/>
    <w:semiHidden/>
    <w:qFormat/>
    <w:uiPriority w:val="0"/>
    <w:rPr>
      <w:rFonts w:ascii="仿宋_GB2312" w:hAnsi="宋体" w:eastAsia="仿宋_GB2312" w:cs="仿宋_GB2312"/>
      <w:b/>
      <w:bCs/>
      <w:kern w:val="2"/>
      <w:sz w:val="21"/>
      <w:szCs w:val="21"/>
      <w:lang w:val="en-US" w:eastAsia="zh-CN" w:bidi="ar-SA"/>
    </w:rPr>
  </w:style>
  <w:style w:type="character" w:customStyle="1" w:styleId="687">
    <w:name w:val="m_61"/>
    <w:semiHidden/>
    <w:qFormat/>
    <w:uiPriority w:val="0"/>
    <w:rPr>
      <w:rFonts w:hint="default" w:ascii="Arial" w:hAnsi="Arial" w:cs="Arial"/>
      <w:color w:val="000000"/>
      <w:sz w:val="21"/>
      <w:szCs w:val="21"/>
    </w:rPr>
  </w:style>
  <w:style w:type="character" w:customStyle="1" w:styleId="688">
    <w:name w:val="ca-61"/>
    <w:semiHidden/>
    <w:qFormat/>
    <w:uiPriority w:val="0"/>
    <w:rPr>
      <w:rFonts w:hint="eastAsia" w:ascii="宋体" w:hAnsi="宋体" w:eastAsia="宋体"/>
      <w:sz w:val="18"/>
    </w:rPr>
  </w:style>
  <w:style w:type="character" w:customStyle="1" w:styleId="689">
    <w:name w:val="样式 正文2 + Char"/>
    <w:link w:val="690"/>
    <w:qFormat/>
    <w:uiPriority w:val="0"/>
    <w:rPr>
      <w:rFonts w:hAnsi="宋体" w:eastAsia="宋体"/>
      <w:sz w:val="28"/>
      <w:szCs w:val="28"/>
      <w:lang w:val="en-US" w:eastAsia="zh-CN" w:bidi="ar-SA"/>
    </w:rPr>
  </w:style>
  <w:style w:type="paragraph" w:customStyle="1" w:styleId="690">
    <w:name w:val="样式 正文2 +"/>
    <w:basedOn w:val="20"/>
    <w:link w:val="689"/>
    <w:semiHidden/>
    <w:qFormat/>
    <w:uiPriority w:val="0"/>
    <w:pPr>
      <w:tabs>
        <w:tab w:val="left" w:pos="5366"/>
        <w:tab w:val="clear" w:pos="480"/>
      </w:tabs>
      <w:spacing w:line="240" w:lineRule="auto"/>
      <w:ind w:firstLine="0"/>
    </w:pPr>
    <w:rPr>
      <w:rFonts w:hAnsi="宋体"/>
      <w:kern w:val="0"/>
      <w:sz w:val="28"/>
      <w:szCs w:val="28"/>
    </w:rPr>
  </w:style>
  <w:style w:type="character" w:customStyle="1" w:styleId="691">
    <w:name w:val="m_01"/>
    <w:semiHidden/>
    <w:qFormat/>
    <w:uiPriority w:val="0"/>
    <w:rPr>
      <w:rFonts w:hint="default" w:ascii="Arial" w:hAnsi="Arial" w:cs="Arial"/>
      <w:color w:val="000000"/>
      <w:sz w:val="21"/>
      <w:szCs w:val="21"/>
    </w:rPr>
  </w:style>
  <w:style w:type="character" w:customStyle="1" w:styleId="692">
    <w:name w:val="red1"/>
    <w:semiHidden/>
    <w:qFormat/>
    <w:uiPriority w:val="0"/>
    <w:rPr>
      <w:color w:val="FF3300"/>
    </w:rPr>
  </w:style>
  <w:style w:type="character" w:customStyle="1" w:styleId="693">
    <w:name w:val="large"/>
    <w:basedOn w:val="133"/>
    <w:semiHidden/>
    <w:qFormat/>
    <w:uiPriority w:val="0"/>
  </w:style>
  <w:style w:type="character" w:customStyle="1" w:styleId="694">
    <w:name w:val="m_151"/>
    <w:semiHidden/>
    <w:qFormat/>
    <w:uiPriority w:val="0"/>
    <w:rPr>
      <w:rFonts w:hint="default" w:ascii="Arial" w:hAnsi="Arial" w:cs="Arial"/>
      <w:color w:val="000000"/>
      <w:sz w:val="21"/>
      <w:szCs w:val="21"/>
    </w:rPr>
  </w:style>
  <w:style w:type="character" w:customStyle="1" w:styleId="695">
    <w:name w:val="m_81"/>
    <w:semiHidden/>
    <w:qFormat/>
    <w:uiPriority w:val="0"/>
    <w:rPr>
      <w:rFonts w:hint="default" w:ascii="Arial" w:hAnsi="Arial" w:cs="Arial"/>
      <w:color w:val="000000"/>
      <w:sz w:val="21"/>
      <w:szCs w:val="21"/>
    </w:rPr>
  </w:style>
  <w:style w:type="character" w:customStyle="1" w:styleId="696">
    <w:name w:val="title1"/>
    <w:semiHidden/>
    <w:qFormat/>
    <w:uiPriority w:val="0"/>
    <w:rPr>
      <w:b/>
      <w:bCs/>
      <w:color w:val="333333"/>
      <w:sz w:val="18"/>
      <w:szCs w:val="18"/>
      <w:u w:val="none"/>
    </w:rPr>
  </w:style>
  <w:style w:type="character" w:customStyle="1" w:styleId="697">
    <w:name w:val="标题 1 Char"/>
    <w:link w:val="2"/>
    <w:qFormat/>
    <w:uiPriority w:val="9"/>
    <w:rPr>
      <w:rFonts w:ascii="仿宋_GB2312" w:eastAsia="仿宋_GB2312"/>
      <w:b/>
      <w:bCs/>
      <w:kern w:val="44"/>
      <w:sz w:val="36"/>
      <w:szCs w:val="44"/>
      <w:lang w:val="zh-CN"/>
    </w:rPr>
  </w:style>
  <w:style w:type="character" w:customStyle="1" w:styleId="698">
    <w:name w:val="样式 四号 黑色 Char"/>
    <w:link w:val="699"/>
    <w:qFormat/>
    <w:uiPriority w:val="0"/>
    <w:rPr>
      <w:rFonts w:eastAsia="宋体" w:cs="宋体"/>
      <w:color w:val="000000"/>
      <w:sz w:val="28"/>
      <w:lang w:val="en-US" w:eastAsia="zh-CN" w:bidi="ar-SA"/>
    </w:rPr>
  </w:style>
  <w:style w:type="paragraph" w:customStyle="1" w:styleId="699">
    <w:name w:val="样式 四号 黑色"/>
    <w:basedOn w:val="1"/>
    <w:link w:val="698"/>
    <w:semiHidden/>
    <w:qFormat/>
    <w:uiPriority w:val="0"/>
    <w:pPr>
      <w:tabs>
        <w:tab w:val="clear" w:pos="480"/>
      </w:tabs>
      <w:spacing w:line="240" w:lineRule="auto"/>
    </w:pPr>
    <w:rPr>
      <w:rFonts w:cs="宋体"/>
      <w:color w:val="000000"/>
      <w:kern w:val="0"/>
      <w:sz w:val="28"/>
      <w:szCs w:val="20"/>
    </w:rPr>
  </w:style>
  <w:style w:type="character" w:customStyle="1" w:styleId="700">
    <w:name w:val="m_331"/>
    <w:semiHidden/>
    <w:qFormat/>
    <w:uiPriority w:val="0"/>
    <w:rPr>
      <w:rFonts w:hint="default" w:ascii="Arial" w:hAnsi="Arial" w:cs="Arial"/>
      <w:color w:val="000000"/>
      <w:sz w:val="21"/>
      <w:szCs w:val="21"/>
    </w:rPr>
  </w:style>
  <w:style w:type="paragraph" w:customStyle="1" w:styleId="701">
    <w:name w:val="哈哈正文"/>
    <w:basedOn w:val="1"/>
    <w:link w:val="762"/>
    <w:semiHidden/>
    <w:qFormat/>
    <w:uiPriority w:val="0"/>
    <w:rPr>
      <w:rFonts w:ascii="宋体" w:hAnsi="宋体"/>
    </w:rPr>
  </w:style>
  <w:style w:type="character" w:customStyle="1" w:styleId="702">
    <w:name w:val="f12 gray"/>
    <w:basedOn w:val="133"/>
    <w:semiHidden/>
    <w:qFormat/>
    <w:uiPriority w:val="0"/>
  </w:style>
  <w:style w:type="character" w:customStyle="1" w:styleId="703">
    <w:name w:val="样式 首行缩进:  2 字符 Char Char Char Char Char"/>
    <w:link w:val="704"/>
    <w:qFormat/>
    <w:uiPriority w:val="0"/>
    <w:rPr>
      <w:rFonts w:eastAsia="仿宋_GB2312" w:cs="宋体"/>
      <w:kern w:val="2"/>
      <w:sz w:val="24"/>
      <w:lang w:val="en-US" w:eastAsia="zh-CN" w:bidi="ar-SA"/>
    </w:rPr>
  </w:style>
  <w:style w:type="paragraph" w:customStyle="1" w:styleId="704">
    <w:name w:val="样式 首行缩进:  2 字符 Char Char Char Char"/>
    <w:basedOn w:val="1"/>
    <w:link w:val="703"/>
    <w:semiHidden/>
    <w:qFormat/>
    <w:uiPriority w:val="0"/>
    <w:pPr>
      <w:tabs>
        <w:tab w:val="clear" w:pos="480"/>
      </w:tabs>
      <w:ind w:firstLine="420"/>
    </w:pPr>
    <w:rPr>
      <w:rFonts w:eastAsia="仿宋_GB2312" w:cs="宋体"/>
      <w:szCs w:val="20"/>
    </w:rPr>
  </w:style>
  <w:style w:type="character" w:customStyle="1" w:styleId="705">
    <w:name w:val="样式 生物质发电正文 + Times New Roman 加粗 首行缩进:  2 字符 Char"/>
    <w:link w:val="706"/>
    <w:qFormat/>
    <w:uiPriority w:val="0"/>
    <w:rPr>
      <w:rFonts w:eastAsia="宋体" w:cs="宋体"/>
      <w:bCs/>
      <w:sz w:val="24"/>
      <w:lang w:val="en-US" w:eastAsia="zh-CN" w:bidi="ar-SA"/>
    </w:rPr>
  </w:style>
  <w:style w:type="paragraph" w:customStyle="1" w:styleId="706">
    <w:name w:val="样式 生物质发电正文 + Times New Roman 加粗 首行缩进:  2 字符"/>
    <w:basedOn w:val="1"/>
    <w:link w:val="705"/>
    <w:semiHidden/>
    <w:qFormat/>
    <w:uiPriority w:val="0"/>
    <w:pPr>
      <w:widowControl/>
      <w:tabs>
        <w:tab w:val="clear" w:pos="480"/>
      </w:tabs>
      <w:suppressAutoHyphens/>
      <w:adjustRightInd w:val="0"/>
      <w:snapToGrid w:val="0"/>
      <w:spacing w:line="324" w:lineRule="auto"/>
      <w:ind w:firstLine="482"/>
      <w:textAlignment w:val="baseline"/>
    </w:pPr>
    <w:rPr>
      <w:rFonts w:cs="宋体"/>
      <w:bCs/>
      <w:kern w:val="0"/>
      <w:szCs w:val="20"/>
    </w:rPr>
  </w:style>
  <w:style w:type="character" w:customStyle="1" w:styleId="707">
    <w:name w:val="apple-style-span"/>
    <w:basedOn w:val="133"/>
    <w:qFormat/>
    <w:uiPriority w:val="0"/>
  </w:style>
  <w:style w:type="character" w:customStyle="1" w:styleId="708">
    <w:name w:val="text11"/>
    <w:basedOn w:val="133"/>
    <w:semiHidden/>
    <w:qFormat/>
    <w:uiPriority w:val="0"/>
  </w:style>
  <w:style w:type="character" w:customStyle="1" w:styleId="709">
    <w:name w:val="正文样式 Char"/>
    <w:semiHidden/>
    <w:qFormat/>
    <w:uiPriority w:val="0"/>
    <w:rPr>
      <w:rFonts w:eastAsia="宋体"/>
      <w:snapToGrid w:val="0"/>
      <w:sz w:val="24"/>
      <w:szCs w:val="24"/>
      <w:lang w:val="en-US" w:eastAsia="zh-CN" w:bidi="ar-SA"/>
    </w:rPr>
  </w:style>
  <w:style w:type="character" w:customStyle="1" w:styleId="710">
    <w:name w:val="生物质发电正文 Char"/>
    <w:link w:val="711"/>
    <w:qFormat/>
    <w:uiPriority w:val="0"/>
    <w:rPr>
      <w:rFonts w:ascii="宋体" w:hAnsi="宋体" w:eastAsia="宋体"/>
      <w:sz w:val="24"/>
      <w:lang w:val="en-US" w:eastAsia="zh-CN" w:bidi="ar-SA"/>
    </w:rPr>
  </w:style>
  <w:style w:type="paragraph" w:customStyle="1" w:styleId="711">
    <w:name w:val="生物质发电正文"/>
    <w:basedOn w:val="1"/>
    <w:link w:val="710"/>
    <w:qFormat/>
    <w:uiPriority w:val="0"/>
    <w:pPr>
      <w:widowControl/>
      <w:tabs>
        <w:tab w:val="clear" w:pos="480"/>
      </w:tabs>
      <w:suppressAutoHyphens/>
      <w:adjustRightInd w:val="0"/>
      <w:snapToGrid w:val="0"/>
      <w:spacing w:line="324" w:lineRule="auto"/>
      <w:textAlignment w:val="baseline"/>
    </w:pPr>
    <w:rPr>
      <w:rFonts w:ascii="宋体" w:hAnsi="宋体"/>
      <w:kern w:val="0"/>
      <w:szCs w:val="20"/>
    </w:rPr>
  </w:style>
  <w:style w:type="character" w:customStyle="1" w:styleId="712">
    <w:name w:val="m_341"/>
    <w:semiHidden/>
    <w:qFormat/>
    <w:uiPriority w:val="0"/>
    <w:rPr>
      <w:rFonts w:hint="default" w:ascii="Arial" w:hAnsi="Arial" w:cs="Arial"/>
      <w:color w:val="000000"/>
      <w:sz w:val="21"/>
      <w:szCs w:val="21"/>
    </w:rPr>
  </w:style>
  <w:style w:type="character" w:customStyle="1" w:styleId="713">
    <w:name w:val="gray1"/>
    <w:semiHidden/>
    <w:qFormat/>
    <w:uiPriority w:val="0"/>
    <w:rPr>
      <w:color w:val="666666"/>
    </w:rPr>
  </w:style>
  <w:style w:type="character" w:customStyle="1" w:styleId="714">
    <w:name w:val="表名 Char"/>
    <w:semiHidden/>
    <w:qFormat/>
    <w:uiPriority w:val="0"/>
    <w:rPr>
      <w:rFonts w:eastAsia="黑体"/>
      <w:sz w:val="24"/>
      <w:lang w:val="en-US" w:eastAsia="zh-CN"/>
    </w:rPr>
  </w:style>
  <w:style w:type="paragraph" w:customStyle="1" w:styleId="715">
    <w:name w:val="样式 正文首行缩进 2 + 小四 首行缩进:  2 字符"/>
    <w:basedOn w:val="1"/>
    <w:semiHidden/>
    <w:qFormat/>
    <w:uiPriority w:val="0"/>
    <w:pPr>
      <w:tabs>
        <w:tab w:val="left" w:pos="0"/>
        <w:tab w:val="left" w:pos="1800"/>
        <w:tab w:val="clear" w:pos="480"/>
      </w:tabs>
      <w:jc w:val="center"/>
    </w:pPr>
    <w:rPr>
      <w:b/>
      <w:color w:val="000000"/>
    </w:rPr>
  </w:style>
  <w:style w:type="paragraph" w:customStyle="1" w:styleId="716">
    <w:name w:val="bg"/>
    <w:basedOn w:val="1"/>
    <w:semiHidden/>
    <w:qFormat/>
    <w:uiPriority w:val="0"/>
    <w:pPr>
      <w:widowControl/>
      <w:tabs>
        <w:tab w:val="clear" w:pos="480"/>
      </w:tabs>
      <w:spacing w:line="240" w:lineRule="auto"/>
    </w:pPr>
    <w:rPr>
      <w:kern w:val="0"/>
    </w:rPr>
  </w:style>
  <w:style w:type="paragraph" w:customStyle="1" w:styleId="717">
    <w:name w:val="表标题（自定义）"/>
    <w:semiHidden/>
    <w:qFormat/>
    <w:uiPriority w:val="0"/>
    <w:pPr>
      <w:spacing w:line="360" w:lineRule="auto"/>
      <w:ind w:firstLine="482"/>
      <w:jc w:val="center"/>
    </w:pPr>
    <w:rPr>
      <w:rFonts w:ascii="Times New Roman" w:hAnsi="Times New Roman" w:eastAsia="宋体" w:cs="Times New Roman"/>
      <w:b/>
      <w:color w:val="000000"/>
      <w:kern w:val="2"/>
      <w:sz w:val="24"/>
      <w:szCs w:val="24"/>
      <w:lang w:val="en-US" w:eastAsia="zh-CN" w:bidi="ar-SA"/>
    </w:rPr>
  </w:style>
  <w:style w:type="paragraph" w:customStyle="1" w:styleId="718">
    <w:name w:val="Char Char Char Char Char Char3"/>
    <w:basedOn w:val="1"/>
    <w:semiHidden/>
    <w:qFormat/>
    <w:uiPriority w:val="0"/>
    <w:pPr>
      <w:tabs>
        <w:tab w:val="clear" w:pos="480"/>
      </w:tabs>
      <w:spacing w:line="240" w:lineRule="auto"/>
    </w:pPr>
    <w:rPr>
      <w:sz w:val="21"/>
    </w:rPr>
  </w:style>
  <w:style w:type="paragraph" w:customStyle="1" w:styleId="719">
    <w:name w:val="Char Char Char Char Char Char Char Char Char Char Char Char1 Char Char Char Char"/>
    <w:basedOn w:val="1"/>
    <w:semiHidden/>
    <w:qFormat/>
    <w:uiPriority w:val="0"/>
    <w:pPr>
      <w:tabs>
        <w:tab w:val="clear" w:pos="480"/>
      </w:tabs>
    </w:pPr>
    <w:rPr>
      <w:rFonts w:ascii="宋体" w:hAnsi="宋体" w:cs="宋体"/>
    </w:rPr>
  </w:style>
  <w:style w:type="paragraph" w:customStyle="1" w:styleId="720">
    <w:name w:val="表体"/>
    <w:basedOn w:val="1"/>
    <w:semiHidden/>
    <w:qFormat/>
    <w:uiPriority w:val="0"/>
    <w:pPr>
      <w:tabs>
        <w:tab w:val="clear" w:pos="480"/>
      </w:tabs>
      <w:spacing w:line="240" w:lineRule="auto"/>
      <w:jc w:val="center"/>
    </w:pPr>
    <w:rPr>
      <w:sz w:val="21"/>
      <w:szCs w:val="21"/>
    </w:rPr>
  </w:style>
  <w:style w:type="paragraph" w:customStyle="1" w:styleId="721">
    <w:name w:val="样式 正文文本 + 首行缩进:  2 字符"/>
    <w:basedOn w:val="33"/>
    <w:semiHidden/>
    <w:qFormat/>
    <w:uiPriority w:val="0"/>
    <w:pPr>
      <w:spacing w:line="360" w:lineRule="auto"/>
    </w:pPr>
    <w:rPr>
      <w:rFonts w:ascii="Times New Roman" w:hAnsi="Times New Roman"/>
      <w:color w:val="000000"/>
      <w:kern w:val="0"/>
      <w:sz w:val="28"/>
      <w:szCs w:val="28"/>
    </w:rPr>
  </w:style>
  <w:style w:type="paragraph" w:customStyle="1" w:styleId="722">
    <w:name w:val="填表内容"/>
    <w:basedOn w:val="1"/>
    <w:semiHidden/>
    <w:qFormat/>
    <w:uiPriority w:val="0"/>
    <w:pPr>
      <w:tabs>
        <w:tab w:val="clear" w:pos="480"/>
      </w:tabs>
      <w:adjustRightInd w:val="0"/>
      <w:spacing w:line="480" w:lineRule="exact"/>
      <w:ind w:firstLine="560"/>
      <w:jc w:val="left"/>
      <w:textAlignment w:val="baseline"/>
    </w:pPr>
    <w:rPr>
      <w:rFonts w:ascii="楷体_GB2312" w:eastAsia="楷体_GB2312"/>
      <w:sz w:val="28"/>
      <w:szCs w:val="20"/>
    </w:rPr>
  </w:style>
  <w:style w:type="paragraph" w:customStyle="1" w:styleId="723">
    <w:name w:val="报告 Char"/>
    <w:basedOn w:val="1"/>
    <w:semiHidden/>
    <w:qFormat/>
    <w:uiPriority w:val="0"/>
    <w:pPr>
      <w:tabs>
        <w:tab w:val="clear" w:pos="480"/>
      </w:tabs>
      <w:adjustRightInd w:val="0"/>
      <w:ind w:firstLine="505"/>
      <w:textAlignment w:val="baseline"/>
    </w:pPr>
  </w:style>
  <w:style w:type="paragraph" w:customStyle="1" w:styleId="724">
    <w:name w:val="中文报告书"/>
    <w:basedOn w:val="1"/>
    <w:semiHidden/>
    <w:qFormat/>
    <w:uiPriority w:val="0"/>
    <w:pPr>
      <w:tabs>
        <w:tab w:val="clear" w:pos="480"/>
      </w:tabs>
      <w:adjustRightInd w:val="0"/>
      <w:spacing w:after="80" w:line="420" w:lineRule="atLeast"/>
      <w:jc w:val="left"/>
      <w:textAlignment w:val="baseline"/>
    </w:pPr>
    <w:rPr>
      <w:kern w:val="0"/>
      <w:szCs w:val="20"/>
    </w:rPr>
  </w:style>
  <w:style w:type="paragraph" w:customStyle="1" w:styleId="725">
    <w:name w:val="报告"/>
    <w:basedOn w:val="1"/>
    <w:link w:val="2732"/>
    <w:qFormat/>
    <w:uiPriority w:val="0"/>
    <w:pPr>
      <w:tabs>
        <w:tab w:val="clear" w:pos="480"/>
      </w:tabs>
      <w:overflowPunct w:val="0"/>
      <w:autoSpaceDE w:val="0"/>
      <w:autoSpaceDN w:val="0"/>
      <w:adjustRightInd w:val="0"/>
      <w:spacing w:beforeLines="30" w:afterLines="30" w:line="400" w:lineRule="atLeast"/>
      <w:ind w:left="200" w:leftChars="200"/>
      <w:textAlignment w:val="baseline"/>
    </w:pPr>
    <w:rPr>
      <w:kern w:val="0"/>
      <w:szCs w:val="20"/>
    </w:rPr>
  </w:style>
  <w:style w:type="paragraph" w:customStyle="1" w:styleId="726">
    <w:name w:val="sw_one"/>
    <w:basedOn w:val="1"/>
    <w:semiHidden/>
    <w:qFormat/>
    <w:uiPriority w:val="0"/>
    <w:pPr>
      <w:widowControl/>
      <w:tabs>
        <w:tab w:val="clear" w:pos="480"/>
      </w:tabs>
      <w:spacing w:before="100" w:beforeAutospacing="1" w:after="100" w:afterAutospacing="1" w:line="240" w:lineRule="auto"/>
      <w:ind w:firstLine="573"/>
      <w:jc w:val="left"/>
    </w:pPr>
    <w:rPr>
      <w:rFonts w:ascii="Arial Unicode MS" w:hAnsi="Arial Unicode MS" w:cs="Arial Unicode MS"/>
      <w:kern w:val="0"/>
    </w:rPr>
  </w:style>
  <w:style w:type="paragraph" w:customStyle="1" w:styleId="727">
    <w:name w:val="电镀表"/>
    <w:basedOn w:val="164"/>
    <w:link w:val="1306"/>
    <w:semiHidden/>
    <w:qFormat/>
    <w:uiPriority w:val="0"/>
    <w:pPr>
      <w:spacing w:line="0" w:lineRule="atLeast"/>
      <w:jc w:val="right"/>
    </w:pPr>
    <w:rPr>
      <w:rFonts w:eastAsia="宋体"/>
      <w:sz w:val="21"/>
      <w:szCs w:val="21"/>
    </w:rPr>
  </w:style>
  <w:style w:type="paragraph" w:customStyle="1" w:styleId="728">
    <w:name w:val="样式 宋体 行距: 1.5 倍行距"/>
    <w:basedOn w:val="1"/>
    <w:semiHidden/>
    <w:qFormat/>
    <w:uiPriority w:val="0"/>
    <w:pPr>
      <w:tabs>
        <w:tab w:val="clear" w:pos="480"/>
      </w:tabs>
      <w:snapToGrid w:val="0"/>
      <w:spacing w:line="240" w:lineRule="auto"/>
    </w:pPr>
    <w:rPr>
      <w:rFonts w:ascii="宋体" w:hAnsi="宋体"/>
      <w:sz w:val="21"/>
      <w:szCs w:val="20"/>
    </w:rPr>
  </w:style>
  <w:style w:type="paragraph" w:customStyle="1" w:styleId="729">
    <w:name w:val="Char Char Char1 Char Char Char Char Char Char Char Char Char Char Char Char Char Char Char Char"/>
    <w:basedOn w:val="1"/>
    <w:semiHidden/>
    <w:qFormat/>
    <w:uiPriority w:val="0"/>
    <w:pPr>
      <w:tabs>
        <w:tab w:val="clear" w:pos="480"/>
      </w:tabs>
      <w:spacing w:line="240" w:lineRule="auto"/>
    </w:pPr>
    <w:rPr>
      <w:sz w:val="21"/>
    </w:rPr>
  </w:style>
  <w:style w:type="paragraph" w:customStyle="1" w:styleId="730">
    <w:name w:val="cactus"/>
    <w:semiHidden/>
    <w:qFormat/>
    <w:uiPriority w:val="0"/>
    <w:pPr>
      <w:tabs>
        <w:tab w:val="left" w:pos="870"/>
        <w:tab w:val="left" w:pos="900"/>
      </w:tabs>
      <w:snapToGrid w:val="0"/>
      <w:spacing w:line="360" w:lineRule="auto"/>
      <w:ind w:left="900" w:hanging="180"/>
      <w:jc w:val="center"/>
    </w:pPr>
    <w:rPr>
      <w:rFonts w:ascii="Times New Roman" w:hAnsi="Times New Roman" w:eastAsia="宋体" w:cs="Times New Roman"/>
      <w:kern w:val="2"/>
      <w:sz w:val="24"/>
      <w:szCs w:val="24"/>
      <w:lang w:val="en-US" w:eastAsia="zh-CN" w:bidi="ar-SA"/>
    </w:rPr>
  </w:style>
  <w:style w:type="paragraph" w:customStyle="1" w:styleId="731">
    <w:name w:val="湛江沥青表"/>
    <w:basedOn w:val="1"/>
    <w:semiHidden/>
    <w:qFormat/>
    <w:uiPriority w:val="0"/>
    <w:pPr>
      <w:tabs>
        <w:tab w:val="clear" w:pos="480"/>
      </w:tabs>
      <w:spacing w:line="240" w:lineRule="auto"/>
      <w:jc w:val="center"/>
    </w:pPr>
    <w:rPr>
      <w:color w:val="000000"/>
      <w:sz w:val="21"/>
      <w:szCs w:val="20"/>
    </w:rPr>
  </w:style>
  <w:style w:type="paragraph" w:customStyle="1" w:styleId="732">
    <w:name w:val="Char1"/>
    <w:basedOn w:val="1"/>
    <w:qFormat/>
    <w:uiPriority w:val="0"/>
    <w:pPr>
      <w:tabs>
        <w:tab w:val="clear" w:pos="480"/>
      </w:tabs>
      <w:snapToGrid w:val="0"/>
      <w:ind w:firstLine="529"/>
    </w:pPr>
    <w:rPr>
      <w:sz w:val="21"/>
      <w:szCs w:val="20"/>
    </w:rPr>
  </w:style>
  <w:style w:type="paragraph" w:customStyle="1" w:styleId="733">
    <w:name w:val="表格内容居中"/>
    <w:semiHidden/>
    <w:qFormat/>
    <w:uiPriority w:val="0"/>
    <w:pPr>
      <w:adjustRightInd w:val="0"/>
      <w:snapToGrid w:val="0"/>
      <w:jc w:val="center"/>
    </w:pPr>
    <w:rPr>
      <w:rFonts w:ascii="Times New Roman" w:hAnsi="Times New Roman" w:eastAsia="宋体" w:cs="Times New Roman"/>
      <w:snapToGrid w:val="0"/>
      <w:kern w:val="2"/>
      <w:sz w:val="21"/>
      <w:szCs w:val="21"/>
      <w:lang w:val="en-US" w:eastAsia="zh-CN" w:bidi="ar-SA"/>
    </w:rPr>
  </w:style>
  <w:style w:type="paragraph" w:customStyle="1" w:styleId="734">
    <w:name w:val="默认段落字体 Para Char"/>
    <w:basedOn w:val="1"/>
    <w:next w:val="1"/>
    <w:qFormat/>
    <w:uiPriority w:val="0"/>
    <w:pPr>
      <w:tabs>
        <w:tab w:val="clear" w:pos="480"/>
      </w:tabs>
    </w:pPr>
    <w:rPr>
      <w:rFonts w:ascii="宋体" w:hAnsi="宋体" w:cs="宋体"/>
    </w:rPr>
  </w:style>
  <w:style w:type="paragraph" w:customStyle="1" w:styleId="735">
    <w:name w:val="样式-方格突出"/>
    <w:basedOn w:val="1"/>
    <w:semiHidden/>
    <w:qFormat/>
    <w:uiPriority w:val="0"/>
    <w:pPr>
      <w:widowControl/>
      <w:tabs>
        <w:tab w:val="left" w:pos="851"/>
        <w:tab w:val="clear" w:pos="480"/>
      </w:tabs>
      <w:ind w:left="805" w:hanging="323"/>
      <w:jc w:val="left"/>
    </w:pPr>
  </w:style>
  <w:style w:type="paragraph" w:customStyle="1" w:styleId="736">
    <w:name w:val="Char Char Char Char Char Char1 Char Char Char1 Char Char Char1 Char Char Char Char Char Char Char Char Char Char3"/>
    <w:basedOn w:val="1"/>
    <w:next w:val="1"/>
    <w:semiHidden/>
    <w:qFormat/>
    <w:uiPriority w:val="0"/>
    <w:pPr>
      <w:tabs>
        <w:tab w:val="clear" w:pos="480"/>
      </w:tabs>
    </w:pPr>
    <w:rPr>
      <w:rFonts w:ascii="楷体_GB2312" w:hAnsi="宋体" w:eastAsia="楷体_GB2312" w:cs="宋体"/>
    </w:rPr>
  </w:style>
  <w:style w:type="paragraph" w:customStyle="1" w:styleId="737">
    <w:name w:val="Char13"/>
    <w:basedOn w:val="1"/>
    <w:qFormat/>
    <w:uiPriority w:val="0"/>
    <w:pPr>
      <w:tabs>
        <w:tab w:val="clear" w:pos="480"/>
      </w:tabs>
      <w:spacing w:line="240" w:lineRule="auto"/>
    </w:pPr>
    <w:rPr>
      <w:sz w:val="21"/>
      <w:szCs w:val="20"/>
    </w:rPr>
  </w:style>
  <w:style w:type="paragraph" w:customStyle="1" w:styleId="738">
    <w:name w:val="xl20"/>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pPr>
    <w:rPr>
      <w:rFonts w:ascii="宋体" w:hAnsi="宋体" w:cs="宋体"/>
      <w:kern w:val="0"/>
    </w:rPr>
  </w:style>
  <w:style w:type="paragraph" w:customStyle="1" w:styleId="739">
    <w:name w:val="表标头"/>
    <w:basedOn w:val="1"/>
    <w:semiHidden/>
    <w:qFormat/>
    <w:uiPriority w:val="0"/>
    <w:pPr>
      <w:tabs>
        <w:tab w:val="clear" w:pos="480"/>
      </w:tabs>
      <w:spacing w:before="60" w:after="60" w:line="240" w:lineRule="atLeast"/>
      <w:jc w:val="center"/>
    </w:pPr>
    <w:rPr>
      <w:b/>
      <w:bCs/>
    </w:rPr>
  </w:style>
  <w:style w:type="paragraph" w:customStyle="1" w:styleId="740">
    <w:name w:val="maintext"/>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rPr>
  </w:style>
  <w:style w:type="paragraph" w:customStyle="1" w:styleId="741">
    <w:name w:val="xl19"/>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pPr>
    <w:rPr>
      <w:rFonts w:ascii="宋体" w:hAnsi="宋体" w:cs="宋体"/>
      <w:kern w:val="0"/>
    </w:rPr>
  </w:style>
  <w:style w:type="paragraph" w:customStyle="1" w:styleId="742">
    <w:name w:val="样式 样式 样式 正文文本 + 首行缩进:  2 字符 + 宋体 首行缩进:  2 字符 + 首行缩进:  2 字符"/>
    <w:basedOn w:val="1"/>
    <w:semiHidden/>
    <w:qFormat/>
    <w:uiPriority w:val="0"/>
    <w:pPr>
      <w:tabs>
        <w:tab w:val="clear" w:pos="480"/>
      </w:tabs>
    </w:pPr>
    <w:rPr>
      <w:rFonts w:ascii="宋体" w:hAnsi="宋体"/>
      <w:color w:val="000000"/>
      <w:sz w:val="28"/>
      <w:szCs w:val="20"/>
    </w:rPr>
  </w:style>
  <w:style w:type="paragraph" w:customStyle="1" w:styleId="743">
    <w:name w:val="我的正文 Char"/>
    <w:basedOn w:val="1"/>
    <w:next w:val="1"/>
    <w:semiHidden/>
    <w:qFormat/>
    <w:uiPriority w:val="0"/>
    <w:pPr>
      <w:tabs>
        <w:tab w:val="clear" w:pos="480"/>
      </w:tabs>
      <w:spacing w:line="520" w:lineRule="exact"/>
      <w:ind w:firstLine="540" w:firstLineChars="225"/>
    </w:pPr>
  </w:style>
  <w:style w:type="paragraph" w:customStyle="1" w:styleId="744">
    <w:name w:val="字元 字元 Char Char 字元 字元12"/>
    <w:basedOn w:val="1"/>
    <w:semiHidden/>
    <w:qFormat/>
    <w:uiPriority w:val="0"/>
    <w:pPr>
      <w:tabs>
        <w:tab w:val="clear" w:pos="480"/>
      </w:tabs>
      <w:spacing w:line="240" w:lineRule="auto"/>
    </w:pPr>
  </w:style>
  <w:style w:type="paragraph" w:customStyle="1" w:styleId="745">
    <w:name w:val="表标题5"/>
    <w:basedOn w:val="1"/>
    <w:link w:val="1304"/>
    <w:semiHidden/>
    <w:qFormat/>
    <w:uiPriority w:val="0"/>
    <w:pPr>
      <w:keepNext/>
      <w:widowControl/>
      <w:tabs>
        <w:tab w:val="clear" w:pos="480"/>
      </w:tabs>
      <w:autoSpaceDE w:val="0"/>
      <w:autoSpaceDN w:val="0"/>
      <w:adjustRightInd w:val="0"/>
      <w:spacing w:before="180" w:after="120" w:line="408" w:lineRule="atLeast"/>
      <w:jc w:val="center"/>
      <w:textAlignment w:val="baseline"/>
    </w:pPr>
    <w:rPr>
      <w:b/>
      <w:spacing w:val="2"/>
      <w:kern w:val="0"/>
      <w:sz w:val="28"/>
      <w:szCs w:val="20"/>
    </w:rPr>
  </w:style>
  <w:style w:type="paragraph" w:customStyle="1" w:styleId="746">
    <w:name w:val="大标题"/>
    <w:basedOn w:val="1"/>
    <w:semiHidden/>
    <w:qFormat/>
    <w:uiPriority w:val="0"/>
    <w:pPr>
      <w:tabs>
        <w:tab w:val="clear" w:pos="480"/>
      </w:tabs>
      <w:spacing w:beforeLines="100" w:afterLines="50" w:line="480" w:lineRule="auto"/>
      <w:jc w:val="center"/>
    </w:pPr>
    <w:rPr>
      <w:rFonts w:ascii="仿宋_GB2312" w:hAnsi="仿宋体" w:eastAsia="仿宋_GB2312"/>
      <w:b/>
      <w:kern w:val="0"/>
      <w:sz w:val="44"/>
      <w:szCs w:val="44"/>
    </w:rPr>
  </w:style>
  <w:style w:type="paragraph" w:customStyle="1" w:styleId="747">
    <w:name w:val="表内容"/>
    <w:basedOn w:val="1"/>
    <w:semiHidden/>
    <w:qFormat/>
    <w:uiPriority w:val="0"/>
    <w:pPr>
      <w:widowControl/>
      <w:tabs>
        <w:tab w:val="clear" w:pos="480"/>
      </w:tabs>
      <w:adjustRightInd w:val="0"/>
      <w:snapToGrid w:val="0"/>
      <w:spacing w:line="240" w:lineRule="auto"/>
      <w:jc w:val="center"/>
    </w:pPr>
    <w:rPr>
      <w:snapToGrid w:val="0"/>
      <w:kern w:val="0"/>
      <w:sz w:val="21"/>
    </w:rPr>
  </w:style>
  <w:style w:type="paragraph" w:customStyle="1" w:styleId="748">
    <w:name w:val="样式 正正文 Char + 首行缩进:  2 字符"/>
    <w:basedOn w:val="1"/>
    <w:semiHidden/>
    <w:qFormat/>
    <w:uiPriority w:val="0"/>
    <w:pPr>
      <w:widowControl/>
      <w:tabs>
        <w:tab w:val="clear" w:pos="480"/>
      </w:tabs>
      <w:ind w:firstLine="560"/>
      <w:jc w:val="left"/>
    </w:pPr>
    <w:rPr>
      <w:rFonts w:cs="宋体"/>
      <w:sz w:val="28"/>
    </w:rPr>
  </w:style>
  <w:style w:type="paragraph" w:customStyle="1" w:styleId="749">
    <w:name w:val="表名"/>
    <w:basedOn w:val="1"/>
    <w:link w:val="2733"/>
    <w:qFormat/>
    <w:uiPriority w:val="0"/>
    <w:pPr>
      <w:tabs>
        <w:tab w:val="clear" w:pos="480"/>
      </w:tabs>
      <w:adjustRightInd w:val="0"/>
      <w:spacing w:beforeLines="50" w:afterLines="50" w:line="400" w:lineRule="atLeast"/>
      <w:ind w:firstLine="425"/>
      <w:jc w:val="center"/>
      <w:textAlignment w:val="baseline"/>
    </w:pPr>
    <w:rPr>
      <w:rFonts w:eastAsia="黑体"/>
      <w:kern w:val="0"/>
      <w:szCs w:val="20"/>
    </w:rPr>
  </w:style>
  <w:style w:type="paragraph" w:customStyle="1" w:styleId="750">
    <w:name w:val="码头表"/>
    <w:basedOn w:val="227"/>
    <w:semiHidden/>
    <w:qFormat/>
    <w:uiPriority w:val="0"/>
    <w:pPr>
      <w:spacing w:line="0" w:lineRule="atLeast"/>
    </w:pPr>
    <w:rPr>
      <w:color w:val="auto"/>
    </w:rPr>
  </w:style>
  <w:style w:type="paragraph" w:customStyle="1" w:styleId="751">
    <w:name w:val="正文5"/>
    <w:basedOn w:val="1"/>
    <w:semiHidden/>
    <w:qFormat/>
    <w:uiPriority w:val="0"/>
    <w:pPr>
      <w:tabs>
        <w:tab w:val="clear" w:pos="480"/>
      </w:tabs>
      <w:adjustRightInd w:val="0"/>
      <w:spacing w:afterLines="50" w:line="315" w:lineRule="atLeast"/>
      <w:jc w:val="left"/>
      <w:textAlignment w:val="baseline"/>
    </w:pPr>
    <w:rPr>
      <w:rFonts w:ascii="宋体"/>
      <w:kern w:val="0"/>
      <w:sz w:val="21"/>
      <w:szCs w:val="20"/>
    </w:rPr>
  </w:style>
  <w:style w:type="paragraph" w:customStyle="1" w:styleId="752">
    <w:name w:val="Char1 Char Char1 Char"/>
    <w:basedOn w:val="1"/>
    <w:semiHidden/>
    <w:qFormat/>
    <w:uiPriority w:val="0"/>
    <w:pPr>
      <w:tabs>
        <w:tab w:val="clear" w:pos="480"/>
      </w:tabs>
      <w:spacing w:line="240" w:lineRule="auto"/>
    </w:pPr>
    <w:rPr>
      <w:sz w:val="21"/>
      <w:szCs w:val="21"/>
    </w:rPr>
  </w:style>
  <w:style w:type="paragraph" w:customStyle="1" w:styleId="753">
    <w:name w:val="定表"/>
    <w:basedOn w:val="1"/>
    <w:semiHidden/>
    <w:qFormat/>
    <w:uiPriority w:val="0"/>
    <w:pPr>
      <w:tabs>
        <w:tab w:val="clear" w:pos="480"/>
      </w:tabs>
      <w:snapToGrid w:val="0"/>
      <w:spacing w:line="240" w:lineRule="auto"/>
    </w:pPr>
    <w:rPr>
      <w:rFonts w:ascii="仿宋_GB2312" w:eastAsia="仿宋_GB2312"/>
      <w:sz w:val="21"/>
    </w:rPr>
  </w:style>
  <w:style w:type="paragraph" w:customStyle="1" w:styleId="754">
    <w:name w:val="段"/>
    <w:link w:val="3348"/>
    <w:qFormat/>
    <w:uiPriority w:val="0"/>
    <w:pPr>
      <w:autoSpaceDE w:val="0"/>
      <w:autoSpaceDN w:val="0"/>
      <w:ind w:firstLine="200" w:firstLineChars="200"/>
      <w:jc w:val="both"/>
    </w:pPr>
    <w:rPr>
      <w:rFonts w:ascii="宋体" w:hAnsi="Times New Roman" w:eastAsia="宋体" w:cs="Times New Roman"/>
      <w:kern w:val="2"/>
      <w:sz w:val="21"/>
      <w:szCs w:val="24"/>
      <w:lang w:val="en-US" w:eastAsia="zh-CN" w:bidi="ar-SA"/>
    </w:rPr>
  </w:style>
  <w:style w:type="paragraph" w:customStyle="1" w:styleId="755">
    <w:name w:val="海南化工城正文 Char Char"/>
    <w:basedOn w:val="1"/>
    <w:link w:val="1502"/>
    <w:semiHidden/>
    <w:qFormat/>
    <w:uiPriority w:val="0"/>
    <w:pPr>
      <w:tabs>
        <w:tab w:val="clear" w:pos="480"/>
      </w:tabs>
      <w:spacing w:line="324" w:lineRule="auto"/>
      <w:ind w:firstLine="480"/>
    </w:pPr>
    <w:rPr>
      <w:rFonts w:ascii="宋体" w:hAnsi="宋体" w:cs="宋体"/>
    </w:rPr>
  </w:style>
  <w:style w:type="paragraph" w:customStyle="1" w:styleId="756">
    <w:name w:val="样式 样式1 + 加粗"/>
    <w:basedOn w:val="194"/>
    <w:semiHidden/>
    <w:qFormat/>
    <w:uiPriority w:val="0"/>
    <w:pPr>
      <w:widowControl w:val="0"/>
      <w:spacing w:line="360" w:lineRule="auto"/>
      <w:ind w:firstLine="544"/>
    </w:pPr>
    <w:rPr>
      <w:rFonts w:eastAsia="宋体" w:cs="宋体"/>
      <w:bCs/>
      <w:spacing w:val="-4"/>
      <w:szCs w:val="28"/>
    </w:rPr>
  </w:style>
  <w:style w:type="paragraph" w:customStyle="1" w:styleId="757">
    <w:name w:val="注解"/>
    <w:basedOn w:val="1"/>
    <w:semiHidden/>
    <w:qFormat/>
    <w:uiPriority w:val="0"/>
    <w:pPr>
      <w:tabs>
        <w:tab w:val="clear" w:pos="480"/>
      </w:tabs>
      <w:adjustRightInd w:val="0"/>
      <w:snapToGrid w:val="0"/>
      <w:spacing w:line="240" w:lineRule="auto"/>
      <w:ind w:left="624" w:right="170" w:hanging="454"/>
    </w:pPr>
    <w:rPr>
      <w:rFonts w:ascii="宋体" w:hAnsi="宋体"/>
      <w:color w:val="000000"/>
      <w:sz w:val="15"/>
      <w:szCs w:val="20"/>
    </w:rPr>
  </w:style>
  <w:style w:type="table" w:customStyle="1" w:styleId="758">
    <w:name w:val="表格式1"/>
    <w:basedOn w:val="88"/>
    <w:semiHidden/>
    <w:qFormat/>
    <w:uiPriority w:val="0"/>
    <w:pPr>
      <w:widowControl w:val="0"/>
      <w:spacing w:line="360" w:lineRule="auto"/>
      <w:ind w:left="-2" w:leftChars="-1" w:firstLine="456" w:firstLineChars="19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59">
    <w:name w:val="scxhdfoewps1"/>
    <w:semiHidden/>
    <w:qFormat/>
    <w:uiPriority w:val="0"/>
  </w:style>
  <w:style w:type="character" w:customStyle="1" w:styleId="760">
    <w:name w:val="日期 Char1"/>
    <w:link w:val="50"/>
    <w:qFormat/>
    <w:uiPriority w:val="0"/>
    <w:rPr>
      <w:rFonts w:eastAsia="宋体"/>
      <w:spacing w:val="-18"/>
      <w:kern w:val="11"/>
      <w:sz w:val="36"/>
      <w:szCs w:val="24"/>
      <w:lang w:val="en-US" w:eastAsia="zh-CN" w:bidi="ar-SA"/>
    </w:rPr>
  </w:style>
  <w:style w:type="character" w:customStyle="1" w:styleId="761">
    <w:name w:val="style191"/>
    <w:semiHidden/>
    <w:qFormat/>
    <w:uiPriority w:val="0"/>
    <w:rPr>
      <w:sz w:val="21"/>
      <w:szCs w:val="21"/>
    </w:rPr>
  </w:style>
  <w:style w:type="character" w:customStyle="1" w:styleId="762">
    <w:name w:val="哈哈正文 Char"/>
    <w:link w:val="701"/>
    <w:qFormat/>
    <w:uiPriority w:val="0"/>
    <w:rPr>
      <w:rFonts w:ascii="宋体" w:hAnsi="宋体" w:eastAsia="宋体"/>
      <w:kern w:val="2"/>
      <w:sz w:val="24"/>
      <w:szCs w:val="24"/>
      <w:lang w:val="en-US" w:eastAsia="zh-CN" w:bidi="ar-SA"/>
    </w:rPr>
  </w:style>
  <w:style w:type="character" w:customStyle="1" w:styleId="763">
    <w:name w:val="款标题1.1.1.1 Char"/>
    <w:qFormat/>
    <w:uiPriority w:val="0"/>
    <w:rPr>
      <w:rFonts w:ascii="Arial" w:hAnsi="Arial" w:eastAsia="黑体" w:cs="Times New Roman"/>
      <w:b/>
      <w:bCs/>
      <w:kern w:val="0"/>
      <w:sz w:val="28"/>
      <w:szCs w:val="28"/>
    </w:rPr>
  </w:style>
  <w:style w:type="character" w:customStyle="1" w:styleId="764">
    <w:name w:val="标题1.1.1.1.1.1 Char"/>
    <w:semiHidden/>
    <w:qFormat/>
    <w:uiPriority w:val="0"/>
    <w:rPr>
      <w:rFonts w:ascii="Arial" w:hAnsi="Arial" w:eastAsia="黑体" w:cs="Times New Roman"/>
      <w:b/>
      <w:spacing w:val="6"/>
      <w:kern w:val="0"/>
      <w:sz w:val="24"/>
      <w:szCs w:val="20"/>
    </w:rPr>
  </w:style>
  <w:style w:type="character" w:customStyle="1" w:styleId="765">
    <w:name w:val="postbody"/>
    <w:basedOn w:val="133"/>
    <w:semiHidden/>
    <w:qFormat/>
    <w:uiPriority w:val="0"/>
  </w:style>
  <w:style w:type="character" w:customStyle="1" w:styleId="766">
    <w:name w:val="项标题(1) Char"/>
    <w:qFormat/>
    <w:uiPriority w:val="0"/>
    <w:rPr>
      <w:rFonts w:ascii="Times New Roman" w:hAnsi="Times New Roman" w:eastAsia="宋体" w:cs="Times New Roman"/>
      <w:b/>
      <w:spacing w:val="6"/>
      <w:kern w:val="0"/>
      <w:sz w:val="24"/>
      <w:szCs w:val="20"/>
    </w:rPr>
  </w:style>
  <w:style w:type="character" w:customStyle="1" w:styleId="767">
    <w:name w:val="标题 8 Char"/>
    <w:qFormat/>
    <w:uiPriority w:val="0"/>
    <w:rPr>
      <w:rFonts w:ascii="Cambria" w:hAnsi="Cambria" w:eastAsia="宋体" w:cs="Times New Roman"/>
      <w:sz w:val="24"/>
      <w:szCs w:val="24"/>
    </w:rPr>
  </w:style>
  <w:style w:type="character" w:customStyle="1" w:styleId="768">
    <w:name w:val="App Heading Char"/>
    <w:semiHidden/>
    <w:qFormat/>
    <w:uiPriority w:val="0"/>
    <w:rPr>
      <w:rFonts w:ascii="Arial" w:hAnsi="Arial" w:eastAsia="黑体" w:cs="Times New Roman"/>
      <w:spacing w:val="10"/>
      <w:kern w:val="0"/>
      <w:szCs w:val="20"/>
    </w:rPr>
  </w:style>
  <w:style w:type="character" w:customStyle="1" w:styleId="769">
    <w:name w:val="表内文字 Char2"/>
    <w:qFormat/>
    <w:uiPriority w:val="0"/>
    <w:rPr>
      <w:rFonts w:ascii="Times New Roman" w:hAnsi="Times New Roman" w:eastAsia="宋体" w:cs="Times New Roman"/>
      <w:kern w:val="0"/>
      <w:sz w:val="24"/>
      <w:szCs w:val="20"/>
    </w:rPr>
  </w:style>
  <w:style w:type="character" w:customStyle="1" w:styleId="770">
    <w:name w:val="Char Char15"/>
    <w:qFormat/>
    <w:uiPriority w:val="0"/>
    <w:rPr>
      <w:rFonts w:ascii="Times New Roman" w:hAnsi="Times New Roman" w:eastAsia="宋体" w:cs="Times New Roman"/>
      <w:kern w:val="0"/>
      <w:sz w:val="24"/>
      <w:szCs w:val="20"/>
    </w:rPr>
  </w:style>
  <w:style w:type="character" w:customStyle="1" w:styleId="771">
    <w:name w:val="正文文字缩进 3 Char2"/>
    <w:qFormat/>
    <w:uiPriority w:val="0"/>
    <w:rPr>
      <w:rFonts w:ascii="Times New Roman" w:hAnsi="Times New Roman" w:eastAsia="宋体" w:cs="Times New Roman"/>
      <w:kern w:val="0"/>
      <w:sz w:val="16"/>
      <w:szCs w:val="16"/>
    </w:rPr>
  </w:style>
  <w:style w:type="character" w:customStyle="1" w:styleId="772">
    <w:name w:val="正文不缩进 Char1"/>
    <w:qFormat/>
    <w:uiPriority w:val="0"/>
    <w:rPr>
      <w:rFonts w:ascii="Times New Roman" w:hAnsi="Times New Roman" w:eastAsia="宋体" w:cs="Times New Roman"/>
      <w:kern w:val="0"/>
      <w:sz w:val="24"/>
      <w:szCs w:val="20"/>
    </w:rPr>
  </w:style>
  <w:style w:type="paragraph" w:customStyle="1" w:styleId="773">
    <w:name w:val="Char Char Char3"/>
    <w:basedOn w:val="1"/>
    <w:qFormat/>
    <w:uiPriority w:val="0"/>
    <w:pPr>
      <w:tabs>
        <w:tab w:val="clear" w:pos="480"/>
      </w:tabs>
      <w:adjustRightInd w:val="0"/>
      <w:snapToGrid w:val="0"/>
      <w:spacing w:line="400" w:lineRule="exact"/>
    </w:pPr>
    <w:rPr>
      <w:szCs w:val="20"/>
    </w:rPr>
  </w:style>
  <w:style w:type="character" w:customStyle="1" w:styleId="774">
    <w:name w:val="正文文字 2 Char3"/>
    <w:qFormat/>
    <w:uiPriority w:val="0"/>
    <w:rPr>
      <w:rFonts w:ascii="Times New Roman" w:hAnsi="Times New Roman" w:eastAsia="宋体" w:cs="Times New Roman"/>
      <w:spacing w:val="6"/>
      <w:kern w:val="0"/>
      <w:sz w:val="24"/>
      <w:szCs w:val="20"/>
    </w:rPr>
  </w:style>
  <w:style w:type="character" w:customStyle="1" w:styleId="775">
    <w:name w:val="正文文本 3 Char2"/>
    <w:link w:val="30"/>
    <w:qFormat/>
    <w:uiPriority w:val="0"/>
    <w:rPr>
      <w:rFonts w:eastAsia="仿宋_GB2312"/>
      <w:kern w:val="2"/>
      <w:sz w:val="21"/>
      <w:lang w:val="en-US" w:eastAsia="zh-CN" w:bidi="ar-SA"/>
    </w:rPr>
  </w:style>
  <w:style w:type="character" w:customStyle="1" w:styleId="776">
    <w:name w:val="bt Char4"/>
    <w:semiHidden/>
    <w:qFormat/>
    <w:uiPriority w:val="0"/>
    <w:rPr>
      <w:rFonts w:ascii="Times New Roman" w:hAnsi="Times New Roman" w:eastAsia="宋体" w:cs="Times New Roman"/>
      <w:color w:val="000000"/>
      <w:spacing w:val="6"/>
      <w:kern w:val="0"/>
      <w:sz w:val="24"/>
      <w:szCs w:val="18"/>
    </w:rPr>
  </w:style>
  <w:style w:type="paragraph" w:customStyle="1" w:styleId="777">
    <w:name w:val="正文并列"/>
    <w:basedOn w:val="1"/>
    <w:next w:val="1"/>
    <w:qFormat/>
    <w:uiPriority w:val="0"/>
    <w:pPr>
      <w:tabs>
        <w:tab w:val="clear" w:pos="480"/>
      </w:tabs>
      <w:adjustRightInd w:val="0"/>
      <w:snapToGrid w:val="0"/>
      <w:spacing w:line="400" w:lineRule="exact"/>
    </w:pPr>
    <w:rPr>
      <w:szCs w:val="20"/>
    </w:rPr>
  </w:style>
  <w:style w:type="character" w:customStyle="1" w:styleId="778">
    <w:name w:val="正文首行缩进 Char Char Char"/>
    <w:qFormat/>
    <w:uiPriority w:val="0"/>
    <w:rPr>
      <w:rFonts w:ascii="宋体" w:hAnsi="宋体" w:eastAsia="宋体"/>
      <w:kern w:val="2"/>
      <w:sz w:val="24"/>
      <w:szCs w:val="24"/>
      <w:lang w:val="en-US" w:eastAsia="zh-CN" w:bidi="ar-SA"/>
    </w:rPr>
  </w:style>
  <w:style w:type="character" w:customStyle="1" w:styleId="779">
    <w:name w:val="落款 Char"/>
    <w:qFormat/>
    <w:uiPriority w:val="0"/>
    <w:rPr>
      <w:rFonts w:ascii="Times New Roman" w:hAnsi="Times New Roman" w:eastAsia="宋体" w:cs="Times New Roman"/>
      <w:kern w:val="0"/>
      <w:sz w:val="24"/>
      <w:szCs w:val="20"/>
    </w:rPr>
  </w:style>
  <w:style w:type="paragraph" w:customStyle="1" w:styleId="780">
    <w:name w:val="点项目"/>
    <w:qFormat/>
    <w:uiPriority w:val="0"/>
    <w:pPr>
      <w:tabs>
        <w:tab w:val="left" w:pos="550"/>
      </w:tabs>
      <w:spacing w:before="40" w:after="40" w:line="360" w:lineRule="auto"/>
      <w:ind w:left="550" w:hanging="329" w:firstLineChars="200"/>
      <w:jc w:val="both"/>
    </w:pPr>
    <w:rPr>
      <w:rFonts w:ascii="Times New Roman" w:hAnsi="Times New Roman" w:eastAsia="宋体" w:cs="Times New Roman"/>
      <w:b/>
      <w:spacing w:val="12"/>
      <w:kern w:val="2"/>
      <w:sz w:val="24"/>
      <w:szCs w:val="24"/>
      <w:lang w:val="en-US" w:eastAsia="zh-CN" w:bidi="ar-SA"/>
    </w:rPr>
  </w:style>
  <w:style w:type="paragraph" w:customStyle="1" w:styleId="781">
    <w:name w:val="块项目"/>
    <w:next w:val="1"/>
    <w:qFormat/>
    <w:uiPriority w:val="0"/>
    <w:pPr>
      <w:tabs>
        <w:tab w:val="left" w:pos="550"/>
      </w:tabs>
      <w:spacing w:before="40" w:after="40" w:line="360" w:lineRule="auto"/>
      <w:ind w:left="425" w:hanging="205" w:firstLineChars="200"/>
      <w:jc w:val="both"/>
    </w:pPr>
    <w:rPr>
      <w:rFonts w:ascii="Times New Roman" w:hAnsi="Times New Roman" w:eastAsia="宋体" w:cs="Times New Roman"/>
      <w:b/>
      <w:spacing w:val="20"/>
      <w:kern w:val="2"/>
      <w:sz w:val="24"/>
      <w:szCs w:val="24"/>
      <w:lang w:val="en-US" w:eastAsia="zh-CN" w:bidi="ar-SA"/>
    </w:rPr>
  </w:style>
  <w:style w:type="paragraph" w:customStyle="1" w:styleId="782">
    <w:name w:val="dot"/>
    <w:semiHidden/>
    <w:qFormat/>
    <w:uiPriority w:val="0"/>
    <w:pPr>
      <w:tabs>
        <w:tab w:val="left" w:pos="420"/>
      </w:tabs>
      <w:spacing w:before="40" w:after="40" w:line="360" w:lineRule="auto"/>
      <w:ind w:left="420" w:hanging="420" w:firstLineChars="200"/>
      <w:jc w:val="both"/>
    </w:pPr>
    <w:rPr>
      <w:rFonts w:ascii="Times New Roman" w:hAnsi="Times New Roman" w:eastAsia="宋体" w:cs="Times New Roman"/>
      <w:b/>
      <w:kern w:val="2"/>
      <w:sz w:val="24"/>
      <w:szCs w:val="24"/>
      <w:lang w:val="en-US" w:eastAsia="zh-CN" w:bidi="ar-SA"/>
    </w:rPr>
  </w:style>
  <w:style w:type="paragraph" w:customStyle="1" w:styleId="783">
    <w:name w:val="参考书"/>
    <w:basedOn w:val="1"/>
    <w:qFormat/>
    <w:uiPriority w:val="0"/>
    <w:pPr>
      <w:numPr>
        <w:ilvl w:val="0"/>
        <w:numId w:val="12"/>
      </w:numPr>
      <w:tabs>
        <w:tab w:val="left" w:pos="980"/>
        <w:tab w:val="clear" w:pos="480"/>
      </w:tabs>
      <w:adjustRightInd w:val="0"/>
      <w:spacing w:before="60" w:after="60" w:line="264" w:lineRule="auto"/>
      <w:ind w:firstLine="0"/>
      <w:jc w:val="left"/>
      <w:textAlignment w:val="baseline"/>
    </w:pPr>
    <w:rPr>
      <w:rFonts w:cs="Arial Unicode MS"/>
      <w:spacing w:val="8"/>
      <w:kern w:val="0"/>
      <w:szCs w:val="20"/>
    </w:rPr>
  </w:style>
  <w:style w:type="paragraph" w:customStyle="1" w:styleId="784">
    <w:name w:val="表头8"/>
    <w:basedOn w:val="1"/>
    <w:qFormat/>
    <w:uiPriority w:val="0"/>
    <w:pPr>
      <w:tabs>
        <w:tab w:val="left" w:pos="360"/>
        <w:tab w:val="left" w:pos="1728"/>
        <w:tab w:val="left" w:pos="2866"/>
        <w:tab w:val="clear" w:pos="480"/>
      </w:tabs>
      <w:adjustRightInd w:val="0"/>
      <w:snapToGrid w:val="0"/>
      <w:spacing w:beforeLines="100" w:afterLines="50" w:line="240" w:lineRule="atLeast"/>
      <w:ind w:left="845"/>
    </w:pPr>
    <w:rPr>
      <w:b/>
      <w:color w:val="000000"/>
    </w:rPr>
  </w:style>
  <w:style w:type="paragraph" w:customStyle="1" w:styleId="785">
    <w:name w:val="列项——"/>
    <w:qFormat/>
    <w:uiPriority w:val="0"/>
    <w:pPr>
      <w:widowControl w:val="0"/>
      <w:numPr>
        <w:ilvl w:val="0"/>
        <w:numId w:val="13"/>
      </w:numPr>
      <w:tabs>
        <w:tab w:val="left" w:pos="854"/>
        <w:tab w:val="clear" w:pos="1140"/>
      </w:tabs>
      <w:spacing w:line="360" w:lineRule="auto"/>
      <w:ind w:left="200" w:leftChars="200" w:hanging="200" w:hangingChars="200"/>
      <w:jc w:val="both"/>
    </w:pPr>
    <w:rPr>
      <w:rFonts w:ascii="宋体" w:hAnsi="Times New Roman" w:eastAsia="宋体" w:cs="Times New Roman"/>
      <w:kern w:val="2"/>
      <w:sz w:val="21"/>
      <w:szCs w:val="24"/>
      <w:lang w:val="en-US" w:eastAsia="zh-CN" w:bidi="ar-SA"/>
    </w:rPr>
  </w:style>
  <w:style w:type="paragraph" w:customStyle="1" w:styleId="786">
    <w:name w:val="生物中文类名"/>
    <w:basedOn w:val="1"/>
    <w:qFormat/>
    <w:uiPriority w:val="0"/>
    <w:pPr>
      <w:numPr>
        <w:ilvl w:val="0"/>
        <w:numId w:val="14"/>
      </w:numPr>
      <w:tabs>
        <w:tab w:val="left" w:pos="-120"/>
        <w:tab w:val="clear" w:pos="425"/>
        <w:tab w:val="clear" w:pos="480"/>
      </w:tabs>
      <w:spacing w:before="60" w:line="310" w:lineRule="atLeast"/>
      <w:ind w:left="0" w:firstLine="2714" w:firstLineChars="1082"/>
      <w:jc w:val="center"/>
    </w:pPr>
    <w:rPr>
      <w:b/>
      <w:bCs/>
      <w:spacing w:val="20"/>
      <w:sz w:val="21"/>
      <w:szCs w:val="21"/>
    </w:rPr>
  </w:style>
  <w:style w:type="character" w:customStyle="1" w:styleId="787">
    <w:name w:val="样式2 Char"/>
    <w:qFormat/>
    <w:uiPriority w:val="0"/>
    <w:rPr>
      <w:rFonts w:eastAsia="楷体_GB2312"/>
      <w:kern w:val="2"/>
      <w:sz w:val="28"/>
      <w:szCs w:val="24"/>
      <w:lang w:val="en-US" w:eastAsia="zh-CN" w:bidi="ar-SA"/>
    </w:rPr>
  </w:style>
  <w:style w:type="paragraph" w:customStyle="1" w:styleId="788">
    <w:name w:val="海南化工城正文"/>
    <w:basedOn w:val="1"/>
    <w:link w:val="1312"/>
    <w:qFormat/>
    <w:uiPriority w:val="0"/>
    <w:pPr>
      <w:numPr>
        <w:ilvl w:val="0"/>
        <w:numId w:val="15"/>
      </w:numPr>
      <w:tabs>
        <w:tab w:val="clear" w:pos="360"/>
        <w:tab w:val="clear" w:pos="480"/>
      </w:tabs>
      <w:adjustRightInd w:val="0"/>
      <w:snapToGrid w:val="0"/>
      <w:spacing w:line="324" w:lineRule="auto"/>
      <w:ind w:left="0" w:firstLine="480" w:firstLineChars="200"/>
    </w:pPr>
    <w:rPr>
      <w:rFonts w:ascii="宋体" w:hAnsi="宋体"/>
      <w:kern w:val="0"/>
      <w:szCs w:val="20"/>
      <w:lang w:val="zh-CN"/>
    </w:rPr>
  </w:style>
  <w:style w:type="paragraph" w:customStyle="1" w:styleId="789">
    <w:name w:val="码头正文"/>
    <w:basedOn w:val="20"/>
    <w:qFormat/>
    <w:uiPriority w:val="0"/>
    <w:pPr>
      <w:numPr>
        <w:ilvl w:val="0"/>
        <w:numId w:val="16"/>
      </w:numPr>
      <w:tabs>
        <w:tab w:val="clear" w:pos="2345"/>
      </w:tabs>
      <w:adjustRightInd w:val="0"/>
      <w:snapToGrid w:val="0"/>
      <w:spacing w:line="400" w:lineRule="exact"/>
      <w:ind w:left="0" w:firstLine="480"/>
    </w:pPr>
    <w:rPr>
      <w:bCs/>
      <w:color w:val="0000FF"/>
      <w:kern w:val="0"/>
      <w:szCs w:val="20"/>
      <w:u w:color="000000"/>
    </w:rPr>
  </w:style>
  <w:style w:type="paragraph" w:customStyle="1" w:styleId="790">
    <w:name w:val="样式 表格2 + Times New Roman"/>
    <w:basedOn w:val="1"/>
    <w:qFormat/>
    <w:uiPriority w:val="0"/>
    <w:pPr>
      <w:tabs>
        <w:tab w:val="clear" w:pos="480"/>
      </w:tabs>
      <w:spacing w:beforeLines="5" w:line="240" w:lineRule="auto"/>
      <w:jc w:val="center"/>
    </w:pPr>
    <w:rPr>
      <w:rFonts w:eastAsia="Times New Roman"/>
      <w:sz w:val="21"/>
      <w:szCs w:val="20"/>
      <w:lang w:val="zh-CN"/>
    </w:rPr>
  </w:style>
  <w:style w:type="character" w:customStyle="1" w:styleId="791">
    <w:name w:val="标题 2 Char Char Char"/>
    <w:semiHidden/>
    <w:qFormat/>
    <w:uiPriority w:val="0"/>
    <w:rPr>
      <w:rFonts w:ascii="宋体" w:hAnsi="Arial" w:eastAsia="宋体"/>
      <w:b/>
      <w:sz w:val="30"/>
      <w:lang w:val="en-US" w:eastAsia="zh-CN" w:bidi="ar-SA"/>
    </w:rPr>
  </w:style>
  <w:style w:type="paragraph" w:customStyle="1" w:styleId="792">
    <w:name w:val="Char Char Char Char3"/>
    <w:basedOn w:val="1"/>
    <w:qFormat/>
    <w:uiPriority w:val="0"/>
    <w:pPr>
      <w:tabs>
        <w:tab w:val="clear" w:pos="480"/>
      </w:tabs>
      <w:spacing w:line="240" w:lineRule="auto"/>
    </w:pPr>
    <w:rPr>
      <w:sz w:val="21"/>
    </w:rPr>
  </w:style>
  <w:style w:type="paragraph" w:customStyle="1" w:styleId="793">
    <w:name w:val="Char Char Char2 Char Char Char"/>
    <w:basedOn w:val="1"/>
    <w:semiHidden/>
    <w:qFormat/>
    <w:uiPriority w:val="0"/>
    <w:pPr>
      <w:tabs>
        <w:tab w:val="clear" w:pos="480"/>
      </w:tabs>
      <w:spacing w:line="240" w:lineRule="auto"/>
    </w:pPr>
  </w:style>
  <w:style w:type="paragraph" w:customStyle="1" w:styleId="794">
    <w:name w:val="Char1 Char Char"/>
    <w:basedOn w:val="1"/>
    <w:semiHidden/>
    <w:qFormat/>
    <w:uiPriority w:val="0"/>
    <w:pPr>
      <w:tabs>
        <w:tab w:val="clear" w:pos="480"/>
      </w:tabs>
    </w:pPr>
    <w:rPr>
      <w:rFonts w:ascii="宋体" w:hAnsi="宋体" w:cs="宋体"/>
    </w:rPr>
  </w:style>
  <w:style w:type="paragraph" w:customStyle="1" w:styleId="795">
    <w:name w:val="湛江码头表"/>
    <w:basedOn w:val="227"/>
    <w:qFormat/>
    <w:uiPriority w:val="0"/>
    <w:pPr>
      <w:spacing w:line="0" w:lineRule="atLeast"/>
      <w:ind w:left="480"/>
      <w:outlineLvl w:val="0"/>
    </w:pPr>
    <w:rPr>
      <w:rFonts w:ascii="Calibri" w:hAnsi="Calibri" w:eastAsia="仿宋_GB2312"/>
      <w:color w:val="auto"/>
      <w:kern w:val="0"/>
      <w:position w:val="2"/>
      <w:sz w:val="20"/>
      <w:szCs w:val="24"/>
      <w:lang w:eastAsia="zh-TW"/>
    </w:rPr>
  </w:style>
  <w:style w:type="paragraph" w:customStyle="1" w:styleId="796">
    <w:name w:val="样式 表格1 + 行距: 单倍行距"/>
    <w:basedOn w:val="182"/>
    <w:qFormat/>
    <w:uiPriority w:val="0"/>
    <w:pPr>
      <w:topLinePunct w:val="0"/>
      <w:autoSpaceDE/>
      <w:autoSpaceDN/>
      <w:snapToGrid w:val="0"/>
      <w:textAlignment w:val="auto"/>
    </w:pPr>
    <w:rPr>
      <w:rFonts w:ascii="Calibri" w:hAnsi="Calibri"/>
      <w:kern w:val="0"/>
      <w:sz w:val="20"/>
      <w:szCs w:val="24"/>
    </w:rPr>
  </w:style>
  <w:style w:type="paragraph" w:customStyle="1" w:styleId="797">
    <w:name w:val="湛宝标题"/>
    <w:basedOn w:val="21"/>
    <w:qFormat/>
    <w:uiPriority w:val="0"/>
    <w:pPr>
      <w:widowControl w:val="0"/>
      <w:adjustRightInd/>
      <w:snapToGrid/>
      <w:spacing w:before="0" w:after="0"/>
      <w:ind w:firstLine="0" w:firstLineChars="0"/>
    </w:pPr>
    <w:rPr>
      <w:rFonts w:cs="Times New Roman"/>
      <w:color w:val="auto"/>
      <w:kern w:val="0"/>
    </w:rPr>
  </w:style>
  <w:style w:type="paragraph" w:customStyle="1" w:styleId="798">
    <w:name w:val="表格内文字"/>
    <w:next w:val="1"/>
    <w:link w:val="1842"/>
    <w:qFormat/>
    <w:uiPriority w:val="0"/>
    <w:pPr>
      <w:jc w:val="center"/>
    </w:pPr>
    <w:rPr>
      <w:rFonts w:ascii="Times New Roman" w:hAnsi="Times New Roman" w:eastAsia="宋体" w:cs="Times New Roman"/>
      <w:kern w:val="2"/>
      <w:sz w:val="21"/>
      <w:szCs w:val="21"/>
      <w:lang w:val="zh-CN" w:eastAsia="zh-CN" w:bidi="ar-SA"/>
    </w:rPr>
  </w:style>
  <w:style w:type="paragraph" w:customStyle="1" w:styleId="799">
    <w:name w:val="惠州3"/>
    <w:basedOn w:val="1"/>
    <w:qFormat/>
    <w:uiPriority w:val="0"/>
    <w:pPr>
      <w:tabs>
        <w:tab w:val="clear" w:pos="480"/>
      </w:tabs>
      <w:spacing w:line="580" w:lineRule="exact"/>
      <w:ind w:firstLine="600"/>
    </w:pPr>
    <w:rPr>
      <w:rFonts w:eastAsia="仿宋_GB2312"/>
      <w:sz w:val="30"/>
      <w:szCs w:val="30"/>
    </w:rPr>
  </w:style>
  <w:style w:type="character" w:customStyle="1" w:styleId="800">
    <w:name w:val="纯文本 Char Char Char Char"/>
    <w:qFormat/>
    <w:uiPriority w:val="0"/>
    <w:rPr>
      <w:rFonts w:ascii="宋体" w:hAnsi="Courier New" w:eastAsia="宋体" w:cs="Courier New"/>
      <w:sz w:val="21"/>
      <w:szCs w:val="21"/>
      <w:lang w:val="en-US" w:eastAsia="zh-CN" w:bidi="ar-SA"/>
    </w:rPr>
  </w:style>
  <w:style w:type="paragraph" w:customStyle="1" w:styleId="801">
    <w:name w:val="表格new"/>
    <w:basedOn w:val="1"/>
    <w:next w:val="1"/>
    <w:link w:val="1825"/>
    <w:semiHidden/>
    <w:qFormat/>
    <w:uiPriority w:val="0"/>
    <w:pPr>
      <w:tabs>
        <w:tab w:val="clear" w:pos="480"/>
      </w:tabs>
      <w:spacing w:line="240" w:lineRule="auto"/>
      <w:jc w:val="center"/>
      <w:textAlignment w:val="center"/>
    </w:pPr>
    <w:rPr>
      <w:kern w:val="0"/>
      <w:sz w:val="20"/>
      <w:szCs w:val="21"/>
      <w:lang w:val="zh-CN"/>
    </w:rPr>
  </w:style>
  <w:style w:type="character" w:customStyle="1" w:styleId="802">
    <w:name w:val="正文文本 2 Char1"/>
    <w:qFormat/>
    <w:uiPriority w:val="99"/>
    <w:rPr>
      <w:rFonts w:ascii="Times New Roman" w:hAnsi="Times New Roman" w:eastAsia="宋体" w:cs="Times New Roman"/>
      <w:spacing w:val="6"/>
      <w:kern w:val="0"/>
      <w:sz w:val="24"/>
      <w:szCs w:val="20"/>
    </w:rPr>
  </w:style>
  <w:style w:type="character" w:customStyle="1" w:styleId="803">
    <w:name w:val="正文文本缩进 2 Char1"/>
    <w:qFormat/>
    <w:uiPriority w:val="0"/>
    <w:rPr>
      <w:rFonts w:ascii="Times New Roman" w:hAnsi="Times New Roman" w:eastAsia="宋体" w:cs="Times New Roman"/>
      <w:color w:val="000000"/>
      <w:spacing w:val="6"/>
      <w:kern w:val="0"/>
      <w:sz w:val="24"/>
      <w:szCs w:val="18"/>
    </w:rPr>
  </w:style>
  <w:style w:type="character" w:customStyle="1" w:styleId="804">
    <w:name w:val="样式 小四"/>
    <w:qFormat/>
    <w:uiPriority w:val="0"/>
    <w:rPr>
      <w:sz w:val="24"/>
    </w:rPr>
  </w:style>
  <w:style w:type="paragraph" w:customStyle="1" w:styleId="805">
    <w:name w:val="佛风险表"/>
    <w:basedOn w:val="227"/>
    <w:qFormat/>
    <w:uiPriority w:val="0"/>
    <w:pPr>
      <w:spacing w:line="240" w:lineRule="atLeast"/>
      <w:jc w:val="both"/>
    </w:pPr>
    <w:rPr>
      <w:rFonts w:ascii="宋体" w:hAnsi="宋体"/>
      <w:kern w:val="0"/>
      <w:sz w:val="18"/>
      <w:szCs w:val="18"/>
      <w:lang w:val="sq-AL"/>
    </w:rPr>
  </w:style>
  <w:style w:type="character" w:customStyle="1" w:styleId="806">
    <w:name w:val="下标"/>
    <w:qFormat/>
    <w:uiPriority w:val="0"/>
    <w:rPr>
      <w:rFonts w:ascii="Times New Roman" w:hAnsi="Times New Roman" w:eastAsia="宋体"/>
      <w:spacing w:val="0"/>
      <w:position w:val="-7"/>
      <w:sz w:val="18"/>
    </w:rPr>
  </w:style>
  <w:style w:type="character" w:customStyle="1" w:styleId="807">
    <w:name w:val="上标"/>
    <w:qFormat/>
    <w:uiPriority w:val="0"/>
    <w:rPr>
      <w:spacing w:val="0"/>
      <w:position w:val="7"/>
      <w:sz w:val="21"/>
    </w:rPr>
  </w:style>
  <w:style w:type="paragraph" w:customStyle="1" w:styleId="808">
    <w:name w:val="表格c"/>
    <w:basedOn w:val="1"/>
    <w:next w:val="1"/>
    <w:semiHidden/>
    <w:qFormat/>
    <w:uiPriority w:val="0"/>
    <w:pPr>
      <w:tabs>
        <w:tab w:val="clear" w:pos="480"/>
      </w:tabs>
      <w:spacing w:line="280" w:lineRule="exact"/>
    </w:pPr>
    <w:rPr>
      <w:spacing w:val="-6"/>
      <w:sz w:val="21"/>
    </w:rPr>
  </w:style>
  <w:style w:type="paragraph" w:customStyle="1" w:styleId="809">
    <w:name w:val="表格3"/>
    <w:basedOn w:val="1"/>
    <w:next w:val="1"/>
    <w:semiHidden/>
    <w:qFormat/>
    <w:uiPriority w:val="0"/>
    <w:pPr>
      <w:tabs>
        <w:tab w:val="clear" w:pos="480"/>
      </w:tabs>
      <w:adjustRightInd w:val="0"/>
      <w:spacing w:line="240" w:lineRule="auto"/>
      <w:jc w:val="center"/>
      <w:textAlignment w:val="baseline"/>
    </w:pPr>
    <w:rPr>
      <w:kern w:val="0"/>
      <w:szCs w:val="20"/>
    </w:rPr>
  </w:style>
  <w:style w:type="paragraph" w:customStyle="1" w:styleId="810">
    <w:name w:val="程序"/>
    <w:basedOn w:val="1"/>
    <w:qFormat/>
    <w:uiPriority w:val="0"/>
    <w:pPr>
      <w:tabs>
        <w:tab w:val="clear" w:pos="480"/>
      </w:tabs>
      <w:adjustRightInd w:val="0"/>
      <w:spacing w:line="240" w:lineRule="atLeast"/>
      <w:ind w:firstLine="601"/>
      <w:textAlignment w:val="baseline"/>
    </w:pPr>
    <w:rPr>
      <w:rFonts w:ascii="Courier New" w:hAnsi="Courier New"/>
      <w:spacing w:val="10"/>
      <w:kern w:val="0"/>
      <w:szCs w:val="20"/>
    </w:rPr>
  </w:style>
  <w:style w:type="paragraph" w:customStyle="1" w:styleId="811">
    <w:name w:val="普通2"/>
    <w:basedOn w:val="45"/>
    <w:qFormat/>
    <w:uiPriority w:val="0"/>
    <w:pPr>
      <w:jc w:val="center"/>
    </w:pPr>
    <w:rPr>
      <w:rFonts w:ascii="Times New Roman" w:hAnsi="Times New Roman"/>
      <w:snapToGrid w:val="0"/>
      <w:color w:val="000000"/>
      <w:kern w:val="0"/>
      <w:szCs w:val="24"/>
    </w:rPr>
  </w:style>
  <w:style w:type="character" w:customStyle="1" w:styleId="812">
    <w:name w:val="沥青正文 Char"/>
    <w:qFormat/>
    <w:uiPriority w:val="0"/>
    <w:rPr>
      <w:rFonts w:eastAsia="宋体"/>
      <w:kern w:val="2"/>
      <w:sz w:val="24"/>
      <w:szCs w:val="24"/>
      <w:lang w:val="en-US" w:eastAsia="zh-CN" w:bidi="ar-SA"/>
    </w:rPr>
  </w:style>
  <w:style w:type="paragraph" w:customStyle="1" w:styleId="813">
    <w:name w:val="沥青表"/>
    <w:basedOn w:val="1"/>
    <w:qFormat/>
    <w:uiPriority w:val="0"/>
    <w:pPr>
      <w:tabs>
        <w:tab w:val="clear" w:pos="480"/>
      </w:tabs>
      <w:adjustRightInd w:val="0"/>
      <w:spacing w:line="0" w:lineRule="atLeast"/>
      <w:jc w:val="center"/>
      <w:textAlignment w:val="baseline"/>
    </w:pPr>
    <w:rPr>
      <w:bCs/>
      <w:spacing w:val="10"/>
      <w:kern w:val="0"/>
      <w:sz w:val="21"/>
      <w:szCs w:val="21"/>
    </w:rPr>
  </w:style>
  <w:style w:type="paragraph" w:customStyle="1" w:styleId="814">
    <w:name w:val="表题注"/>
    <w:basedOn w:val="813"/>
    <w:qFormat/>
    <w:uiPriority w:val="0"/>
    <w:pPr>
      <w:spacing w:beforeLines="30"/>
    </w:pPr>
    <w:rPr>
      <w:bCs w:val="0"/>
    </w:rPr>
  </w:style>
  <w:style w:type="paragraph" w:customStyle="1" w:styleId="815">
    <w:name w:val="题注2"/>
    <w:basedOn w:val="21"/>
    <w:next w:val="814"/>
    <w:qFormat/>
    <w:uiPriority w:val="0"/>
    <w:pPr>
      <w:widowControl w:val="0"/>
      <w:adjustRightInd/>
      <w:snapToGrid/>
      <w:spacing w:before="0" w:after="0" w:line="324" w:lineRule="auto"/>
      <w:ind w:firstLine="400"/>
      <w:jc w:val="both"/>
    </w:pPr>
    <w:rPr>
      <w:rFonts w:cs="Times New Roman"/>
      <w:color w:val="auto"/>
      <w:kern w:val="0"/>
      <w:sz w:val="21"/>
    </w:rPr>
  </w:style>
  <w:style w:type="paragraph" w:customStyle="1" w:styleId="816">
    <w:name w:val="表中文字"/>
    <w:basedOn w:val="1"/>
    <w:link w:val="3461"/>
    <w:qFormat/>
    <w:uiPriority w:val="0"/>
    <w:pPr>
      <w:tabs>
        <w:tab w:val="clear" w:pos="480"/>
      </w:tabs>
      <w:spacing w:line="240" w:lineRule="auto"/>
      <w:jc w:val="center"/>
    </w:pPr>
    <w:rPr>
      <w:sz w:val="21"/>
    </w:rPr>
  </w:style>
  <w:style w:type="character" w:customStyle="1" w:styleId="817">
    <w:name w:val="沥青表 Char"/>
    <w:qFormat/>
    <w:uiPriority w:val="0"/>
    <w:rPr>
      <w:rFonts w:eastAsia="宋体"/>
      <w:bCs/>
      <w:spacing w:val="10"/>
      <w:sz w:val="21"/>
      <w:szCs w:val="21"/>
      <w:lang w:val="en-US" w:eastAsia="zh-CN" w:bidi="ar-SA"/>
    </w:rPr>
  </w:style>
  <w:style w:type="paragraph" w:customStyle="1" w:styleId="818">
    <w:name w:val="钢铁表"/>
    <w:basedOn w:val="1"/>
    <w:qFormat/>
    <w:uiPriority w:val="0"/>
    <w:pPr>
      <w:tabs>
        <w:tab w:val="clear" w:pos="480"/>
      </w:tabs>
      <w:adjustRightInd w:val="0"/>
      <w:snapToGrid w:val="0"/>
      <w:spacing w:line="240" w:lineRule="auto"/>
    </w:pPr>
    <w:rPr>
      <w:snapToGrid w:val="0"/>
      <w:sz w:val="21"/>
    </w:rPr>
  </w:style>
  <w:style w:type="paragraph" w:customStyle="1" w:styleId="819">
    <w:name w:val="湛宝表格"/>
    <w:basedOn w:val="1"/>
    <w:qFormat/>
    <w:uiPriority w:val="0"/>
    <w:pPr>
      <w:tabs>
        <w:tab w:val="clear" w:pos="480"/>
      </w:tabs>
      <w:adjustRightInd w:val="0"/>
      <w:spacing w:line="240" w:lineRule="auto"/>
      <w:jc w:val="center"/>
      <w:textAlignment w:val="baseline"/>
    </w:pPr>
    <w:rPr>
      <w:rFonts w:eastAsia="Times New Roman"/>
      <w:spacing w:val="10"/>
      <w:kern w:val="0"/>
      <w:sz w:val="21"/>
      <w:szCs w:val="20"/>
    </w:rPr>
  </w:style>
  <w:style w:type="paragraph" w:customStyle="1" w:styleId="820">
    <w:name w:val="表格文字居中"/>
    <w:basedOn w:val="1"/>
    <w:semiHidden/>
    <w:qFormat/>
    <w:uiPriority w:val="0"/>
    <w:pPr>
      <w:tabs>
        <w:tab w:val="clear" w:pos="480"/>
      </w:tabs>
      <w:adjustRightInd w:val="0"/>
      <w:snapToGrid w:val="0"/>
      <w:spacing w:line="240" w:lineRule="auto"/>
      <w:jc w:val="center"/>
    </w:pPr>
    <w:rPr>
      <w:rFonts w:ascii="宋体" w:hAnsi="宋体"/>
      <w:color w:val="000000"/>
      <w:sz w:val="21"/>
      <w:szCs w:val="21"/>
    </w:rPr>
  </w:style>
  <w:style w:type="paragraph" w:customStyle="1" w:styleId="821">
    <w:name w:val="扉页表"/>
    <w:basedOn w:val="1"/>
    <w:qFormat/>
    <w:uiPriority w:val="0"/>
    <w:pPr>
      <w:tabs>
        <w:tab w:val="clear" w:pos="480"/>
      </w:tabs>
      <w:autoSpaceDE w:val="0"/>
      <w:autoSpaceDN w:val="0"/>
      <w:adjustRightInd w:val="0"/>
      <w:jc w:val="center"/>
      <w:textAlignment w:val="baseline"/>
    </w:pPr>
    <w:rPr>
      <w:rFonts w:ascii="宋体" w:hAnsi="宋体"/>
      <w:kern w:val="24"/>
      <w:position w:val="-28"/>
      <w:sz w:val="28"/>
      <w:szCs w:val="20"/>
    </w:rPr>
  </w:style>
  <w:style w:type="paragraph" w:customStyle="1" w:styleId="822">
    <w:name w:val="标题5"/>
    <w:basedOn w:val="1"/>
    <w:next w:val="1"/>
    <w:qFormat/>
    <w:uiPriority w:val="0"/>
    <w:pPr>
      <w:tabs>
        <w:tab w:val="clear" w:pos="480"/>
      </w:tabs>
      <w:ind w:firstLine="567"/>
      <w:outlineLvl w:val="4"/>
    </w:pPr>
    <w:rPr>
      <w:rFonts w:ascii="宋体"/>
      <w:sz w:val="28"/>
      <w:szCs w:val="28"/>
    </w:rPr>
  </w:style>
  <w:style w:type="paragraph" w:customStyle="1" w:styleId="823">
    <w:name w:val="表中居中文字"/>
    <w:basedOn w:val="1"/>
    <w:qFormat/>
    <w:uiPriority w:val="0"/>
    <w:pPr>
      <w:keepNext/>
      <w:widowControl/>
      <w:tabs>
        <w:tab w:val="clear" w:pos="480"/>
      </w:tabs>
      <w:jc w:val="center"/>
    </w:pPr>
    <w:rPr>
      <w:rFonts w:ascii="宋体" w:hAnsi="宋体" w:cs="Arial"/>
      <w:szCs w:val="18"/>
    </w:rPr>
  </w:style>
  <w:style w:type="paragraph" w:customStyle="1" w:styleId="824">
    <w:name w:val="表格文字左"/>
    <w:basedOn w:val="823"/>
    <w:semiHidden/>
    <w:qFormat/>
    <w:uiPriority w:val="0"/>
    <w:pPr>
      <w:ind w:firstLine="180" w:firstLineChars="75"/>
      <w:jc w:val="left"/>
    </w:pPr>
  </w:style>
  <w:style w:type="paragraph" w:customStyle="1" w:styleId="825">
    <w:name w:val="佛山正文"/>
    <w:basedOn w:val="1"/>
    <w:qFormat/>
    <w:uiPriority w:val="0"/>
    <w:pPr>
      <w:tabs>
        <w:tab w:val="clear" w:pos="480"/>
      </w:tabs>
      <w:spacing w:line="400" w:lineRule="exact"/>
    </w:pPr>
  </w:style>
  <w:style w:type="paragraph" w:customStyle="1" w:styleId="826">
    <w:name w:val="样式qqq"/>
    <w:basedOn w:val="1"/>
    <w:qFormat/>
    <w:uiPriority w:val="0"/>
    <w:pPr>
      <w:tabs>
        <w:tab w:val="clear" w:pos="480"/>
      </w:tabs>
    </w:pPr>
    <w:rPr>
      <w:sz w:val="21"/>
    </w:rPr>
  </w:style>
  <w:style w:type="paragraph" w:customStyle="1" w:styleId="827">
    <w:name w:val="样式 表格1 + 段前: 4.65 磅"/>
    <w:basedOn w:val="182"/>
    <w:qFormat/>
    <w:uiPriority w:val="0"/>
    <w:pPr>
      <w:topLinePunct w:val="0"/>
      <w:autoSpaceDE/>
      <w:autoSpaceDN/>
      <w:spacing w:line="360" w:lineRule="exact"/>
    </w:pPr>
    <w:rPr>
      <w:rFonts w:ascii="CG Times (W1)" w:hAnsi="CG Times (W1)" w:cs="宋体"/>
      <w:kern w:val="0"/>
      <w:sz w:val="24"/>
    </w:rPr>
  </w:style>
  <w:style w:type="paragraph" w:customStyle="1" w:styleId="828">
    <w:name w:val="风险评价正文"/>
    <w:basedOn w:val="1"/>
    <w:qFormat/>
    <w:uiPriority w:val="0"/>
    <w:pPr>
      <w:tabs>
        <w:tab w:val="clear" w:pos="480"/>
      </w:tabs>
      <w:spacing w:line="324" w:lineRule="auto"/>
      <w:ind w:firstLine="512"/>
    </w:pPr>
    <w:rPr>
      <w:color w:val="0000FF"/>
      <w:spacing w:val="8"/>
    </w:rPr>
  </w:style>
  <w:style w:type="paragraph" w:customStyle="1" w:styleId="829">
    <w:name w:val="正文6"/>
    <w:semiHidden/>
    <w:qFormat/>
    <w:uiPriority w:val="0"/>
    <w:pPr>
      <w:widowControl w:val="0"/>
      <w:adjustRightInd w:val="0"/>
      <w:spacing w:line="360" w:lineRule="atLeast"/>
      <w:ind w:firstLine="200" w:firstLineChars="200"/>
      <w:jc w:val="both"/>
      <w:textAlignment w:val="baseline"/>
    </w:pPr>
    <w:rPr>
      <w:rFonts w:ascii="宋体" w:hAnsi="Times New Roman" w:eastAsia="宋体" w:cs="Times New Roman"/>
      <w:kern w:val="2"/>
      <w:sz w:val="34"/>
      <w:szCs w:val="24"/>
      <w:lang w:val="en-US" w:eastAsia="zh-CN" w:bidi="ar-SA"/>
    </w:rPr>
  </w:style>
  <w:style w:type="paragraph" w:customStyle="1" w:styleId="830">
    <w:name w:val="Char2 Char Char Char Char Char Char"/>
    <w:basedOn w:val="1"/>
    <w:semiHidden/>
    <w:qFormat/>
    <w:uiPriority w:val="0"/>
    <w:pPr>
      <w:tabs>
        <w:tab w:val="clear" w:pos="480"/>
      </w:tabs>
      <w:spacing w:line="240" w:lineRule="auto"/>
    </w:pPr>
    <w:rPr>
      <w:sz w:val="21"/>
    </w:rPr>
  </w:style>
  <w:style w:type="character" w:customStyle="1" w:styleId="831">
    <w:name w:val="表标题 Char"/>
    <w:semiHidden/>
    <w:qFormat/>
    <w:uiPriority w:val="0"/>
    <w:rPr>
      <w:rFonts w:ascii="Times New Roman" w:hAnsi="Times New Roman" w:eastAsia="宋体" w:cs="Times New Roman"/>
      <w:b/>
      <w:snapToGrid w:val="0"/>
      <w:kern w:val="0"/>
      <w:sz w:val="24"/>
      <w:szCs w:val="20"/>
    </w:rPr>
  </w:style>
  <w:style w:type="paragraph" w:customStyle="1" w:styleId="832">
    <w:name w:val="南洋码头正文"/>
    <w:basedOn w:val="1"/>
    <w:qFormat/>
    <w:uiPriority w:val="0"/>
    <w:pPr>
      <w:tabs>
        <w:tab w:val="clear" w:pos="480"/>
      </w:tabs>
      <w:spacing w:line="324" w:lineRule="auto"/>
      <w:ind w:right="-50" w:rightChars="-50" w:firstLine="225" w:firstLineChars="225"/>
    </w:pPr>
    <w:rPr>
      <w:rFonts w:ascii="Times" w:hAnsi="Times"/>
      <w:color w:val="000000"/>
      <w:kern w:val="0"/>
      <w:szCs w:val="20"/>
    </w:rPr>
  </w:style>
  <w:style w:type="paragraph" w:customStyle="1" w:styleId="833">
    <w:name w:val="内容"/>
    <w:basedOn w:val="1"/>
    <w:link w:val="1326"/>
    <w:semiHidden/>
    <w:qFormat/>
    <w:uiPriority w:val="0"/>
    <w:pPr>
      <w:tabs>
        <w:tab w:val="clear" w:pos="480"/>
      </w:tabs>
      <w:adjustRightInd w:val="0"/>
      <w:snapToGrid w:val="0"/>
      <w:ind w:right="-2" w:firstLine="480"/>
    </w:pPr>
    <w:rPr>
      <w:rFonts w:ascii="Arial" w:hAnsi="Arial"/>
      <w:bCs/>
      <w:color w:val="000000"/>
      <w:kern w:val="0"/>
      <w:lang w:val="zh-CN"/>
    </w:rPr>
  </w:style>
  <w:style w:type="paragraph" w:customStyle="1" w:styleId="834">
    <w:name w:val="缩进正文"/>
    <w:basedOn w:val="34"/>
    <w:qFormat/>
    <w:uiPriority w:val="0"/>
    <w:pPr>
      <w:tabs>
        <w:tab w:val="clear" w:pos="480"/>
      </w:tabs>
      <w:adjustRightInd w:val="0"/>
      <w:snapToGrid w:val="0"/>
      <w:spacing w:line="300" w:lineRule="auto"/>
      <w:ind w:firstLine="200" w:firstLineChars="0"/>
    </w:pPr>
    <w:rPr>
      <w:rFonts w:ascii="宋体"/>
      <w:kern w:val="0"/>
      <w:sz w:val="28"/>
      <w:szCs w:val="20"/>
    </w:rPr>
  </w:style>
  <w:style w:type="paragraph" w:customStyle="1" w:styleId="835">
    <w:name w:val="正文文字（首行缩进2字）"/>
    <w:basedOn w:val="1"/>
    <w:semiHidden/>
    <w:qFormat/>
    <w:uiPriority w:val="0"/>
    <w:pPr>
      <w:tabs>
        <w:tab w:val="clear" w:pos="480"/>
      </w:tabs>
      <w:ind w:left="140" w:leftChars="50" w:right="140" w:rightChars="50" w:firstLine="560"/>
    </w:pPr>
    <w:rPr>
      <w:rFonts w:ascii="Arial" w:hAnsi="Arial" w:eastAsia="仿宋_GB2312"/>
      <w:position w:val="-30"/>
      <w:sz w:val="28"/>
    </w:rPr>
  </w:style>
  <w:style w:type="paragraph" w:customStyle="1" w:styleId="836">
    <w:name w:val="表格内部"/>
    <w:basedOn w:val="1"/>
    <w:semiHidden/>
    <w:qFormat/>
    <w:uiPriority w:val="0"/>
    <w:pPr>
      <w:tabs>
        <w:tab w:val="clear" w:pos="480"/>
      </w:tabs>
      <w:adjustRightInd w:val="0"/>
      <w:snapToGrid w:val="0"/>
      <w:spacing w:line="300" w:lineRule="auto"/>
      <w:jc w:val="center"/>
    </w:pPr>
    <w:rPr>
      <w:rFonts w:ascii="Arial" w:hAnsi="Arial" w:eastAsia="仿宋_GB2312"/>
      <w:sz w:val="21"/>
    </w:rPr>
  </w:style>
  <w:style w:type="paragraph" w:customStyle="1" w:styleId="837">
    <w:name w:val="shsj"/>
    <w:basedOn w:val="1"/>
    <w:semiHidden/>
    <w:qFormat/>
    <w:uiPriority w:val="0"/>
    <w:pPr>
      <w:tabs>
        <w:tab w:val="clear" w:pos="480"/>
      </w:tabs>
      <w:spacing w:line="480" w:lineRule="exact"/>
      <w:ind w:firstLine="567"/>
    </w:pPr>
    <w:rPr>
      <w:sz w:val="28"/>
      <w:szCs w:val="20"/>
    </w:rPr>
  </w:style>
  <w:style w:type="paragraph" w:customStyle="1" w:styleId="838">
    <w:name w:val="xxq"/>
    <w:basedOn w:val="20"/>
    <w:semiHidden/>
    <w:qFormat/>
    <w:uiPriority w:val="0"/>
    <w:pPr>
      <w:tabs>
        <w:tab w:val="clear" w:pos="480"/>
      </w:tabs>
      <w:adjustRightInd w:val="0"/>
      <w:snapToGrid w:val="0"/>
      <w:spacing w:beforeLines="50"/>
      <w:ind w:firstLine="424"/>
    </w:pPr>
    <w:rPr>
      <w:rFonts w:hAnsi="宋体"/>
      <w:snapToGrid w:val="0"/>
      <w:kern w:val="0"/>
    </w:rPr>
  </w:style>
  <w:style w:type="paragraph" w:customStyle="1" w:styleId="839">
    <w:name w:val="È±Ê¡ÎÄ±¾"/>
    <w:basedOn w:val="1"/>
    <w:semiHidden/>
    <w:qFormat/>
    <w:uiPriority w:val="0"/>
    <w:pPr>
      <w:widowControl/>
      <w:tabs>
        <w:tab w:val="clear" w:pos="480"/>
      </w:tabs>
      <w:overflowPunct w:val="0"/>
      <w:autoSpaceDE w:val="0"/>
      <w:autoSpaceDN w:val="0"/>
      <w:adjustRightInd w:val="0"/>
      <w:jc w:val="left"/>
      <w:textAlignment w:val="baseline"/>
    </w:pPr>
    <w:rPr>
      <w:rFonts w:ascii="宋体" w:hAnsi="宋体" w:cs="宋体"/>
      <w:kern w:val="0"/>
    </w:rPr>
  </w:style>
  <w:style w:type="paragraph" w:customStyle="1" w:styleId="840">
    <w:name w:val="Char Char Char1 Char Char Char Char Char Char Char Char Char Char Char Char Char"/>
    <w:basedOn w:val="5"/>
    <w:semiHidden/>
    <w:qFormat/>
    <w:uiPriority w:val="0"/>
    <w:pPr>
      <w:widowControl/>
      <w:numPr>
        <w:ilvl w:val="0"/>
        <w:numId w:val="0"/>
      </w:numPr>
      <w:tabs>
        <w:tab w:val="clear" w:pos="480"/>
      </w:tabs>
      <w:spacing w:before="120" w:after="120"/>
      <w:jc w:val="left"/>
    </w:pPr>
    <w:rPr>
      <w:rFonts w:ascii="Times New Roman" w:hAnsi="Times New Roman"/>
      <w:b w:val="0"/>
      <w:bCs w:val="0"/>
      <w:kern w:val="0"/>
    </w:rPr>
  </w:style>
  <w:style w:type="paragraph" w:customStyle="1" w:styleId="841">
    <w:name w:val="样式 标题 2 + 宋体 居中"/>
    <w:basedOn w:val="1"/>
    <w:qFormat/>
    <w:uiPriority w:val="0"/>
    <w:pPr>
      <w:numPr>
        <w:ilvl w:val="1"/>
        <w:numId w:val="17"/>
      </w:numPr>
      <w:tabs>
        <w:tab w:val="clear" w:pos="480"/>
      </w:tabs>
      <w:spacing w:line="240" w:lineRule="auto"/>
    </w:pPr>
    <w:rPr>
      <w:sz w:val="21"/>
      <w:szCs w:val="21"/>
    </w:rPr>
  </w:style>
  <w:style w:type="paragraph" w:customStyle="1" w:styleId="842">
    <w:name w:val="样式 标题 3 + 段后: 0 磅 行距: 1.5 倍行距1"/>
    <w:basedOn w:val="1"/>
    <w:qFormat/>
    <w:uiPriority w:val="0"/>
    <w:pPr>
      <w:tabs>
        <w:tab w:val="left" w:pos="709"/>
        <w:tab w:val="clear" w:pos="480"/>
      </w:tabs>
      <w:spacing w:line="240" w:lineRule="auto"/>
      <w:ind w:left="709" w:hanging="709"/>
    </w:pPr>
    <w:rPr>
      <w:szCs w:val="21"/>
    </w:rPr>
  </w:style>
  <w:style w:type="paragraph" w:customStyle="1" w:styleId="843">
    <w:name w:val="标题 1 宋体 三号 Char Char"/>
    <w:basedOn w:val="2"/>
    <w:semiHidden/>
    <w:qFormat/>
    <w:uiPriority w:val="0"/>
    <w:pPr>
      <w:numPr>
        <w:numId w:val="17"/>
      </w:numPr>
      <w:tabs>
        <w:tab w:val="left" w:pos="425"/>
        <w:tab w:val="clear" w:pos="480"/>
      </w:tabs>
      <w:spacing w:beforeLines="50" w:afterLines="50"/>
      <w:jc w:val="center"/>
    </w:pPr>
    <w:rPr>
      <w:rFonts w:ascii="宋体" w:hAnsi="宋体" w:eastAsia="宋体"/>
      <w:sz w:val="32"/>
    </w:rPr>
  </w:style>
  <w:style w:type="paragraph" w:customStyle="1" w:styleId="844">
    <w:name w:val="样式 标题 4 + (符号) 宋体 小四 非加粗 两端对齐 Char Char Char"/>
    <w:basedOn w:val="1"/>
    <w:qFormat/>
    <w:uiPriority w:val="0"/>
    <w:pPr>
      <w:tabs>
        <w:tab w:val="left" w:pos="425"/>
        <w:tab w:val="clear" w:pos="480"/>
      </w:tabs>
      <w:spacing w:line="240" w:lineRule="auto"/>
      <w:ind w:left="360" w:hanging="360"/>
    </w:pPr>
    <w:rPr>
      <w:sz w:val="21"/>
      <w:szCs w:val="21"/>
    </w:rPr>
  </w:style>
  <w:style w:type="paragraph" w:customStyle="1" w:styleId="845">
    <w:name w:val="样式 标题 4 + (符号) 宋体 小四 非加粗 两端对齐"/>
    <w:basedOn w:val="1"/>
    <w:qFormat/>
    <w:uiPriority w:val="0"/>
    <w:pPr>
      <w:tabs>
        <w:tab w:val="left" w:pos="425"/>
        <w:tab w:val="clear" w:pos="480"/>
      </w:tabs>
      <w:spacing w:line="240" w:lineRule="auto"/>
      <w:ind w:left="360" w:hanging="360"/>
    </w:pPr>
    <w:rPr>
      <w:sz w:val="21"/>
      <w:szCs w:val="21"/>
    </w:rPr>
  </w:style>
  <w:style w:type="paragraph" w:customStyle="1" w:styleId="846">
    <w:name w:val="标题 1 宋体 三号"/>
    <w:basedOn w:val="2"/>
    <w:semiHidden/>
    <w:qFormat/>
    <w:uiPriority w:val="0"/>
    <w:pPr>
      <w:numPr>
        <w:numId w:val="0"/>
      </w:numPr>
      <w:tabs>
        <w:tab w:val="left" w:pos="425"/>
        <w:tab w:val="clear" w:pos="480"/>
      </w:tabs>
      <w:spacing w:beforeLines="50" w:afterLines="50"/>
      <w:ind w:left="425" w:hanging="425"/>
      <w:jc w:val="center"/>
    </w:pPr>
    <w:rPr>
      <w:rFonts w:ascii="宋体" w:hAnsi="宋体" w:eastAsia="宋体"/>
      <w:sz w:val="32"/>
    </w:rPr>
  </w:style>
  <w:style w:type="paragraph" w:customStyle="1" w:styleId="847">
    <w:name w:val="样式 标题 4 + (符号) 宋体 小四 非加粗 两端对齐 Char"/>
    <w:basedOn w:val="1"/>
    <w:qFormat/>
    <w:uiPriority w:val="0"/>
    <w:pPr>
      <w:tabs>
        <w:tab w:val="left" w:pos="425"/>
        <w:tab w:val="clear" w:pos="480"/>
      </w:tabs>
      <w:spacing w:line="240" w:lineRule="auto"/>
      <w:ind w:left="360" w:hanging="360"/>
    </w:pPr>
    <w:rPr>
      <w:sz w:val="21"/>
      <w:szCs w:val="21"/>
    </w:rPr>
  </w:style>
  <w:style w:type="paragraph" w:customStyle="1" w:styleId="848">
    <w:name w:val="标题 1 宋体 三号 Char"/>
    <w:basedOn w:val="2"/>
    <w:semiHidden/>
    <w:qFormat/>
    <w:uiPriority w:val="0"/>
    <w:pPr>
      <w:numPr>
        <w:numId w:val="0"/>
      </w:numPr>
      <w:tabs>
        <w:tab w:val="left" w:pos="425"/>
        <w:tab w:val="clear" w:pos="480"/>
      </w:tabs>
      <w:spacing w:beforeLines="50" w:afterLines="50"/>
      <w:ind w:left="425" w:hanging="425"/>
      <w:jc w:val="center"/>
    </w:pPr>
    <w:rPr>
      <w:rFonts w:ascii="宋体" w:hAnsi="宋体" w:eastAsia="宋体"/>
      <w:sz w:val="32"/>
    </w:rPr>
  </w:style>
  <w:style w:type="paragraph" w:customStyle="1" w:styleId="849">
    <w:name w:val="Achievement"/>
    <w:basedOn w:val="33"/>
    <w:semiHidden/>
    <w:qFormat/>
    <w:uiPriority w:val="0"/>
    <w:pPr>
      <w:widowControl/>
      <w:spacing w:after="60" w:line="220" w:lineRule="atLeast"/>
      <w:ind w:left="245" w:right="-360" w:hanging="245"/>
      <w:jc w:val="left"/>
    </w:pPr>
    <w:rPr>
      <w:rFonts w:ascii="Times New Roman" w:hAnsi="Times New Roman"/>
      <w:kern w:val="0"/>
      <w:sz w:val="20"/>
    </w:rPr>
  </w:style>
  <w:style w:type="paragraph" w:customStyle="1" w:styleId="850">
    <w:name w:val="正文－ST4"/>
    <w:basedOn w:val="1"/>
    <w:qFormat/>
    <w:uiPriority w:val="0"/>
    <w:pPr>
      <w:tabs>
        <w:tab w:val="clear" w:pos="480"/>
      </w:tabs>
      <w:adjustRightInd w:val="0"/>
      <w:snapToGrid w:val="0"/>
      <w:ind w:left="240" w:leftChars="100" w:right="-57" w:firstLine="480"/>
    </w:pPr>
    <w:rPr>
      <w:kern w:val="0"/>
    </w:rPr>
  </w:style>
  <w:style w:type="paragraph" w:customStyle="1" w:styleId="851">
    <w:name w:val="一级列表"/>
    <w:basedOn w:val="1"/>
    <w:qFormat/>
    <w:uiPriority w:val="0"/>
    <w:pPr>
      <w:tabs>
        <w:tab w:val="left" w:pos="420"/>
        <w:tab w:val="clear" w:pos="480"/>
      </w:tabs>
      <w:ind w:left="420" w:hanging="420"/>
    </w:pPr>
    <w:rPr>
      <w:szCs w:val="20"/>
    </w:rPr>
  </w:style>
  <w:style w:type="paragraph" w:customStyle="1" w:styleId="852">
    <w:name w:val="Char Char2 Char Char Char Char Char Char Char Char Char Char Char Char Char Char Char Char Char Char Char Char Char Char Char"/>
    <w:basedOn w:val="1"/>
    <w:semiHidden/>
    <w:qFormat/>
    <w:uiPriority w:val="0"/>
    <w:pPr>
      <w:tabs>
        <w:tab w:val="clear" w:pos="480"/>
      </w:tabs>
      <w:spacing w:line="240" w:lineRule="auto"/>
    </w:pPr>
    <w:rPr>
      <w:sz w:val="21"/>
      <w:szCs w:val="21"/>
    </w:rPr>
  </w:style>
  <w:style w:type="paragraph" w:customStyle="1" w:styleId="853">
    <w:name w:val="缺省文本"/>
    <w:basedOn w:val="1"/>
    <w:qFormat/>
    <w:uiPriority w:val="0"/>
    <w:pPr>
      <w:tabs>
        <w:tab w:val="clear" w:pos="480"/>
      </w:tabs>
      <w:autoSpaceDE w:val="0"/>
      <w:autoSpaceDN w:val="0"/>
      <w:adjustRightInd w:val="0"/>
      <w:spacing w:line="240" w:lineRule="auto"/>
      <w:jc w:val="left"/>
    </w:pPr>
    <w:rPr>
      <w:kern w:val="0"/>
    </w:rPr>
  </w:style>
  <w:style w:type="paragraph" w:customStyle="1" w:styleId="854">
    <w:name w:val="样式12"/>
    <w:basedOn w:val="2"/>
    <w:qFormat/>
    <w:uiPriority w:val="0"/>
    <w:pPr>
      <w:keepLines w:val="0"/>
      <w:numPr>
        <w:numId w:val="0"/>
      </w:numPr>
      <w:tabs>
        <w:tab w:val="left" w:pos="495"/>
        <w:tab w:val="clear" w:pos="480"/>
      </w:tabs>
      <w:spacing w:beforeLines="50" w:afterLines="50" w:line="240" w:lineRule="auto"/>
      <w:ind w:left="495" w:hanging="375"/>
    </w:pPr>
    <w:rPr>
      <w:rFonts w:ascii="黑体" w:eastAsia="黑体"/>
      <w:bCs w:val="0"/>
      <w:kern w:val="2"/>
      <w:sz w:val="28"/>
      <w:szCs w:val="28"/>
    </w:rPr>
  </w:style>
  <w:style w:type="paragraph" w:customStyle="1" w:styleId="855">
    <w:name w:val="样式 样式 样式12 + 行距: 多倍行距 1.25 字行 + 行距: 1.5 倍行距"/>
    <w:basedOn w:val="1"/>
    <w:qFormat/>
    <w:uiPriority w:val="0"/>
    <w:pPr>
      <w:widowControl/>
      <w:tabs>
        <w:tab w:val="left" w:pos="864"/>
        <w:tab w:val="clear" w:pos="480"/>
      </w:tabs>
      <w:snapToGrid w:val="0"/>
      <w:spacing w:line="480" w:lineRule="auto"/>
      <w:ind w:firstLine="504"/>
      <w:outlineLvl w:val="0"/>
    </w:pPr>
    <w:rPr>
      <w:rFonts w:ascii="黑体" w:eastAsia="黑体"/>
      <w:b/>
      <w:bCs/>
      <w:sz w:val="28"/>
      <w:szCs w:val="28"/>
    </w:rPr>
  </w:style>
  <w:style w:type="character" w:customStyle="1" w:styleId="856">
    <w:name w:val="样式 正文文字缩进 2 + 四号 Char"/>
    <w:qFormat/>
    <w:uiPriority w:val="0"/>
    <w:rPr>
      <w:rFonts w:eastAsia="宋体"/>
      <w:kern w:val="2"/>
      <w:sz w:val="28"/>
      <w:lang w:val="en-US" w:eastAsia="zh-CN" w:bidi="ar-SA"/>
    </w:rPr>
  </w:style>
  <w:style w:type="paragraph" w:customStyle="1" w:styleId="857">
    <w:name w:val="样式6"/>
    <w:basedOn w:val="6"/>
    <w:qFormat/>
    <w:uiPriority w:val="0"/>
    <w:pPr>
      <w:numPr>
        <w:ilvl w:val="0"/>
        <w:numId w:val="0"/>
      </w:numPr>
      <w:tabs>
        <w:tab w:val="clear" w:pos="480"/>
      </w:tabs>
      <w:spacing w:before="280" w:after="290" w:line="300" w:lineRule="auto"/>
    </w:pPr>
    <w:rPr>
      <w:rFonts w:ascii="Times New Roman" w:hAnsi="Times New Roman" w:eastAsia="宋体"/>
      <w:bCs/>
      <w:sz w:val="28"/>
      <w:szCs w:val="28"/>
    </w:rPr>
  </w:style>
  <w:style w:type="character" w:customStyle="1" w:styleId="858">
    <w:name w:val="headline-content"/>
    <w:basedOn w:val="133"/>
    <w:qFormat/>
    <w:uiPriority w:val="0"/>
  </w:style>
  <w:style w:type="paragraph" w:customStyle="1" w:styleId="859">
    <w:name w:val="样式 样式12 + 行距: 多倍行距 1.25 字行"/>
    <w:basedOn w:val="1"/>
    <w:qFormat/>
    <w:uiPriority w:val="0"/>
    <w:pPr>
      <w:keepNext/>
      <w:tabs>
        <w:tab w:val="left" w:pos="425"/>
        <w:tab w:val="clear" w:pos="480"/>
      </w:tabs>
      <w:snapToGrid w:val="0"/>
      <w:spacing w:line="336" w:lineRule="auto"/>
      <w:ind w:left="425" w:hanging="425"/>
      <w:outlineLvl w:val="0"/>
    </w:pPr>
    <w:rPr>
      <w:rFonts w:hint="eastAsia" w:ascii="黑体" w:eastAsia="黑体"/>
      <w:b/>
      <w:bCs/>
      <w:sz w:val="28"/>
      <w:szCs w:val="20"/>
    </w:rPr>
  </w:style>
  <w:style w:type="paragraph" w:customStyle="1" w:styleId="860">
    <w:name w:val="样式 正文文字缩进 2 + 四号"/>
    <w:basedOn w:val="51"/>
    <w:qFormat/>
    <w:uiPriority w:val="0"/>
    <w:pPr>
      <w:spacing w:line="300" w:lineRule="auto"/>
      <w:ind w:left="0" w:firstLine="539" w:firstLineChars="0"/>
    </w:pPr>
    <w:rPr>
      <w:spacing w:val="0"/>
      <w:kern w:val="2"/>
      <w:sz w:val="28"/>
      <w:szCs w:val="20"/>
    </w:rPr>
  </w:style>
  <w:style w:type="paragraph" w:customStyle="1" w:styleId="861">
    <w:name w:val="样式 样式 样式 样式12 + 行距: 多倍行距 1.25 字行 + 行距: 1.5 倍行距 + Times New Roman"/>
    <w:basedOn w:val="855"/>
    <w:qFormat/>
    <w:uiPriority w:val="0"/>
    <w:pPr>
      <w:tabs>
        <w:tab w:val="left" w:pos="425"/>
        <w:tab w:val="clear" w:pos="864"/>
      </w:tabs>
      <w:ind w:left="425" w:hanging="425"/>
    </w:pPr>
    <w:rPr>
      <w:rFonts w:ascii="Times New Roman"/>
    </w:rPr>
  </w:style>
  <w:style w:type="paragraph" w:customStyle="1" w:styleId="862">
    <w:name w:val="样式 样式 样式 样式12 + 行距: 多倍行距 1.25 字行 + 行距: 1.5 倍行距 + 左侧:  0 厘米 首行缩进..."/>
    <w:basedOn w:val="855"/>
    <w:qFormat/>
    <w:uiPriority w:val="0"/>
    <w:pPr>
      <w:tabs>
        <w:tab w:val="left" w:pos="425"/>
        <w:tab w:val="clear" w:pos="864"/>
      </w:tabs>
      <w:spacing w:line="360" w:lineRule="auto"/>
      <w:ind w:firstLine="0"/>
    </w:pPr>
    <w:rPr>
      <w:rFonts w:hint="eastAsia"/>
      <w:szCs w:val="20"/>
    </w:rPr>
  </w:style>
  <w:style w:type="character" w:customStyle="1" w:styleId="863">
    <w:name w:val="样式 三号 加粗"/>
    <w:qFormat/>
    <w:uiPriority w:val="0"/>
    <w:rPr>
      <w:b/>
      <w:bCs/>
      <w:sz w:val="32"/>
    </w:rPr>
  </w:style>
  <w:style w:type="character" w:customStyle="1" w:styleId="864">
    <w:name w:val="正文文字缩进 2 Char"/>
    <w:qFormat/>
    <w:uiPriority w:val="0"/>
    <w:rPr>
      <w:rFonts w:eastAsia="宋体"/>
      <w:kern w:val="2"/>
      <w:sz w:val="21"/>
      <w:lang w:val="en-US" w:eastAsia="zh-CN" w:bidi="ar-SA"/>
    </w:rPr>
  </w:style>
  <w:style w:type="character" w:customStyle="1" w:styleId="865">
    <w:name w:val="样式12 Char"/>
    <w:qFormat/>
    <w:uiPriority w:val="0"/>
    <w:rPr>
      <w:rFonts w:ascii="黑体" w:eastAsia="黑体"/>
      <w:b/>
      <w:bCs/>
      <w:kern w:val="2"/>
      <w:sz w:val="28"/>
      <w:szCs w:val="28"/>
      <w:lang w:val="en-US" w:eastAsia="zh-CN" w:bidi="ar-SA"/>
    </w:rPr>
  </w:style>
  <w:style w:type="character" w:customStyle="1" w:styleId="866">
    <w:name w:val="样式 样式12 + 行距: 多倍行距 1.25 字行 Char"/>
    <w:qFormat/>
    <w:uiPriority w:val="0"/>
    <w:rPr>
      <w:rFonts w:ascii="黑体" w:eastAsia="黑体" w:cs="宋体"/>
      <w:b/>
      <w:bCs/>
      <w:kern w:val="2"/>
      <w:sz w:val="28"/>
      <w:szCs w:val="28"/>
      <w:lang w:val="en-US" w:eastAsia="zh-CN" w:bidi="ar-SA"/>
    </w:rPr>
  </w:style>
  <w:style w:type="character" w:customStyle="1" w:styleId="867">
    <w:name w:val="样式 样式 样式12 + 行距: 多倍行距 1.25 字行 + 行距: 1.5 倍行距 Char"/>
    <w:qFormat/>
    <w:uiPriority w:val="0"/>
    <w:rPr>
      <w:rFonts w:ascii="黑体" w:eastAsia="黑体" w:cs="宋体"/>
      <w:kern w:val="2"/>
      <w:sz w:val="28"/>
      <w:szCs w:val="28"/>
      <w:lang w:val="en-US" w:eastAsia="zh-CN" w:bidi="ar-SA"/>
    </w:rPr>
  </w:style>
  <w:style w:type="character" w:customStyle="1" w:styleId="868">
    <w:name w:val="样式 样式 样式 样式12 + 行距: 多倍行距 1.25 字行 + 行距: 1.5 倍行距 + Times New Roman Char"/>
    <w:qFormat/>
    <w:uiPriority w:val="0"/>
    <w:rPr>
      <w:rFonts w:ascii="黑体" w:eastAsia="黑体" w:cs="宋体"/>
      <w:b/>
      <w:bCs/>
      <w:kern w:val="2"/>
      <w:sz w:val="28"/>
      <w:szCs w:val="28"/>
      <w:lang w:val="en-US" w:eastAsia="zh-CN" w:bidi="ar-SA"/>
    </w:rPr>
  </w:style>
  <w:style w:type="paragraph" w:customStyle="1" w:styleId="869">
    <w:name w:val="样式 标题 2 + 行距: 多倍行距 1.4 字行"/>
    <w:basedOn w:val="3"/>
    <w:qFormat/>
    <w:uiPriority w:val="0"/>
    <w:pPr>
      <w:keepNext w:val="0"/>
      <w:numPr>
        <w:ilvl w:val="0"/>
        <w:numId w:val="0"/>
      </w:numPr>
      <w:tabs>
        <w:tab w:val="clear" w:pos="480"/>
        <w:tab w:val="clear" w:pos="630"/>
      </w:tabs>
      <w:adjustRightInd w:val="0"/>
      <w:snapToGrid w:val="0"/>
      <w:spacing w:before="0" w:beforeAutospacing="1" w:after="100" w:afterAutospacing="1"/>
      <w:ind w:left="100" w:leftChars="85" w:right="100" w:rightChars="104" w:firstLine="113"/>
      <w:jc w:val="center"/>
      <w:textAlignment w:val="baseline"/>
    </w:pPr>
    <w:rPr>
      <w:rFonts w:ascii="宋体" w:hAnsi="宋体"/>
      <w:b w:val="0"/>
      <w:bCs w:val="0"/>
      <w:kern w:val="0"/>
      <w:sz w:val="28"/>
      <w:szCs w:val="20"/>
    </w:rPr>
  </w:style>
  <w:style w:type="paragraph" w:customStyle="1" w:styleId="870">
    <w:name w:val="Table"/>
    <w:basedOn w:val="1"/>
    <w:next w:val="1"/>
    <w:semiHidden/>
    <w:qFormat/>
    <w:uiPriority w:val="0"/>
    <w:pPr>
      <w:widowControl/>
      <w:tabs>
        <w:tab w:val="clear" w:pos="480"/>
      </w:tabs>
      <w:spacing w:line="240" w:lineRule="auto"/>
      <w:jc w:val="center"/>
    </w:pPr>
    <w:rPr>
      <w:kern w:val="0"/>
      <w:sz w:val="20"/>
      <w:szCs w:val="20"/>
      <w:lang w:val="en-GB"/>
    </w:rPr>
  </w:style>
  <w:style w:type="paragraph" w:customStyle="1" w:styleId="871">
    <w:name w:val="条款"/>
    <w:basedOn w:val="1"/>
    <w:next w:val="45"/>
    <w:qFormat/>
    <w:uiPriority w:val="0"/>
    <w:pPr>
      <w:tabs>
        <w:tab w:val="clear" w:pos="480"/>
      </w:tabs>
      <w:spacing w:line="240" w:lineRule="auto"/>
    </w:pPr>
    <w:rPr>
      <w:rFonts w:ascii="宋体" w:hAnsi="Courier New"/>
      <w:sz w:val="28"/>
      <w:szCs w:val="20"/>
    </w:rPr>
  </w:style>
  <w:style w:type="paragraph" w:customStyle="1" w:styleId="872">
    <w:name w:val="正缩进"/>
    <w:basedOn w:val="1"/>
    <w:qFormat/>
    <w:uiPriority w:val="0"/>
    <w:pPr>
      <w:tabs>
        <w:tab w:val="clear" w:pos="480"/>
      </w:tabs>
      <w:ind w:firstLine="454"/>
    </w:pPr>
    <w:rPr>
      <w:szCs w:val="20"/>
    </w:rPr>
  </w:style>
  <w:style w:type="character" w:customStyle="1" w:styleId="873">
    <w:name w:val="信息标题 Char"/>
    <w:link w:val="79"/>
    <w:qFormat/>
    <w:uiPriority w:val="0"/>
    <w:rPr>
      <w:rFonts w:ascii="Arial" w:hAnsi="Arial" w:eastAsia="宋体" w:cs="Arial"/>
      <w:kern w:val="2"/>
      <w:sz w:val="24"/>
      <w:szCs w:val="24"/>
      <w:lang w:val="en-US" w:eastAsia="zh-CN" w:bidi="ar-SA"/>
    </w:rPr>
  </w:style>
  <w:style w:type="paragraph" w:customStyle="1" w:styleId="874">
    <w:name w:val="referenze"/>
    <w:basedOn w:val="20"/>
    <w:semiHidden/>
    <w:qFormat/>
    <w:uiPriority w:val="0"/>
    <w:pPr>
      <w:widowControl/>
      <w:tabs>
        <w:tab w:val="clear" w:pos="480"/>
      </w:tabs>
      <w:spacing w:line="240" w:lineRule="atLeast"/>
      <w:ind w:left="1701" w:right="851" w:hanging="708" w:firstLineChars="0"/>
    </w:pPr>
    <w:rPr>
      <w:rFonts w:ascii="Arial" w:hAnsi="Arial"/>
      <w:kern w:val="0"/>
      <w:sz w:val="22"/>
      <w:szCs w:val="20"/>
      <w:lang w:val="en-GB" w:eastAsia="it-IT"/>
    </w:rPr>
  </w:style>
  <w:style w:type="paragraph" w:customStyle="1" w:styleId="875">
    <w:name w:val="puce"/>
    <w:basedOn w:val="1"/>
    <w:semiHidden/>
    <w:qFormat/>
    <w:uiPriority w:val="0"/>
    <w:pPr>
      <w:widowControl/>
      <w:tabs>
        <w:tab w:val="left" w:pos="840"/>
        <w:tab w:val="left" w:pos="8647"/>
        <w:tab w:val="clear" w:pos="480"/>
      </w:tabs>
      <w:adjustRightInd w:val="0"/>
      <w:snapToGrid w:val="0"/>
      <w:spacing w:after="120" w:line="320" w:lineRule="exact"/>
      <w:ind w:left="851" w:hanging="284"/>
    </w:pPr>
    <w:rPr>
      <w:rFonts w:ascii="宋体" w:hAnsi="宋体"/>
      <w:color w:val="000000"/>
      <w:kern w:val="0"/>
      <w:szCs w:val="20"/>
      <w:lang w:val="fr-FR"/>
    </w:rPr>
  </w:style>
  <w:style w:type="paragraph" w:customStyle="1" w:styleId="876">
    <w:name w:val="样式 首行缩进:  2 字符 段前: 0.5 行"/>
    <w:basedOn w:val="1"/>
    <w:qFormat/>
    <w:uiPriority w:val="0"/>
    <w:pPr>
      <w:keepNext/>
      <w:tabs>
        <w:tab w:val="clear" w:pos="480"/>
      </w:tabs>
      <w:snapToGrid w:val="0"/>
      <w:spacing w:line="300" w:lineRule="auto"/>
    </w:pPr>
    <w:rPr>
      <w:rFonts w:ascii="宋体"/>
      <w:sz w:val="28"/>
      <w:szCs w:val="20"/>
    </w:rPr>
  </w:style>
  <w:style w:type="paragraph" w:customStyle="1" w:styleId="877">
    <w:name w:val="样式 标题 7 + 段前: 0.5 行"/>
    <w:basedOn w:val="8"/>
    <w:qFormat/>
    <w:uiPriority w:val="0"/>
    <w:pPr>
      <w:keepLines w:val="0"/>
      <w:numPr>
        <w:ilvl w:val="0"/>
        <w:numId w:val="0"/>
      </w:numPr>
      <w:tabs>
        <w:tab w:val="left" w:pos="360"/>
        <w:tab w:val="left" w:pos="432"/>
        <w:tab w:val="clear" w:pos="480"/>
      </w:tabs>
      <w:autoSpaceDE/>
      <w:autoSpaceDN/>
      <w:adjustRightInd/>
      <w:snapToGrid w:val="0"/>
      <w:spacing w:before="0" w:after="0" w:line="300" w:lineRule="auto"/>
      <w:jc w:val="center"/>
      <w:textAlignment w:val="auto"/>
    </w:pPr>
    <w:rPr>
      <w:rFonts w:ascii="黑体" w:hAnsi="Times New Roman" w:eastAsia="黑体"/>
      <w:b w:val="0"/>
      <w:kern w:val="2"/>
    </w:rPr>
  </w:style>
  <w:style w:type="paragraph" w:customStyle="1" w:styleId="878">
    <w:name w:val="报告名"/>
    <w:basedOn w:val="1"/>
    <w:semiHidden/>
    <w:qFormat/>
    <w:uiPriority w:val="0"/>
    <w:pPr>
      <w:keepNext/>
      <w:tabs>
        <w:tab w:val="clear" w:pos="480"/>
      </w:tabs>
      <w:adjustRightInd w:val="0"/>
      <w:snapToGrid w:val="0"/>
      <w:spacing w:beforeLines="50" w:line="300" w:lineRule="auto"/>
      <w:ind w:firstLine="5" w:firstLineChars="2"/>
      <w:jc w:val="center"/>
    </w:pPr>
    <w:rPr>
      <w:rFonts w:ascii="文鼎大标宋简" w:eastAsia="文鼎大标宋简"/>
      <w:sz w:val="56"/>
      <w:szCs w:val="20"/>
    </w:rPr>
  </w:style>
  <w:style w:type="paragraph" w:customStyle="1" w:styleId="879">
    <w:name w:val="编制单位"/>
    <w:basedOn w:val="1"/>
    <w:semiHidden/>
    <w:qFormat/>
    <w:uiPriority w:val="0"/>
    <w:pPr>
      <w:keepNext/>
      <w:tabs>
        <w:tab w:val="clear" w:pos="480"/>
      </w:tabs>
      <w:snapToGrid w:val="0"/>
      <w:spacing w:beforeLines="50" w:line="300" w:lineRule="auto"/>
      <w:jc w:val="center"/>
    </w:pPr>
    <w:rPr>
      <w:rFonts w:ascii="黑体" w:eastAsia="黑体"/>
      <w:sz w:val="32"/>
      <w:szCs w:val="20"/>
    </w:rPr>
  </w:style>
  <w:style w:type="paragraph" w:customStyle="1" w:styleId="880">
    <w:name w:val="编制人员"/>
    <w:basedOn w:val="1"/>
    <w:semiHidden/>
    <w:qFormat/>
    <w:uiPriority w:val="0"/>
    <w:pPr>
      <w:keepNext/>
      <w:tabs>
        <w:tab w:val="clear" w:pos="480"/>
      </w:tabs>
      <w:snapToGrid w:val="0"/>
      <w:spacing w:line="300" w:lineRule="auto"/>
      <w:jc w:val="center"/>
    </w:pPr>
    <w:rPr>
      <w:rFonts w:ascii="黑体" w:eastAsia="黑体"/>
      <w:sz w:val="32"/>
      <w:szCs w:val="20"/>
    </w:rPr>
  </w:style>
  <w:style w:type="paragraph" w:customStyle="1" w:styleId="881">
    <w:name w:val="编制日期"/>
    <w:basedOn w:val="1"/>
    <w:qFormat/>
    <w:uiPriority w:val="0"/>
    <w:pPr>
      <w:keepNext/>
      <w:tabs>
        <w:tab w:val="clear" w:pos="480"/>
      </w:tabs>
      <w:snapToGrid w:val="0"/>
      <w:spacing w:line="300" w:lineRule="auto"/>
      <w:jc w:val="center"/>
    </w:pPr>
    <w:rPr>
      <w:rFonts w:ascii="宋体"/>
      <w:sz w:val="32"/>
      <w:szCs w:val="20"/>
    </w:rPr>
  </w:style>
  <w:style w:type="paragraph" w:customStyle="1" w:styleId="882">
    <w:name w:val="专业签署"/>
    <w:basedOn w:val="1"/>
    <w:qFormat/>
    <w:uiPriority w:val="0"/>
    <w:pPr>
      <w:keepNext/>
      <w:tabs>
        <w:tab w:val="clear" w:pos="480"/>
      </w:tabs>
      <w:snapToGrid w:val="0"/>
      <w:spacing w:beforeLines="50" w:after="120" w:line="300" w:lineRule="auto"/>
      <w:jc w:val="center"/>
    </w:pPr>
    <w:rPr>
      <w:rFonts w:ascii="宋体"/>
      <w:sz w:val="32"/>
      <w:szCs w:val="20"/>
    </w:rPr>
  </w:style>
  <w:style w:type="paragraph" w:customStyle="1" w:styleId="883">
    <w:name w:val="表右"/>
    <w:basedOn w:val="1"/>
    <w:qFormat/>
    <w:uiPriority w:val="0"/>
    <w:pPr>
      <w:keepNext/>
      <w:tabs>
        <w:tab w:val="clear" w:pos="480"/>
      </w:tabs>
      <w:spacing w:line="240" w:lineRule="atLeast"/>
      <w:ind w:right="84" w:rightChars="30"/>
      <w:jc w:val="right"/>
    </w:pPr>
    <w:rPr>
      <w:rFonts w:ascii="宋体" w:hAnsi="宋体"/>
      <w:szCs w:val="20"/>
    </w:rPr>
  </w:style>
  <w:style w:type="paragraph" w:customStyle="1" w:styleId="884">
    <w:name w:val="表中"/>
    <w:basedOn w:val="1"/>
    <w:qFormat/>
    <w:uiPriority w:val="0"/>
    <w:pPr>
      <w:keepNext/>
      <w:tabs>
        <w:tab w:val="clear" w:pos="480"/>
      </w:tabs>
      <w:snapToGrid w:val="0"/>
      <w:spacing w:line="200" w:lineRule="atLeast"/>
      <w:jc w:val="center"/>
    </w:pPr>
    <w:rPr>
      <w:rFonts w:ascii="宋体" w:hAnsi="宋体"/>
      <w:szCs w:val="22"/>
    </w:rPr>
  </w:style>
  <w:style w:type="paragraph" w:customStyle="1" w:styleId="885">
    <w:name w:val="建设（委托）单位"/>
    <w:basedOn w:val="1"/>
    <w:qFormat/>
    <w:uiPriority w:val="0"/>
    <w:pPr>
      <w:keepNext/>
      <w:tabs>
        <w:tab w:val="clear" w:pos="480"/>
      </w:tabs>
      <w:snapToGrid w:val="0"/>
      <w:spacing w:line="300" w:lineRule="auto"/>
      <w:jc w:val="center"/>
    </w:pPr>
    <w:rPr>
      <w:rFonts w:ascii="宋体"/>
      <w:sz w:val="32"/>
      <w:szCs w:val="20"/>
    </w:rPr>
  </w:style>
  <w:style w:type="paragraph" w:customStyle="1" w:styleId="886">
    <w:name w:val="密级"/>
    <w:basedOn w:val="1"/>
    <w:qFormat/>
    <w:uiPriority w:val="0"/>
    <w:pPr>
      <w:keepNext/>
      <w:tabs>
        <w:tab w:val="clear" w:pos="480"/>
      </w:tabs>
      <w:snapToGrid w:val="0"/>
      <w:spacing w:line="300" w:lineRule="auto"/>
      <w:jc w:val="left"/>
    </w:pPr>
    <w:rPr>
      <w:rFonts w:ascii="宋体"/>
      <w:sz w:val="28"/>
      <w:szCs w:val="20"/>
    </w:rPr>
  </w:style>
  <w:style w:type="paragraph" w:customStyle="1" w:styleId="887">
    <w:name w:val="目次"/>
    <w:basedOn w:val="1"/>
    <w:qFormat/>
    <w:uiPriority w:val="0"/>
    <w:pPr>
      <w:keepNext/>
      <w:tabs>
        <w:tab w:val="clear" w:pos="480"/>
      </w:tabs>
      <w:snapToGrid w:val="0"/>
      <w:spacing w:beforeLines="50" w:line="300" w:lineRule="auto"/>
      <w:ind w:firstLine="1304"/>
      <w:jc w:val="center"/>
    </w:pPr>
    <w:rPr>
      <w:rFonts w:ascii="宋体" w:eastAsia="黑体"/>
      <w:spacing w:val="480"/>
      <w:sz w:val="32"/>
      <w:szCs w:val="20"/>
    </w:rPr>
  </w:style>
  <w:style w:type="paragraph" w:customStyle="1" w:styleId="888">
    <w:name w:val="设计证书编号"/>
    <w:basedOn w:val="1"/>
    <w:qFormat/>
    <w:uiPriority w:val="0"/>
    <w:pPr>
      <w:keepNext/>
      <w:tabs>
        <w:tab w:val="clear" w:pos="480"/>
      </w:tabs>
      <w:snapToGrid w:val="0"/>
      <w:spacing w:line="300" w:lineRule="auto"/>
      <w:jc w:val="center"/>
    </w:pPr>
    <w:rPr>
      <w:rFonts w:ascii="宋体"/>
      <w:sz w:val="32"/>
      <w:szCs w:val="20"/>
    </w:rPr>
  </w:style>
  <w:style w:type="paragraph" w:customStyle="1" w:styleId="889">
    <w:name w:val="项目负责人"/>
    <w:basedOn w:val="1"/>
    <w:qFormat/>
    <w:uiPriority w:val="0"/>
    <w:pPr>
      <w:keepNext/>
      <w:tabs>
        <w:tab w:val="clear" w:pos="480"/>
      </w:tabs>
      <w:snapToGrid w:val="0"/>
      <w:spacing w:beforeLines="50" w:line="300" w:lineRule="auto"/>
      <w:jc w:val="left"/>
    </w:pPr>
    <w:rPr>
      <w:rFonts w:ascii="宋体"/>
      <w:spacing w:val="66"/>
      <w:kern w:val="0"/>
      <w:sz w:val="32"/>
      <w:szCs w:val="20"/>
    </w:rPr>
  </w:style>
  <w:style w:type="paragraph" w:customStyle="1" w:styleId="890">
    <w:name w:val="项目号"/>
    <w:basedOn w:val="1"/>
    <w:qFormat/>
    <w:uiPriority w:val="0"/>
    <w:pPr>
      <w:keepNext/>
      <w:tabs>
        <w:tab w:val="clear" w:pos="480"/>
      </w:tabs>
      <w:snapToGrid w:val="0"/>
      <w:spacing w:beforeLines="50" w:line="300" w:lineRule="auto"/>
      <w:jc w:val="center"/>
    </w:pPr>
    <w:rPr>
      <w:rFonts w:ascii="宋体"/>
      <w:sz w:val="32"/>
      <w:szCs w:val="20"/>
    </w:rPr>
  </w:style>
  <w:style w:type="paragraph" w:customStyle="1" w:styleId="891">
    <w:name w:val="专业名称"/>
    <w:basedOn w:val="1"/>
    <w:qFormat/>
    <w:uiPriority w:val="0"/>
    <w:pPr>
      <w:keepNext/>
      <w:tabs>
        <w:tab w:val="clear" w:pos="480"/>
      </w:tabs>
      <w:snapToGrid w:val="0"/>
      <w:spacing w:beforeLines="50" w:line="300" w:lineRule="auto"/>
      <w:jc w:val="center"/>
    </w:pPr>
    <w:rPr>
      <w:rFonts w:ascii="黑体" w:eastAsia="黑体"/>
      <w:sz w:val="32"/>
      <w:szCs w:val="20"/>
    </w:rPr>
  </w:style>
  <w:style w:type="paragraph" w:customStyle="1" w:styleId="892">
    <w:name w:val="备注"/>
    <w:basedOn w:val="1"/>
    <w:semiHidden/>
    <w:qFormat/>
    <w:uiPriority w:val="0"/>
    <w:pPr>
      <w:keepNext/>
      <w:tabs>
        <w:tab w:val="clear" w:pos="480"/>
      </w:tabs>
      <w:snapToGrid w:val="0"/>
      <w:spacing w:line="240" w:lineRule="atLeast"/>
      <w:ind w:firstLine="480"/>
    </w:pPr>
    <w:rPr>
      <w:rFonts w:ascii="宋体"/>
    </w:rPr>
  </w:style>
  <w:style w:type="paragraph" w:customStyle="1" w:styleId="893">
    <w:name w:val="小表左"/>
    <w:basedOn w:val="1"/>
    <w:qFormat/>
    <w:uiPriority w:val="0"/>
    <w:pPr>
      <w:keepNext/>
      <w:tabs>
        <w:tab w:val="clear" w:pos="480"/>
      </w:tabs>
      <w:adjustRightInd w:val="0"/>
      <w:snapToGrid w:val="0"/>
      <w:spacing w:line="240" w:lineRule="atLeast"/>
      <w:jc w:val="center"/>
    </w:pPr>
    <w:rPr>
      <w:rFonts w:ascii="宋体" w:hAnsi="宋体"/>
      <w:color w:val="000000"/>
      <w:kern w:val="0"/>
    </w:rPr>
  </w:style>
  <w:style w:type="paragraph" w:customStyle="1" w:styleId="894">
    <w:name w:val="小表中"/>
    <w:basedOn w:val="1"/>
    <w:qFormat/>
    <w:uiPriority w:val="0"/>
    <w:pPr>
      <w:tabs>
        <w:tab w:val="clear" w:pos="480"/>
      </w:tabs>
      <w:adjustRightInd w:val="0"/>
      <w:snapToGrid w:val="0"/>
      <w:spacing w:line="240" w:lineRule="auto"/>
      <w:jc w:val="center"/>
    </w:pPr>
    <w:rPr>
      <w:rFonts w:ascii="宋体" w:hAnsi="宋体"/>
      <w:sz w:val="21"/>
    </w:rPr>
  </w:style>
  <w:style w:type="paragraph" w:customStyle="1" w:styleId="895">
    <w:name w:val="小表右"/>
    <w:basedOn w:val="1"/>
    <w:qFormat/>
    <w:uiPriority w:val="0"/>
    <w:pPr>
      <w:keepNext/>
      <w:tabs>
        <w:tab w:val="clear" w:pos="480"/>
      </w:tabs>
      <w:snapToGrid w:val="0"/>
      <w:spacing w:line="240" w:lineRule="atLeast"/>
      <w:ind w:right="84" w:rightChars="30"/>
      <w:jc w:val="right"/>
    </w:pPr>
    <w:rPr>
      <w:rFonts w:ascii="宋体" w:hAnsi="宋体"/>
      <w:sz w:val="21"/>
      <w:szCs w:val="22"/>
    </w:rPr>
  </w:style>
  <w:style w:type="paragraph" w:customStyle="1" w:styleId="896">
    <w:name w:val="续表"/>
    <w:basedOn w:val="8"/>
    <w:qFormat/>
    <w:uiPriority w:val="0"/>
    <w:pPr>
      <w:keepLines w:val="0"/>
      <w:numPr>
        <w:ilvl w:val="0"/>
        <w:numId w:val="0"/>
      </w:numPr>
      <w:tabs>
        <w:tab w:val="left" w:pos="432"/>
        <w:tab w:val="clear" w:pos="480"/>
      </w:tabs>
      <w:autoSpaceDE/>
      <w:autoSpaceDN/>
      <w:adjustRightInd/>
      <w:snapToGrid w:val="0"/>
      <w:spacing w:before="0" w:after="0" w:line="300" w:lineRule="auto"/>
      <w:jc w:val="center"/>
      <w:textAlignment w:val="auto"/>
    </w:pPr>
    <w:rPr>
      <w:rFonts w:ascii="黑体" w:hAnsi="Times New Roman" w:eastAsia="黑体"/>
      <w:b w:val="0"/>
      <w:kern w:val="2"/>
    </w:rPr>
  </w:style>
  <w:style w:type="paragraph" w:customStyle="1" w:styleId="897">
    <w:name w:val="表左"/>
    <w:basedOn w:val="1"/>
    <w:qFormat/>
    <w:uiPriority w:val="0"/>
    <w:pPr>
      <w:keepNext/>
      <w:tabs>
        <w:tab w:val="clear" w:pos="480"/>
      </w:tabs>
      <w:adjustRightInd w:val="0"/>
      <w:snapToGrid w:val="0"/>
      <w:spacing w:line="320" w:lineRule="atLeast"/>
      <w:ind w:right="63" w:rightChars="30"/>
      <w:jc w:val="center"/>
    </w:pPr>
    <w:rPr>
      <w:rFonts w:ascii="宋体" w:hAnsi="宋体"/>
      <w:szCs w:val="20"/>
    </w:rPr>
  </w:style>
  <w:style w:type="paragraph" w:customStyle="1" w:styleId="898">
    <w:name w:val="规定原文"/>
    <w:basedOn w:val="1"/>
    <w:qFormat/>
    <w:uiPriority w:val="0"/>
    <w:pPr>
      <w:keepNext/>
      <w:tabs>
        <w:tab w:val="clear" w:pos="480"/>
      </w:tabs>
      <w:snapToGrid w:val="0"/>
      <w:spacing w:beforeLines="50" w:line="300" w:lineRule="auto"/>
      <w:ind w:firstLine="560"/>
    </w:pPr>
    <w:rPr>
      <w:rFonts w:ascii="楷体_GB2312" w:eastAsia="楷体_GB2312"/>
      <w:color w:val="FF0000"/>
      <w:sz w:val="28"/>
      <w:szCs w:val="20"/>
    </w:rPr>
  </w:style>
  <w:style w:type="paragraph" w:customStyle="1" w:styleId="899">
    <w:name w:val="签署栏"/>
    <w:basedOn w:val="1"/>
    <w:qFormat/>
    <w:uiPriority w:val="0"/>
    <w:pPr>
      <w:keepNext/>
      <w:tabs>
        <w:tab w:val="clear" w:pos="480"/>
      </w:tabs>
      <w:spacing w:line="300" w:lineRule="auto"/>
      <w:jc w:val="center"/>
    </w:pPr>
    <w:rPr>
      <w:rFonts w:ascii="黑体" w:eastAsia="黑体"/>
      <w:spacing w:val="80"/>
      <w:sz w:val="32"/>
      <w:szCs w:val="20"/>
    </w:rPr>
  </w:style>
  <w:style w:type="paragraph" w:customStyle="1" w:styleId="900">
    <w:name w:val="签署内容"/>
    <w:basedOn w:val="1"/>
    <w:qFormat/>
    <w:uiPriority w:val="0"/>
    <w:pPr>
      <w:keepNext/>
      <w:tabs>
        <w:tab w:val="clear" w:pos="480"/>
      </w:tabs>
      <w:spacing w:line="300" w:lineRule="auto"/>
      <w:ind w:firstLine="800" w:firstLineChars="250"/>
    </w:pPr>
    <w:rPr>
      <w:sz w:val="32"/>
      <w:szCs w:val="20"/>
    </w:rPr>
  </w:style>
  <w:style w:type="paragraph" w:customStyle="1" w:styleId="901">
    <w:name w:val="附件"/>
    <w:basedOn w:val="2"/>
    <w:link w:val="3362"/>
    <w:qFormat/>
    <w:uiPriority w:val="0"/>
    <w:pPr>
      <w:numPr>
        <w:numId w:val="0"/>
      </w:numPr>
      <w:tabs>
        <w:tab w:val="clear" w:pos="480"/>
      </w:tabs>
      <w:snapToGrid w:val="0"/>
      <w:spacing w:beforeLines="50" w:afterLines="50" w:line="420" w:lineRule="auto"/>
    </w:pPr>
    <w:rPr>
      <w:rFonts w:ascii="Times New Roman" w:eastAsia="黑体"/>
      <w:b w:val="0"/>
      <w:bCs w:val="0"/>
      <w:sz w:val="30"/>
      <w:szCs w:val="20"/>
    </w:rPr>
  </w:style>
  <w:style w:type="paragraph" w:customStyle="1" w:styleId="902">
    <w:name w:val="假标题"/>
    <w:basedOn w:val="1"/>
    <w:qFormat/>
    <w:uiPriority w:val="0"/>
    <w:pPr>
      <w:keepNext/>
      <w:tabs>
        <w:tab w:val="clear" w:pos="480"/>
      </w:tabs>
      <w:snapToGrid w:val="0"/>
      <w:spacing w:beforeLines="50" w:line="300" w:lineRule="auto"/>
      <w:outlineLvl w:val="2"/>
    </w:pPr>
    <w:rPr>
      <w:rFonts w:ascii="宋体"/>
      <w:b/>
      <w:sz w:val="28"/>
      <w:szCs w:val="20"/>
    </w:rPr>
  </w:style>
  <w:style w:type="paragraph" w:customStyle="1" w:styleId="903">
    <w:name w:val="假标题1"/>
    <w:basedOn w:val="902"/>
    <w:qFormat/>
    <w:uiPriority w:val="0"/>
    <w:pPr>
      <w:keepNext w:val="0"/>
      <w:autoSpaceDE w:val="0"/>
      <w:autoSpaceDN w:val="0"/>
      <w:adjustRightInd w:val="0"/>
      <w:spacing w:beforeLines="0" w:line="336" w:lineRule="auto"/>
      <w:outlineLvl w:val="9"/>
    </w:pPr>
    <w:rPr>
      <w:rFonts w:hAnsi="宋体" w:cs="黑体"/>
      <w:b w:val="0"/>
      <w:kern w:val="0"/>
      <w:sz w:val="15"/>
      <w:szCs w:val="15"/>
      <w:lang w:val="zh-CN"/>
    </w:rPr>
  </w:style>
  <w:style w:type="paragraph" w:customStyle="1" w:styleId="904">
    <w:name w:val="小表右A"/>
    <w:basedOn w:val="895"/>
    <w:qFormat/>
    <w:uiPriority w:val="0"/>
    <w:pPr>
      <w:ind w:right="28" w:rightChars="10"/>
    </w:pPr>
  </w:style>
  <w:style w:type="character" w:customStyle="1" w:styleId="905">
    <w:name w:val="篇号"/>
    <w:qFormat/>
    <w:uiPriority w:val="0"/>
    <w:rPr>
      <w:rFonts w:eastAsia="宋体"/>
    </w:rPr>
  </w:style>
  <w:style w:type="paragraph" w:customStyle="1" w:styleId="906">
    <w:name w:val="列表1"/>
    <w:basedOn w:val="66"/>
    <w:qFormat/>
    <w:uiPriority w:val="0"/>
    <w:pPr>
      <w:tabs>
        <w:tab w:val="left" w:pos="1727"/>
        <w:tab w:val="left" w:pos="1884"/>
      </w:tabs>
      <w:spacing w:line="300" w:lineRule="auto"/>
      <w:ind w:left="0" w:firstLine="0" w:firstLineChars="0"/>
      <w:jc w:val="center"/>
      <w:outlineLvl w:val="0"/>
    </w:pPr>
    <w:rPr>
      <w:rFonts w:ascii="宋体"/>
      <w:sz w:val="32"/>
      <w:szCs w:val="20"/>
    </w:rPr>
  </w:style>
  <w:style w:type="paragraph" w:customStyle="1" w:styleId="907">
    <w:name w:val="页眉1"/>
    <w:basedOn w:val="57"/>
    <w:qFormat/>
    <w:uiPriority w:val="0"/>
    <w:pPr>
      <w:pBdr>
        <w:bottom w:val="none" w:color="auto" w:sz="0" w:space="0"/>
      </w:pBdr>
      <w:tabs>
        <w:tab w:val="left" w:pos="1727"/>
        <w:tab w:val="left" w:pos="1884"/>
        <w:tab w:val="clear" w:pos="480"/>
      </w:tabs>
      <w:spacing w:line="240" w:lineRule="auto"/>
      <w:outlineLvl w:val="0"/>
    </w:pPr>
    <w:rPr>
      <w:rFonts w:ascii="隶书" w:hAnsi="Calibri" w:eastAsia="隶书"/>
      <w:w w:val="90"/>
      <w:kern w:val="0"/>
      <w:sz w:val="21"/>
      <w:szCs w:val="20"/>
    </w:rPr>
  </w:style>
  <w:style w:type="paragraph" w:customStyle="1" w:styleId="908">
    <w:name w:val="图章"/>
    <w:basedOn w:val="1"/>
    <w:qFormat/>
    <w:uiPriority w:val="0"/>
    <w:pPr>
      <w:tabs>
        <w:tab w:val="left" w:pos="1727"/>
        <w:tab w:val="left" w:pos="1884"/>
        <w:tab w:val="clear" w:pos="480"/>
      </w:tabs>
      <w:adjustRightInd w:val="0"/>
      <w:snapToGrid w:val="0"/>
      <w:spacing w:line="240" w:lineRule="auto"/>
      <w:jc w:val="left"/>
      <w:outlineLvl w:val="0"/>
    </w:pPr>
    <w:rPr>
      <w:rFonts w:ascii="宋体"/>
      <w:snapToGrid w:val="0"/>
      <w:kern w:val="0"/>
      <w:sz w:val="18"/>
      <w:szCs w:val="20"/>
    </w:rPr>
  </w:style>
  <w:style w:type="paragraph" w:customStyle="1" w:styleId="909">
    <w:name w:val="样式 首行缩进:  2 字符 段前: 0.5 行1"/>
    <w:basedOn w:val="1"/>
    <w:qFormat/>
    <w:uiPriority w:val="0"/>
    <w:pPr>
      <w:keepNext/>
      <w:tabs>
        <w:tab w:val="clear" w:pos="480"/>
      </w:tabs>
      <w:snapToGrid w:val="0"/>
      <w:spacing w:line="300" w:lineRule="auto"/>
    </w:pPr>
    <w:rPr>
      <w:rFonts w:ascii="宋体"/>
      <w:sz w:val="28"/>
      <w:szCs w:val="20"/>
    </w:rPr>
  </w:style>
  <w:style w:type="paragraph" w:customStyle="1" w:styleId="910">
    <w:name w:val="样式 首行缩进:  2 字符 段前: 0.5 行2"/>
    <w:basedOn w:val="1"/>
    <w:qFormat/>
    <w:uiPriority w:val="0"/>
    <w:pPr>
      <w:keepNext/>
      <w:tabs>
        <w:tab w:val="clear" w:pos="480"/>
      </w:tabs>
      <w:snapToGrid w:val="0"/>
      <w:spacing w:line="300" w:lineRule="auto"/>
    </w:pPr>
    <w:rPr>
      <w:rFonts w:ascii="宋体"/>
      <w:sz w:val="28"/>
      <w:szCs w:val="20"/>
    </w:rPr>
  </w:style>
  <w:style w:type="paragraph" w:customStyle="1" w:styleId="911">
    <w:name w:val="样式 首行缩进:  2 字符 段前: 0.5 行3"/>
    <w:basedOn w:val="1"/>
    <w:qFormat/>
    <w:uiPriority w:val="0"/>
    <w:pPr>
      <w:keepNext/>
      <w:tabs>
        <w:tab w:val="clear" w:pos="480"/>
      </w:tabs>
      <w:snapToGrid w:val="0"/>
      <w:spacing w:line="300" w:lineRule="auto"/>
    </w:pPr>
    <w:rPr>
      <w:rFonts w:ascii="宋体"/>
      <w:sz w:val="28"/>
      <w:szCs w:val="20"/>
    </w:rPr>
  </w:style>
  <w:style w:type="paragraph" w:customStyle="1" w:styleId="912">
    <w:name w:val="样式 标题 1 + 段前: 0.5 行"/>
    <w:basedOn w:val="2"/>
    <w:qFormat/>
    <w:uiPriority w:val="0"/>
    <w:pPr>
      <w:numPr>
        <w:numId w:val="0"/>
      </w:numPr>
      <w:tabs>
        <w:tab w:val="left" w:pos="360"/>
        <w:tab w:val="clear" w:pos="480"/>
      </w:tabs>
      <w:snapToGrid w:val="0"/>
      <w:spacing w:beforeLines="50" w:afterLines="50" w:line="480" w:lineRule="auto"/>
    </w:pPr>
    <w:rPr>
      <w:rFonts w:ascii="Times New Roman" w:eastAsia="黑体"/>
      <w:b w:val="0"/>
      <w:bCs w:val="0"/>
      <w:sz w:val="28"/>
      <w:szCs w:val="20"/>
    </w:rPr>
  </w:style>
  <w:style w:type="paragraph" w:customStyle="1" w:styleId="913">
    <w:name w:val="节内编号2"/>
    <w:qFormat/>
    <w:uiPriority w:val="0"/>
    <w:pPr>
      <w:adjustRightInd w:val="0"/>
      <w:snapToGrid w:val="0"/>
      <w:spacing w:line="300" w:lineRule="auto"/>
      <w:ind w:right="210" w:rightChars="100" w:firstLine="200" w:firstLineChars="200"/>
      <w:jc w:val="both"/>
    </w:pPr>
    <w:rPr>
      <w:rFonts w:ascii="宋体" w:hAnsi="宋体" w:eastAsia="宋体" w:cs="Times New Roman"/>
      <w:color w:val="000000"/>
      <w:kern w:val="2"/>
      <w:sz w:val="28"/>
      <w:szCs w:val="28"/>
      <w:lang w:val="en-US" w:eastAsia="zh-CN" w:bidi="ar-SA"/>
    </w:rPr>
  </w:style>
  <w:style w:type="paragraph" w:customStyle="1" w:styleId="914">
    <w:name w:val="表头2"/>
    <w:basedOn w:val="915"/>
    <w:qFormat/>
    <w:uiPriority w:val="0"/>
    <w:pPr>
      <w:tabs>
        <w:tab w:val="left" w:pos="284"/>
        <w:tab w:val="center" w:pos="4253"/>
        <w:tab w:val="center" w:pos="6237"/>
        <w:tab w:val="left" w:pos="7938"/>
      </w:tabs>
    </w:pPr>
  </w:style>
  <w:style w:type="paragraph" w:customStyle="1" w:styleId="915">
    <w:name w:val="表头1"/>
    <w:link w:val="2193"/>
    <w:qFormat/>
    <w:uiPriority w:val="0"/>
    <w:pPr>
      <w:tabs>
        <w:tab w:val="left" w:pos="284"/>
        <w:tab w:val="center" w:pos="4253"/>
        <w:tab w:val="left" w:pos="7938"/>
      </w:tabs>
      <w:spacing w:before="240" w:after="240" w:line="360" w:lineRule="auto"/>
      <w:ind w:firstLine="200" w:firstLineChars="200"/>
      <w:jc w:val="both"/>
    </w:pPr>
    <w:rPr>
      <w:rFonts w:ascii="黑体" w:hAnsi="Times New Roman" w:eastAsia="黑体" w:cs="Times New Roman"/>
      <w:kern w:val="2"/>
      <w:sz w:val="24"/>
      <w:szCs w:val="24"/>
      <w:lang w:val="en-US" w:eastAsia="zh-CN" w:bidi="ar-SA"/>
    </w:rPr>
  </w:style>
  <w:style w:type="paragraph" w:customStyle="1" w:styleId="916">
    <w:name w:val="正文-ST-4"/>
    <w:basedOn w:val="1"/>
    <w:qFormat/>
    <w:uiPriority w:val="0"/>
    <w:pPr>
      <w:widowControl/>
      <w:tabs>
        <w:tab w:val="clear" w:pos="480"/>
      </w:tabs>
      <w:ind w:firstLine="567"/>
    </w:pPr>
    <w:rPr>
      <w:kern w:val="0"/>
      <w:sz w:val="28"/>
      <w:szCs w:val="20"/>
    </w:rPr>
  </w:style>
  <w:style w:type="paragraph" w:customStyle="1" w:styleId="917">
    <w:name w:val="报告标1"/>
    <w:basedOn w:val="1"/>
    <w:next w:val="214"/>
    <w:semiHidden/>
    <w:qFormat/>
    <w:uiPriority w:val="0"/>
    <w:pPr>
      <w:tabs>
        <w:tab w:val="clear" w:pos="480"/>
      </w:tabs>
      <w:adjustRightInd w:val="0"/>
      <w:snapToGrid w:val="0"/>
      <w:spacing w:line="300" w:lineRule="auto"/>
    </w:pPr>
    <w:rPr>
      <w:rFonts w:ascii="黑体" w:eastAsia="黑体"/>
      <w:sz w:val="28"/>
      <w:szCs w:val="20"/>
    </w:rPr>
  </w:style>
  <w:style w:type="paragraph" w:customStyle="1" w:styleId="918">
    <w:name w:val="报告标2"/>
    <w:basedOn w:val="1"/>
    <w:next w:val="1"/>
    <w:semiHidden/>
    <w:qFormat/>
    <w:uiPriority w:val="0"/>
    <w:pPr>
      <w:tabs>
        <w:tab w:val="clear" w:pos="480"/>
      </w:tabs>
      <w:adjustRightInd w:val="0"/>
      <w:snapToGrid w:val="0"/>
      <w:spacing w:line="300" w:lineRule="auto"/>
    </w:pPr>
    <w:rPr>
      <w:rFonts w:ascii="黑体" w:eastAsia="黑体"/>
      <w:sz w:val="28"/>
      <w:szCs w:val="20"/>
    </w:rPr>
  </w:style>
  <w:style w:type="paragraph" w:customStyle="1" w:styleId="919">
    <w:name w:val="报告标3"/>
    <w:basedOn w:val="1"/>
    <w:semiHidden/>
    <w:qFormat/>
    <w:uiPriority w:val="0"/>
    <w:pPr>
      <w:tabs>
        <w:tab w:val="clear" w:pos="480"/>
      </w:tabs>
      <w:adjustRightInd w:val="0"/>
      <w:snapToGrid w:val="0"/>
      <w:spacing w:line="300" w:lineRule="auto"/>
    </w:pPr>
    <w:rPr>
      <w:rFonts w:ascii="宋体"/>
      <w:sz w:val="28"/>
      <w:szCs w:val="20"/>
    </w:rPr>
  </w:style>
  <w:style w:type="paragraph" w:customStyle="1" w:styleId="920">
    <w:name w:val="节内编号1"/>
    <w:basedOn w:val="1"/>
    <w:qFormat/>
    <w:uiPriority w:val="0"/>
    <w:pPr>
      <w:tabs>
        <w:tab w:val="clear" w:pos="480"/>
      </w:tabs>
      <w:adjustRightInd w:val="0"/>
      <w:snapToGrid w:val="0"/>
      <w:spacing w:line="336" w:lineRule="auto"/>
      <w:ind w:right="210" w:rightChars="100" w:firstLine="528"/>
      <w:jc w:val="left"/>
    </w:pPr>
    <w:rPr>
      <w:rFonts w:ascii="宋体" w:hAnsi="宋体"/>
      <w:color w:val="000000"/>
      <w:spacing w:val="-8"/>
      <w:sz w:val="28"/>
      <w:szCs w:val="20"/>
    </w:rPr>
  </w:style>
  <w:style w:type="paragraph" w:customStyle="1" w:styleId="921">
    <w:name w:val="标题31"/>
    <w:semiHidden/>
    <w:qFormat/>
    <w:uiPriority w:val="0"/>
    <w:pPr>
      <w:tabs>
        <w:tab w:val="left" w:pos="420"/>
      </w:tabs>
      <w:adjustRightInd w:val="0"/>
      <w:snapToGrid w:val="0"/>
      <w:spacing w:line="360" w:lineRule="auto"/>
      <w:ind w:left="420" w:hanging="420" w:firstLineChars="200"/>
      <w:jc w:val="both"/>
    </w:pPr>
    <w:rPr>
      <w:rFonts w:ascii="Times New Roman" w:hAnsi="Times New Roman" w:eastAsia="宋体" w:cs="Times New Roman"/>
      <w:color w:val="000000"/>
      <w:kern w:val="2"/>
      <w:sz w:val="28"/>
      <w:szCs w:val="28"/>
      <w:lang w:val="en-US" w:eastAsia="zh-CN" w:bidi="ar-SA"/>
    </w:rPr>
  </w:style>
  <w:style w:type="paragraph" w:customStyle="1" w:styleId="922">
    <w:name w:val="正文-FS-L"/>
    <w:qFormat/>
    <w:uiPriority w:val="0"/>
    <w:pPr>
      <w:spacing w:line="360" w:lineRule="auto"/>
      <w:ind w:firstLine="567" w:firstLineChars="200"/>
      <w:jc w:val="both"/>
    </w:pPr>
    <w:rPr>
      <w:rFonts w:ascii="Times New Roman" w:hAnsi="Times New Roman" w:eastAsia="仿宋_GB2312" w:cs="Times New Roman"/>
      <w:kern w:val="2"/>
      <w:sz w:val="28"/>
      <w:szCs w:val="24"/>
      <w:lang w:val="en-US" w:eastAsia="zh-CN" w:bidi="ar-SA"/>
    </w:rPr>
  </w:style>
  <w:style w:type="character" w:customStyle="1" w:styleId="923">
    <w:name w:val="称呼 Char"/>
    <w:link w:val="29"/>
    <w:qFormat/>
    <w:uiPriority w:val="0"/>
    <w:rPr>
      <w:rFonts w:eastAsia="宋体"/>
      <w:kern w:val="2"/>
      <w:sz w:val="24"/>
      <w:szCs w:val="24"/>
      <w:lang w:val="en-US" w:eastAsia="zh-CN" w:bidi="ar-SA"/>
    </w:rPr>
  </w:style>
  <w:style w:type="paragraph" w:customStyle="1" w:styleId="924">
    <w:name w:val="Normal-Ariel"/>
    <w:basedOn w:val="1"/>
    <w:semiHidden/>
    <w:qFormat/>
    <w:uiPriority w:val="0"/>
    <w:pPr>
      <w:widowControl/>
      <w:tabs>
        <w:tab w:val="clear" w:pos="480"/>
      </w:tabs>
      <w:spacing w:after="160" w:line="320" w:lineRule="atLeast"/>
      <w:ind w:left="900"/>
    </w:pPr>
    <w:rPr>
      <w:rFonts w:ascii="Arial" w:hAnsi="Arial"/>
      <w:kern w:val="0"/>
      <w:sz w:val="22"/>
      <w:szCs w:val="20"/>
      <w:lang w:val="de-DE" w:eastAsia="de-DE"/>
    </w:rPr>
  </w:style>
  <w:style w:type="paragraph" w:customStyle="1" w:styleId="925">
    <w:name w:val="节1"/>
    <w:basedOn w:val="45"/>
    <w:qFormat/>
    <w:uiPriority w:val="0"/>
    <w:pPr>
      <w:snapToGrid w:val="0"/>
      <w:spacing w:before="120" w:after="120" w:line="312" w:lineRule="auto"/>
      <w:ind w:firstLine="567"/>
      <w:outlineLvl w:val="1"/>
    </w:pPr>
    <w:rPr>
      <w:rFonts w:hAnsi="Times New Roman"/>
      <w:b/>
      <w:spacing w:val="6"/>
      <w:kern w:val="0"/>
      <w:sz w:val="32"/>
    </w:rPr>
  </w:style>
  <w:style w:type="character" w:customStyle="1" w:styleId="926">
    <w:name w:val="style41"/>
    <w:semiHidden/>
    <w:qFormat/>
    <w:uiPriority w:val="0"/>
    <w:rPr>
      <w:color w:val="666666"/>
    </w:rPr>
  </w:style>
  <w:style w:type="character" w:customStyle="1" w:styleId="927">
    <w:name w:val="yuzhifeng"/>
    <w:semiHidden/>
    <w:qFormat/>
    <w:uiPriority w:val="0"/>
    <w:rPr>
      <w:rFonts w:ascii="Arial" w:hAnsi="Arial" w:eastAsia="宋体" w:cs="Arial"/>
      <w:color w:val="auto"/>
      <w:sz w:val="18"/>
      <w:szCs w:val="20"/>
    </w:rPr>
  </w:style>
  <w:style w:type="paragraph" w:customStyle="1" w:styleId="928">
    <w:name w:val="Text"/>
    <w:basedOn w:val="1"/>
    <w:semiHidden/>
    <w:qFormat/>
    <w:uiPriority w:val="0"/>
    <w:pPr>
      <w:widowControl/>
      <w:tabs>
        <w:tab w:val="clear" w:pos="480"/>
      </w:tabs>
      <w:spacing w:line="240" w:lineRule="auto"/>
    </w:pPr>
    <w:rPr>
      <w:kern w:val="0"/>
      <w:szCs w:val="20"/>
      <w:lang w:eastAsia="en-US"/>
    </w:rPr>
  </w:style>
  <w:style w:type="paragraph" w:customStyle="1" w:styleId="929">
    <w:name w:val="新表"/>
    <w:basedOn w:val="1"/>
    <w:qFormat/>
    <w:uiPriority w:val="0"/>
    <w:pPr>
      <w:tabs>
        <w:tab w:val="clear" w:pos="480"/>
      </w:tabs>
      <w:adjustRightInd w:val="0"/>
      <w:snapToGrid w:val="0"/>
      <w:spacing w:before="60" w:after="60" w:line="240" w:lineRule="auto"/>
      <w:jc w:val="center"/>
    </w:pPr>
    <w:rPr>
      <w:rFonts w:ascii="宋体" w:hAnsi="宋体"/>
      <w:spacing w:val="6"/>
    </w:rPr>
  </w:style>
  <w:style w:type="paragraph" w:customStyle="1" w:styleId="930">
    <w:name w:val="样式表头1"/>
    <w:basedOn w:val="1"/>
    <w:qFormat/>
    <w:uiPriority w:val="0"/>
    <w:pPr>
      <w:tabs>
        <w:tab w:val="clear" w:pos="480"/>
      </w:tabs>
      <w:adjustRightInd w:val="0"/>
      <w:snapToGrid w:val="0"/>
      <w:spacing w:line="312" w:lineRule="auto"/>
      <w:jc w:val="center"/>
      <w:textAlignment w:val="baseline"/>
    </w:pPr>
    <w:rPr>
      <w:rFonts w:ascii="黑体" w:eastAsia="黑体"/>
      <w:b/>
      <w:kern w:val="0"/>
      <w:sz w:val="32"/>
      <w:szCs w:val="20"/>
    </w:rPr>
  </w:style>
  <w:style w:type="paragraph" w:customStyle="1" w:styleId="931">
    <w:name w:val="Right Par 3"/>
    <w:semiHidden/>
    <w:qFormat/>
    <w:uiPriority w:val="0"/>
    <w:pPr>
      <w:tabs>
        <w:tab w:val="left" w:pos="-720"/>
        <w:tab w:val="left" w:pos="0"/>
        <w:tab w:val="left" w:pos="720"/>
        <w:tab w:val="left" w:pos="1440"/>
        <w:tab w:val="decimal" w:pos="2160"/>
      </w:tabs>
      <w:suppressAutoHyphens/>
      <w:overflowPunct w:val="0"/>
      <w:autoSpaceDE w:val="0"/>
      <w:autoSpaceDN w:val="0"/>
      <w:adjustRightInd w:val="0"/>
      <w:spacing w:line="360" w:lineRule="auto"/>
      <w:ind w:left="2160" w:firstLine="200" w:firstLineChars="200"/>
      <w:jc w:val="both"/>
      <w:textAlignment w:val="baseline"/>
    </w:pPr>
    <w:rPr>
      <w:rFonts w:ascii="Courier" w:hAnsi="Courier" w:eastAsia="宋体" w:cs="Times New Roman"/>
      <w:kern w:val="2"/>
      <w:sz w:val="24"/>
      <w:szCs w:val="24"/>
      <w:lang w:val="en-US" w:eastAsia="en-US" w:bidi="ar-SA"/>
    </w:rPr>
  </w:style>
  <w:style w:type="paragraph" w:customStyle="1" w:styleId="932">
    <w:name w:val="短简表28"/>
    <w:basedOn w:val="1"/>
    <w:qFormat/>
    <w:uiPriority w:val="0"/>
    <w:pPr>
      <w:tabs>
        <w:tab w:val="clear" w:pos="480"/>
      </w:tabs>
      <w:adjustRightInd w:val="0"/>
      <w:snapToGrid w:val="0"/>
      <w:spacing w:before="120" w:after="120" w:line="240" w:lineRule="auto"/>
      <w:ind w:left="445" w:leftChars="245" w:hanging="200" w:hangingChars="200"/>
    </w:pPr>
    <w:rPr>
      <w:sz w:val="28"/>
    </w:rPr>
  </w:style>
  <w:style w:type="paragraph" w:customStyle="1" w:styleId="933">
    <w:name w:val="样式 正文文字 + 首行缩进:  2 字符"/>
    <w:basedOn w:val="33"/>
    <w:qFormat/>
    <w:uiPriority w:val="0"/>
    <w:pPr>
      <w:spacing w:line="500" w:lineRule="exact"/>
      <w:ind w:firstLine="560"/>
    </w:pPr>
    <w:rPr>
      <w:rFonts w:ascii="Times New Roman" w:hAnsi="Times New Roman"/>
      <w:kern w:val="0"/>
      <w:sz w:val="28"/>
    </w:rPr>
  </w:style>
  <w:style w:type="character" w:customStyle="1" w:styleId="934">
    <w:name w:val="even Char Char Char"/>
    <w:semiHidden/>
    <w:qFormat/>
    <w:uiPriority w:val="0"/>
    <w:rPr>
      <w:rFonts w:eastAsia="宋体"/>
      <w:kern w:val="2"/>
      <w:sz w:val="18"/>
      <w:szCs w:val="18"/>
      <w:lang w:val="en-US" w:eastAsia="zh-CN" w:bidi="ar-SA"/>
    </w:rPr>
  </w:style>
  <w:style w:type="character" w:customStyle="1" w:styleId="935">
    <w:name w:val="标题 3 Char Char Char1"/>
    <w:qFormat/>
    <w:uiPriority w:val="0"/>
    <w:rPr>
      <w:rFonts w:eastAsia="宋体"/>
      <w:b/>
      <w:bCs/>
      <w:kern w:val="2"/>
      <w:sz w:val="32"/>
      <w:szCs w:val="32"/>
      <w:lang w:val="en-US" w:eastAsia="zh-CN" w:bidi="ar-SA"/>
    </w:rPr>
  </w:style>
  <w:style w:type="paragraph" w:customStyle="1" w:styleId="936">
    <w:name w:val="表格内"/>
    <w:basedOn w:val="1"/>
    <w:semiHidden/>
    <w:qFormat/>
    <w:uiPriority w:val="0"/>
    <w:pPr>
      <w:widowControl/>
      <w:tabs>
        <w:tab w:val="clear" w:pos="480"/>
      </w:tabs>
      <w:adjustRightInd w:val="0"/>
      <w:spacing w:line="360" w:lineRule="exact"/>
      <w:jc w:val="center"/>
    </w:pPr>
    <w:rPr>
      <w:rFonts w:ascii="宋体" w:hAnsi="宋体" w:cs="宋体"/>
      <w:snapToGrid w:val="0"/>
      <w:kern w:val="0"/>
      <w:sz w:val="21"/>
      <w:szCs w:val="21"/>
    </w:rPr>
  </w:style>
  <w:style w:type="paragraph" w:customStyle="1" w:styleId="937">
    <w:name w:val="样式 表名称"/>
    <w:basedOn w:val="1"/>
    <w:qFormat/>
    <w:uiPriority w:val="0"/>
    <w:pPr>
      <w:widowControl/>
      <w:tabs>
        <w:tab w:val="clear" w:pos="480"/>
      </w:tabs>
      <w:autoSpaceDE w:val="0"/>
      <w:autoSpaceDN w:val="0"/>
      <w:adjustRightInd w:val="0"/>
      <w:spacing w:line="460" w:lineRule="atLeast"/>
      <w:ind w:right="25" w:rightChars="12"/>
      <w:jc w:val="center"/>
      <w:textAlignment w:val="baseline"/>
    </w:pPr>
    <w:rPr>
      <w:rFonts w:ascii="仿宋_GB2312" w:hAnsi="宋体" w:eastAsia="仿宋_GB2312" w:cs="宋体"/>
      <w:snapToGrid w:val="0"/>
      <w:kern w:val="0"/>
      <w:szCs w:val="28"/>
    </w:rPr>
  </w:style>
  <w:style w:type="paragraph" w:customStyle="1" w:styleId="938">
    <w:name w:val="lei07-标题1"/>
    <w:basedOn w:val="2"/>
    <w:semiHidden/>
    <w:qFormat/>
    <w:uiPriority w:val="0"/>
    <w:pPr>
      <w:keepLines w:val="0"/>
      <w:numPr>
        <w:numId w:val="18"/>
      </w:numPr>
      <w:tabs>
        <w:tab w:val="left" w:pos="425"/>
        <w:tab w:val="clear" w:pos="480"/>
      </w:tabs>
      <w:spacing w:beforeLines="50" w:afterLines="50"/>
      <w:jc w:val="center"/>
    </w:pPr>
    <w:rPr>
      <w:rFonts w:ascii="Times New Roman" w:eastAsia="宋体"/>
      <w:spacing w:val="-4"/>
      <w:kern w:val="2"/>
      <w:sz w:val="28"/>
      <w:szCs w:val="24"/>
    </w:rPr>
  </w:style>
  <w:style w:type="paragraph" w:customStyle="1" w:styleId="939">
    <w:name w:val="lei07-标题2"/>
    <w:basedOn w:val="3"/>
    <w:semiHidden/>
    <w:qFormat/>
    <w:uiPriority w:val="0"/>
    <w:pPr>
      <w:numPr>
        <w:numId w:val="18"/>
      </w:numPr>
      <w:tabs>
        <w:tab w:val="left" w:pos="425"/>
        <w:tab w:val="left" w:pos="567"/>
        <w:tab w:val="clear" w:pos="480"/>
        <w:tab w:val="clear" w:pos="630"/>
      </w:tabs>
      <w:snapToGrid w:val="0"/>
      <w:spacing w:before="0" w:after="0"/>
      <w:jc w:val="center"/>
    </w:pPr>
    <w:rPr>
      <w:b w:val="0"/>
      <w:sz w:val="24"/>
      <w:szCs w:val="28"/>
    </w:rPr>
  </w:style>
  <w:style w:type="paragraph" w:customStyle="1" w:styleId="940">
    <w:name w:val="lei-标题3"/>
    <w:basedOn w:val="4"/>
    <w:semiHidden/>
    <w:qFormat/>
    <w:uiPriority w:val="0"/>
    <w:pPr>
      <w:numPr>
        <w:numId w:val="18"/>
      </w:numPr>
      <w:tabs>
        <w:tab w:val="left" w:pos="425"/>
        <w:tab w:val="left" w:pos="709"/>
        <w:tab w:val="left" w:pos="1764"/>
        <w:tab w:val="clear" w:pos="480"/>
        <w:tab w:val="clear" w:pos="840"/>
      </w:tabs>
      <w:spacing w:before="0" w:after="0" w:line="360" w:lineRule="auto"/>
      <w:ind w:left="1764" w:hanging="420"/>
    </w:pPr>
    <w:rPr>
      <w:rFonts w:ascii="Times New Roman" w:eastAsia="宋体"/>
      <w:b w:val="0"/>
      <w:sz w:val="24"/>
    </w:rPr>
  </w:style>
  <w:style w:type="paragraph" w:customStyle="1" w:styleId="941">
    <w:name w:val="总院"/>
    <w:basedOn w:val="1"/>
    <w:qFormat/>
    <w:uiPriority w:val="0"/>
    <w:pPr>
      <w:tabs>
        <w:tab w:val="clear" w:pos="480"/>
      </w:tabs>
      <w:snapToGrid w:val="0"/>
      <w:spacing w:line="300" w:lineRule="auto"/>
      <w:ind w:firstLine="560"/>
    </w:pPr>
    <w:rPr>
      <w:rFonts w:ascii="宋体" w:hAnsi="宋体" w:cs="Arial"/>
      <w:bCs/>
      <w:sz w:val="28"/>
      <w:szCs w:val="28"/>
      <w:lang w:val="ru-RU"/>
    </w:rPr>
  </w:style>
  <w:style w:type="paragraph" w:customStyle="1" w:styleId="942">
    <w:name w:val="lei07-正文"/>
    <w:basedOn w:val="1"/>
    <w:semiHidden/>
    <w:qFormat/>
    <w:uiPriority w:val="0"/>
    <w:pPr>
      <w:tabs>
        <w:tab w:val="clear" w:pos="480"/>
      </w:tabs>
    </w:pPr>
  </w:style>
  <w:style w:type="paragraph" w:customStyle="1" w:styleId="943">
    <w:name w:val="Char Char Char1 Char Char Char Char Char Char Char Char Char Char"/>
    <w:basedOn w:val="1"/>
    <w:qFormat/>
    <w:uiPriority w:val="0"/>
    <w:pPr>
      <w:widowControl/>
      <w:tabs>
        <w:tab w:val="clear" w:pos="480"/>
      </w:tabs>
      <w:spacing w:line="240" w:lineRule="auto"/>
      <w:jc w:val="left"/>
    </w:pPr>
    <w:rPr>
      <w:rFonts w:ascii="宋体" w:hAnsi="宋体" w:cs="宋体"/>
      <w:kern w:val="0"/>
    </w:rPr>
  </w:style>
  <w:style w:type="paragraph" w:customStyle="1" w:styleId="944">
    <w:name w:val="样式13"/>
    <w:basedOn w:val="1"/>
    <w:next w:val="1"/>
    <w:link w:val="2875"/>
    <w:qFormat/>
    <w:uiPriority w:val="0"/>
    <w:pPr>
      <w:keepNext/>
      <w:keepLines/>
      <w:pageBreakBefore/>
      <w:tabs>
        <w:tab w:val="clear" w:pos="480"/>
      </w:tabs>
      <w:adjustRightInd w:val="0"/>
      <w:snapToGrid w:val="0"/>
      <w:ind w:left="40" w:leftChars="-85" w:hanging="278" w:hangingChars="99"/>
      <w:jc w:val="center"/>
      <w:textAlignment w:val="baseline"/>
      <w:outlineLvl w:val="0"/>
    </w:pPr>
    <w:rPr>
      <w:rFonts w:ascii="Arial" w:hAnsi="Arial" w:cs="Arial"/>
      <w:b/>
      <w:kern w:val="44"/>
      <w:sz w:val="28"/>
      <w:szCs w:val="28"/>
    </w:rPr>
  </w:style>
  <w:style w:type="paragraph" w:customStyle="1" w:styleId="945">
    <w:name w:val="Char Char Char1 Char Char Char Char Char Char Char Char Char Char1"/>
    <w:basedOn w:val="1"/>
    <w:semiHidden/>
    <w:qFormat/>
    <w:uiPriority w:val="0"/>
    <w:pPr>
      <w:widowControl/>
      <w:tabs>
        <w:tab w:val="clear" w:pos="480"/>
      </w:tabs>
      <w:spacing w:line="240" w:lineRule="auto"/>
      <w:jc w:val="left"/>
    </w:pPr>
    <w:rPr>
      <w:rFonts w:ascii="宋体" w:hAnsi="宋体" w:cs="宋体"/>
      <w:kern w:val="0"/>
    </w:rPr>
  </w:style>
  <w:style w:type="paragraph" w:customStyle="1" w:styleId="946">
    <w:name w:val="样式 正文-z Char Char"/>
    <w:basedOn w:val="1"/>
    <w:link w:val="947"/>
    <w:qFormat/>
    <w:uiPriority w:val="0"/>
    <w:pPr>
      <w:widowControl/>
      <w:tabs>
        <w:tab w:val="clear" w:pos="480"/>
      </w:tabs>
      <w:spacing w:line="240" w:lineRule="auto"/>
      <w:ind w:firstLine="560"/>
      <w:jc w:val="left"/>
    </w:pPr>
    <w:rPr>
      <w:rFonts w:ascii="宋体" w:hAnsi="宋体"/>
      <w:snapToGrid w:val="0"/>
      <w:kern w:val="0"/>
      <w:szCs w:val="28"/>
      <w:lang w:val="zh-CN"/>
    </w:rPr>
  </w:style>
  <w:style w:type="character" w:customStyle="1" w:styleId="947">
    <w:name w:val="样式 正文-z Char Char Char"/>
    <w:link w:val="946"/>
    <w:qFormat/>
    <w:uiPriority w:val="0"/>
    <w:rPr>
      <w:rFonts w:ascii="宋体" w:hAnsi="宋体" w:eastAsia="宋体"/>
      <w:snapToGrid w:val="0"/>
      <w:sz w:val="24"/>
      <w:szCs w:val="28"/>
      <w:lang w:bidi="ar-SA"/>
    </w:rPr>
  </w:style>
  <w:style w:type="paragraph" w:customStyle="1" w:styleId="948">
    <w:name w:val="样式 样式 正文-z + (符号) Arial 小五 黑色 首行缩进:  2 字符"/>
    <w:basedOn w:val="946"/>
    <w:qFormat/>
    <w:uiPriority w:val="0"/>
    <w:pPr>
      <w:snapToGrid w:val="0"/>
      <w:ind w:firstLine="0" w:firstLineChars="0"/>
      <w:jc w:val="center"/>
    </w:pPr>
    <w:rPr>
      <w:rFonts w:hAnsi="Arial"/>
      <w:sz w:val="21"/>
      <w:szCs w:val="21"/>
    </w:rPr>
  </w:style>
  <w:style w:type="paragraph" w:customStyle="1" w:styleId="949">
    <w:name w:val="样式 正文-z"/>
    <w:basedOn w:val="1"/>
    <w:qFormat/>
    <w:uiPriority w:val="0"/>
    <w:pPr>
      <w:widowControl/>
      <w:tabs>
        <w:tab w:val="clear" w:pos="480"/>
      </w:tabs>
      <w:spacing w:line="240" w:lineRule="auto"/>
      <w:ind w:firstLine="560"/>
      <w:jc w:val="left"/>
    </w:pPr>
    <w:rPr>
      <w:rFonts w:ascii="宋体" w:hAnsi="宋体" w:eastAsia="仿宋_GB2312" w:cs="宋体"/>
      <w:bCs/>
      <w:kern w:val="0"/>
      <w:szCs w:val="28"/>
    </w:rPr>
  </w:style>
  <w:style w:type="paragraph" w:customStyle="1" w:styleId="950">
    <w:name w:val="样式 (中文) 楷体_GB2312 四号 行距: 1.5 倍行距"/>
    <w:basedOn w:val="1"/>
    <w:qFormat/>
    <w:uiPriority w:val="0"/>
    <w:pPr>
      <w:widowControl/>
      <w:tabs>
        <w:tab w:val="clear" w:pos="480"/>
      </w:tabs>
      <w:ind w:firstLine="560"/>
      <w:jc w:val="left"/>
    </w:pPr>
    <w:rPr>
      <w:rFonts w:ascii="宋体" w:hAnsi="宋体" w:eastAsia="仿宋_GB2312" w:cs="宋体"/>
      <w:kern w:val="28"/>
      <w:szCs w:val="28"/>
    </w:rPr>
  </w:style>
  <w:style w:type="paragraph" w:customStyle="1" w:styleId="951">
    <w:name w:val="样式 表头 + 五号 (西文)粗体"/>
    <w:basedOn w:val="1"/>
    <w:link w:val="952"/>
    <w:qFormat/>
    <w:uiPriority w:val="0"/>
    <w:pPr>
      <w:widowControl/>
      <w:tabs>
        <w:tab w:val="clear" w:pos="480"/>
      </w:tabs>
      <w:spacing w:line="240" w:lineRule="auto"/>
      <w:jc w:val="center"/>
    </w:pPr>
    <w:rPr>
      <w:rFonts w:ascii="黑体" w:hAnsi="宋体" w:eastAsia="黑体"/>
      <w:kern w:val="28"/>
      <w:lang w:val="zh-CN"/>
    </w:rPr>
  </w:style>
  <w:style w:type="character" w:customStyle="1" w:styleId="952">
    <w:name w:val="样式 表头 + 五号 (西文)粗体 Char"/>
    <w:link w:val="951"/>
    <w:qFormat/>
    <w:uiPriority w:val="0"/>
    <w:rPr>
      <w:rFonts w:ascii="黑体" w:hAnsi="宋体" w:eastAsia="黑体"/>
      <w:kern w:val="28"/>
      <w:sz w:val="24"/>
      <w:szCs w:val="24"/>
      <w:lang w:bidi="ar-SA"/>
    </w:rPr>
  </w:style>
  <w:style w:type="paragraph" w:customStyle="1" w:styleId="953">
    <w:name w:val="样式 AA正文首行缩进 2 + 首行缩进:  2 字符 Char Char Char Char Char Char Char Char Char"/>
    <w:basedOn w:val="1"/>
    <w:qFormat/>
    <w:uiPriority w:val="0"/>
    <w:pPr>
      <w:widowControl/>
      <w:tabs>
        <w:tab w:val="clear" w:pos="480"/>
      </w:tabs>
      <w:spacing w:after="120" w:line="240" w:lineRule="auto"/>
      <w:ind w:firstLine="560"/>
      <w:jc w:val="left"/>
    </w:pPr>
    <w:rPr>
      <w:rFonts w:ascii="宋体" w:hAnsi="宋体" w:eastAsia="仿宋_GB2312" w:cs="宋体"/>
      <w:kern w:val="28"/>
      <w:szCs w:val="28"/>
    </w:rPr>
  </w:style>
  <w:style w:type="paragraph" w:customStyle="1" w:styleId="954">
    <w:name w:val="Char Char Char1 Char Char Char Char Char Char Char Char Char Char Char Char Char Char Char Char1"/>
    <w:basedOn w:val="5"/>
    <w:semiHidden/>
    <w:qFormat/>
    <w:uiPriority w:val="0"/>
    <w:pPr>
      <w:widowControl/>
      <w:numPr>
        <w:ilvl w:val="0"/>
        <w:numId w:val="0"/>
      </w:numPr>
      <w:tabs>
        <w:tab w:val="clear" w:pos="480"/>
      </w:tabs>
      <w:spacing w:before="120" w:after="120"/>
      <w:jc w:val="left"/>
    </w:pPr>
    <w:rPr>
      <w:rFonts w:ascii="宋体" w:cs="宋体"/>
      <w:b w:val="0"/>
      <w:kern w:val="0"/>
      <w:sz w:val="24"/>
    </w:rPr>
  </w:style>
  <w:style w:type="paragraph" w:customStyle="1" w:styleId="955">
    <w:name w:val="Char Char Char1 Char Char Char Char Char Char Char Char Char Char Char Char Char Char Char Char Char Char Char Char Char Char"/>
    <w:basedOn w:val="5"/>
    <w:semiHidden/>
    <w:qFormat/>
    <w:uiPriority w:val="0"/>
    <w:pPr>
      <w:widowControl/>
      <w:numPr>
        <w:ilvl w:val="0"/>
        <w:numId w:val="0"/>
      </w:numPr>
      <w:tabs>
        <w:tab w:val="clear" w:pos="480"/>
      </w:tabs>
      <w:spacing w:before="120" w:after="120"/>
      <w:jc w:val="left"/>
    </w:pPr>
    <w:rPr>
      <w:rFonts w:ascii="宋体" w:cs="宋体"/>
      <w:b w:val="0"/>
      <w:kern w:val="0"/>
      <w:sz w:val="24"/>
    </w:rPr>
  </w:style>
  <w:style w:type="paragraph" w:customStyle="1" w:styleId="956">
    <w:name w:val="样式 正文-z Char"/>
    <w:basedOn w:val="1"/>
    <w:qFormat/>
    <w:uiPriority w:val="0"/>
    <w:pPr>
      <w:widowControl/>
      <w:tabs>
        <w:tab w:val="clear" w:pos="480"/>
      </w:tabs>
      <w:adjustRightInd w:val="0"/>
      <w:ind w:firstLine="560"/>
      <w:jc w:val="left"/>
    </w:pPr>
    <w:rPr>
      <w:rFonts w:ascii="宋体" w:hAnsi="宋体" w:cs="宋体"/>
      <w:snapToGrid w:val="0"/>
      <w:kern w:val="0"/>
      <w:szCs w:val="28"/>
    </w:rPr>
  </w:style>
  <w:style w:type="character" w:customStyle="1" w:styleId="957">
    <w:name w:val="样式 页码 + (中文) 仿宋_GB2312"/>
    <w:qFormat/>
    <w:uiPriority w:val="0"/>
    <w:rPr>
      <w:rFonts w:ascii="Times New Roman" w:hAnsi="Times New Roman" w:eastAsia="仿宋_GB2312" w:cs="宋体"/>
      <w:bCs/>
      <w:spacing w:val="0"/>
      <w:sz w:val="28"/>
      <w:szCs w:val="28"/>
      <w:lang w:val="en-US" w:eastAsia="zh-CN" w:bidi="ar-SA"/>
    </w:rPr>
  </w:style>
  <w:style w:type="paragraph" w:customStyle="1" w:styleId="958">
    <w:name w:val="文本一"/>
    <w:basedOn w:val="33"/>
    <w:qFormat/>
    <w:uiPriority w:val="0"/>
    <w:pPr>
      <w:widowControl/>
      <w:tabs>
        <w:tab w:val="left" w:pos="525"/>
      </w:tabs>
      <w:spacing w:line="360" w:lineRule="auto"/>
      <w:ind w:firstLine="560"/>
      <w:jc w:val="left"/>
    </w:pPr>
    <w:rPr>
      <w:rFonts w:cs="宋体"/>
      <w:kern w:val="0"/>
      <w:sz w:val="28"/>
      <w:szCs w:val="24"/>
    </w:rPr>
  </w:style>
  <w:style w:type="paragraph" w:customStyle="1" w:styleId="959">
    <w:name w:val="样式 正文缩进 + (西文) 宋体 四号"/>
    <w:basedOn w:val="20"/>
    <w:link w:val="960"/>
    <w:qFormat/>
    <w:uiPriority w:val="0"/>
    <w:pPr>
      <w:widowControl/>
      <w:tabs>
        <w:tab w:val="clear" w:pos="480"/>
      </w:tabs>
      <w:adjustRightInd w:val="0"/>
      <w:spacing w:line="336" w:lineRule="auto"/>
      <w:ind w:firstLine="480"/>
      <w:jc w:val="center"/>
      <w:textAlignment w:val="baseline"/>
    </w:pPr>
    <w:rPr>
      <w:rFonts w:ascii="黑体" w:hAnsi="宋体" w:eastAsia="黑体"/>
      <w:color w:val="000000"/>
      <w:kern w:val="0"/>
      <w:lang w:val="zh-CN"/>
    </w:rPr>
  </w:style>
  <w:style w:type="character" w:customStyle="1" w:styleId="960">
    <w:name w:val="样式 正文缩进 + (西文) 宋体 四号 Char"/>
    <w:link w:val="959"/>
    <w:qFormat/>
    <w:uiPriority w:val="0"/>
    <w:rPr>
      <w:rFonts w:ascii="黑体" w:hAnsi="宋体" w:eastAsia="黑体"/>
      <w:color w:val="000000"/>
      <w:sz w:val="24"/>
      <w:szCs w:val="24"/>
      <w:lang w:bidi="ar-SA"/>
    </w:rPr>
  </w:style>
  <w:style w:type="paragraph" w:customStyle="1" w:styleId="961">
    <w:name w:val="八角图表名"/>
    <w:basedOn w:val="1"/>
    <w:semiHidden/>
    <w:qFormat/>
    <w:uiPriority w:val="0"/>
    <w:pPr>
      <w:widowControl/>
      <w:tabs>
        <w:tab w:val="clear" w:pos="480"/>
      </w:tabs>
      <w:spacing w:line="300" w:lineRule="auto"/>
      <w:jc w:val="center"/>
    </w:pPr>
    <w:rPr>
      <w:rFonts w:ascii="宋体" w:hAnsi="宋体" w:cs="宋体"/>
      <w:color w:val="FF0000"/>
      <w:kern w:val="0"/>
      <w:szCs w:val="30"/>
    </w:rPr>
  </w:style>
  <w:style w:type="character" w:customStyle="1" w:styleId="962">
    <w:name w:val="样式 AA正文首行缩进 2 + 首行缩进:  2 字符 Char Char Char Char Char Char Char Char Char Char Char Char"/>
    <w:qFormat/>
    <w:uiPriority w:val="0"/>
    <w:rPr>
      <w:rFonts w:eastAsia="宋体" w:cs="宋体"/>
      <w:kern w:val="2"/>
      <w:sz w:val="28"/>
      <w:szCs w:val="24"/>
      <w:lang w:val="en-US" w:eastAsia="zh-CN" w:bidi="ar-SA"/>
    </w:rPr>
  </w:style>
  <w:style w:type="paragraph" w:customStyle="1" w:styleId="963">
    <w:name w:val="样式 楷体_GB2312 四号 行距: 1.5 倍行距"/>
    <w:basedOn w:val="4"/>
    <w:qFormat/>
    <w:uiPriority w:val="0"/>
    <w:pPr>
      <w:widowControl/>
      <w:numPr>
        <w:ilvl w:val="0"/>
        <w:numId w:val="0"/>
      </w:numPr>
      <w:tabs>
        <w:tab w:val="clear" w:pos="480"/>
        <w:tab w:val="clear" w:pos="840"/>
      </w:tabs>
      <w:spacing w:beforeLines="50" w:afterLines="50" w:line="360" w:lineRule="auto"/>
      <w:ind w:left="560" w:leftChars="200"/>
      <w:jc w:val="left"/>
    </w:pPr>
    <w:rPr>
      <w:rFonts w:ascii="楷体_GB2312" w:hAnsi="宋体" w:eastAsia="楷体_GB2312" w:cs="宋体"/>
      <w:color w:val="FF0000"/>
      <w:kern w:val="28"/>
      <w:sz w:val="24"/>
      <w:szCs w:val="28"/>
    </w:rPr>
  </w:style>
  <w:style w:type="paragraph" w:customStyle="1" w:styleId="964">
    <w:name w:val="样式 标题 1 + 段前: 0.5 行 段后: 0.5 行"/>
    <w:basedOn w:val="2"/>
    <w:qFormat/>
    <w:uiPriority w:val="0"/>
    <w:pPr>
      <w:widowControl/>
      <w:numPr>
        <w:numId w:val="0"/>
      </w:numPr>
      <w:tabs>
        <w:tab w:val="clear" w:pos="480"/>
      </w:tabs>
      <w:spacing w:beforeLines="50" w:beforeAutospacing="1" w:afterLines="50" w:afterAutospacing="1" w:line="240" w:lineRule="auto"/>
      <w:jc w:val="center"/>
    </w:pPr>
    <w:rPr>
      <w:rFonts w:ascii="黑体" w:hAnsi="宋体" w:eastAsia="黑体" w:cs="宋体"/>
      <w:b w:val="0"/>
      <w:color w:val="000000"/>
      <w:kern w:val="28"/>
      <w:sz w:val="32"/>
      <w:szCs w:val="32"/>
    </w:rPr>
  </w:style>
  <w:style w:type="character" w:customStyle="1" w:styleId="965">
    <w:name w:val="样式 (中文) 楷体_GB2312 四号"/>
    <w:qFormat/>
    <w:uiPriority w:val="0"/>
    <w:rPr>
      <w:rFonts w:eastAsia="仿宋_GB2312"/>
      <w:kern w:val="28"/>
      <w:sz w:val="28"/>
      <w:szCs w:val="28"/>
    </w:rPr>
  </w:style>
  <w:style w:type="paragraph" w:customStyle="1" w:styleId="966">
    <w:name w:val="样式 标题 2 + 字距调整四号"/>
    <w:basedOn w:val="3"/>
    <w:qFormat/>
    <w:uiPriority w:val="0"/>
    <w:pPr>
      <w:widowControl/>
      <w:numPr>
        <w:ilvl w:val="0"/>
        <w:numId w:val="0"/>
      </w:numPr>
      <w:tabs>
        <w:tab w:val="clear" w:pos="480"/>
        <w:tab w:val="clear" w:pos="630"/>
      </w:tabs>
      <w:spacing w:before="20" w:after="20" w:line="240" w:lineRule="auto"/>
      <w:ind w:left="560" w:leftChars="200"/>
      <w:jc w:val="center"/>
    </w:pPr>
    <w:rPr>
      <w:rFonts w:hAnsi="宋体" w:eastAsia="华文中宋" w:cs="宋体"/>
      <w:iCs/>
      <w:color w:val="000000"/>
      <w:kern w:val="28"/>
      <w:sz w:val="24"/>
      <w:szCs w:val="28"/>
    </w:rPr>
  </w:style>
  <w:style w:type="paragraph" w:customStyle="1" w:styleId="967">
    <w:name w:val="样式 标题 3 + 字距调整四号"/>
    <w:basedOn w:val="4"/>
    <w:qFormat/>
    <w:uiPriority w:val="0"/>
    <w:pPr>
      <w:widowControl/>
      <w:numPr>
        <w:ilvl w:val="0"/>
        <w:numId w:val="0"/>
      </w:numPr>
      <w:tabs>
        <w:tab w:val="clear" w:pos="480"/>
        <w:tab w:val="clear" w:pos="840"/>
      </w:tabs>
      <w:spacing w:before="0" w:after="0" w:line="560" w:lineRule="exact"/>
      <w:ind w:left="980" w:hanging="980" w:hangingChars="350"/>
      <w:jc w:val="left"/>
    </w:pPr>
    <w:rPr>
      <w:rFonts w:ascii="宋体" w:hAnsi="宋体" w:cs="宋体"/>
      <w:color w:val="FF0000"/>
      <w:kern w:val="28"/>
      <w:sz w:val="24"/>
      <w:szCs w:val="30"/>
    </w:rPr>
  </w:style>
  <w:style w:type="paragraph" w:customStyle="1" w:styleId="968">
    <w:name w:val="样式 AA正文首行缩进 2 + 首行缩进:  2 字符 Char Char Char Char Char Char Char Char Char Char"/>
    <w:basedOn w:val="1"/>
    <w:qFormat/>
    <w:uiPriority w:val="0"/>
    <w:pPr>
      <w:widowControl/>
      <w:tabs>
        <w:tab w:val="clear" w:pos="480"/>
      </w:tabs>
      <w:spacing w:after="120" w:line="240" w:lineRule="auto"/>
      <w:ind w:firstLine="560"/>
      <w:jc w:val="left"/>
    </w:pPr>
    <w:rPr>
      <w:rFonts w:ascii="Arial" w:hAnsi="Arial" w:cs="宋体"/>
      <w:spacing w:val="2"/>
      <w:kern w:val="0"/>
      <w:szCs w:val="28"/>
    </w:rPr>
  </w:style>
  <w:style w:type="character" w:customStyle="1" w:styleId="969">
    <w:name w:val="正文1234"/>
    <w:qFormat/>
    <w:uiPriority w:val="0"/>
    <w:rPr>
      <w:sz w:val="28"/>
    </w:rPr>
  </w:style>
  <w:style w:type="paragraph" w:customStyle="1" w:styleId="970">
    <w:name w:val="图表名"/>
    <w:basedOn w:val="1"/>
    <w:next w:val="1"/>
    <w:qFormat/>
    <w:uiPriority w:val="0"/>
    <w:pPr>
      <w:widowControl/>
      <w:tabs>
        <w:tab w:val="clear" w:pos="480"/>
      </w:tabs>
      <w:spacing w:beforeLines="50" w:line="300" w:lineRule="auto"/>
      <w:jc w:val="center"/>
    </w:pPr>
    <w:rPr>
      <w:rFonts w:ascii="黑体" w:hAnsi="宋体" w:eastAsia="黑体" w:cs="宋体"/>
      <w:color w:val="000000"/>
      <w:kern w:val="0"/>
    </w:rPr>
  </w:style>
  <w:style w:type="paragraph" w:customStyle="1" w:styleId="971">
    <w:name w:val="制表时的表文样式"/>
    <w:basedOn w:val="3"/>
    <w:qFormat/>
    <w:uiPriority w:val="0"/>
    <w:pPr>
      <w:keepNext w:val="0"/>
      <w:keepLines w:val="0"/>
      <w:widowControl/>
      <w:numPr>
        <w:ilvl w:val="0"/>
        <w:numId w:val="0"/>
      </w:numPr>
      <w:tabs>
        <w:tab w:val="clear" w:pos="480"/>
        <w:tab w:val="clear" w:pos="630"/>
      </w:tabs>
      <w:autoSpaceDE w:val="0"/>
      <w:autoSpaceDN w:val="0"/>
      <w:spacing w:before="0" w:after="0" w:line="240" w:lineRule="atLeast"/>
      <w:jc w:val="center"/>
      <w:outlineLvl w:val="9"/>
    </w:pPr>
    <w:rPr>
      <w:rFonts w:ascii="宋体" w:hAnsi="宋体" w:cs="宋体"/>
      <w:b w:val="0"/>
      <w:iCs/>
      <w:kern w:val="0"/>
      <w:sz w:val="21"/>
      <w:szCs w:val="21"/>
    </w:rPr>
  </w:style>
  <w:style w:type="paragraph" w:customStyle="1" w:styleId="972">
    <w:name w:val="样式2图名"/>
    <w:basedOn w:val="1"/>
    <w:qFormat/>
    <w:uiPriority w:val="0"/>
    <w:pPr>
      <w:widowControl/>
      <w:tabs>
        <w:tab w:val="clear" w:pos="480"/>
      </w:tabs>
      <w:jc w:val="center"/>
    </w:pPr>
    <w:rPr>
      <w:rFonts w:ascii="黑体" w:hAnsi="宋体" w:eastAsia="黑体" w:cs="宋体"/>
      <w:kern w:val="0"/>
      <w:sz w:val="21"/>
    </w:rPr>
  </w:style>
  <w:style w:type="paragraph" w:customStyle="1" w:styleId="973">
    <w:name w:val="标题   4"/>
    <w:basedOn w:val="4"/>
    <w:semiHidden/>
    <w:qFormat/>
    <w:uiPriority w:val="0"/>
    <w:pPr>
      <w:widowControl/>
      <w:numPr>
        <w:ilvl w:val="0"/>
        <w:numId w:val="0"/>
      </w:numPr>
      <w:tabs>
        <w:tab w:val="clear" w:pos="480"/>
        <w:tab w:val="clear" w:pos="840"/>
      </w:tabs>
      <w:spacing w:beforeLines="20" w:afterLines="20" w:line="360" w:lineRule="auto"/>
      <w:ind w:firstLine="614" w:firstLineChars="255"/>
      <w:jc w:val="left"/>
    </w:pPr>
    <w:rPr>
      <w:rFonts w:ascii="宋体" w:hAnsi="宋体" w:eastAsia="宋体" w:cs="宋体"/>
      <w:color w:val="000000"/>
      <w:kern w:val="24"/>
      <w:sz w:val="24"/>
      <w:szCs w:val="24"/>
    </w:rPr>
  </w:style>
  <w:style w:type="paragraph" w:customStyle="1" w:styleId="974">
    <w:name w:val="标题  4"/>
    <w:basedOn w:val="1"/>
    <w:semiHidden/>
    <w:qFormat/>
    <w:uiPriority w:val="0"/>
    <w:pPr>
      <w:widowControl/>
      <w:tabs>
        <w:tab w:val="clear" w:pos="480"/>
      </w:tabs>
      <w:jc w:val="center"/>
    </w:pPr>
    <w:rPr>
      <w:rFonts w:ascii="黑体" w:hAnsi="黑体" w:eastAsia="黑体" w:cs="宋体"/>
      <w:b/>
      <w:kern w:val="0"/>
    </w:rPr>
  </w:style>
  <w:style w:type="paragraph" w:customStyle="1" w:styleId="975">
    <w:name w:val="表名样式"/>
    <w:basedOn w:val="1"/>
    <w:semiHidden/>
    <w:qFormat/>
    <w:uiPriority w:val="0"/>
    <w:pPr>
      <w:widowControl/>
      <w:tabs>
        <w:tab w:val="clear" w:pos="480"/>
      </w:tabs>
      <w:autoSpaceDE w:val="0"/>
      <w:autoSpaceDN w:val="0"/>
      <w:spacing w:before="100" w:line="312" w:lineRule="auto"/>
      <w:jc w:val="center"/>
    </w:pPr>
    <w:rPr>
      <w:rFonts w:ascii="黑体" w:hAnsi="宋体" w:eastAsia="黑体" w:cs="宋体"/>
      <w:kern w:val="0"/>
      <w:sz w:val="21"/>
    </w:rPr>
  </w:style>
  <w:style w:type="paragraph" w:customStyle="1" w:styleId="976">
    <w:name w:val="图名样式"/>
    <w:basedOn w:val="1"/>
    <w:qFormat/>
    <w:uiPriority w:val="0"/>
    <w:pPr>
      <w:widowControl/>
      <w:tabs>
        <w:tab w:val="clear" w:pos="480"/>
      </w:tabs>
      <w:jc w:val="center"/>
    </w:pPr>
    <w:rPr>
      <w:rFonts w:ascii="黑体" w:hAnsi="宋体" w:eastAsia="黑体" w:cs="宋体"/>
      <w:kern w:val="0"/>
      <w:sz w:val="21"/>
    </w:rPr>
  </w:style>
  <w:style w:type="paragraph" w:customStyle="1" w:styleId="977">
    <w:name w:val="样式2表名"/>
    <w:basedOn w:val="975"/>
    <w:qFormat/>
    <w:uiPriority w:val="0"/>
    <w:pPr/>
    <w:rPr>
      <w:lang w:val="zh-CN"/>
    </w:rPr>
  </w:style>
  <w:style w:type="paragraph" w:customStyle="1" w:styleId="978">
    <w:name w:val="正文8"/>
    <w:basedOn w:val="1"/>
    <w:qFormat/>
    <w:uiPriority w:val="0"/>
    <w:pPr>
      <w:widowControl/>
      <w:tabs>
        <w:tab w:val="clear" w:pos="480"/>
      </w:tabs>
      <w:spacing w:line="240" w:lineRule="auto"/>
      <w:ind w:firstLine="420"/>
      <w:jc w:val="left"/>
    </w:pPr>
    <w:rPr>
      <w:rFonts w:ascii="楷体_GB2312" w:hAnsi="宋体" w:eastAsia="楷体_GB2312" w:cs="宋体"/>
      <w:kern w:val="0"/>
      <w:sz w:val="21"/>
    </w:rPr>
  </w:style>
  <w:style w:type="paragraph" w:customStyle="1" w:styleId="979">
    <w:name w:val="样式1表名"/>
    <w:basedOn w:val="1"/>
    <w:qFormat/>
    <w:uiPriority w:val="0"/>
    <w:pPr>
      <w:widowControl/>
      <w:tabs>
        <w:tab w:val="clear" w:pos="480"/>
      </w:tabs>
      <w:spacing w:before="120" w:after="120"/>
      <w:jc w:val="center"/>
    </w:pPr>
    <w:rPr>
      <w:rFonts w:ascii="黑体" w:hAnsi="宋体" w:eastAsia="黑体" w:cs="宋体"/>
      <w:kern w:val="0"/>
      <w:sz w:val="21"/>
    </w:rPr>
  </w:style>
  <w:style w:type="paragraph" w:customStyle="1" w:styleId="980">
    <w:name w:val="样式1图名"/>
    <w:basedOn w:val="1"/>
    <w:qFormat/>
    <w:uiPriority w:val="0"/>
    <w:pPr>
      <w:widowControl/>
      <w:tabs>
        <w:tab w:val="clear" w:pos="480"/>
      </w:tabs>
      <w:spacing w:before="120" w:after="120" w:line="240" w:lineRule="auto"/>
      <w:jc w:val="center"/>
    </w:pPr>
    <w:rPr>
      <w:rFonts w:ascii="黑体" w:hAnsi="宋体" w:eastAsia="黑体" w:cs="宋体"/>
      <w:kern w:val="0"/>
      <w:sz w:val="21"/>
    </w:rPr>
  </w:style>
  <w:style w:type="paragraph" w:customStyle="1" w:styleId="981">
    <w:name w:val="样式表名"/>
    <w:basedOn w:val="1"/>
    <w:qFormat/>
    <w:uiPriority w:val="0"/>
    <w:pPr>
      <w:widowControl/>
      <w:tabs>
        <w:tab w:val="clear" w:pos="480"/>
      </w:tabs>
      <w:jc w:val="center"/>
    </w:pPr>
    <w:rPr>
      <w:rFonts w:ascii="黑体" w:hAnsi="宋体" w:eastAsia="黑体" w:cs="宋体"/>
      <w:kern w:val="0"/>
      <w:sz w:val="21"/>
    </w:rPr>
  </w:style>
  <w:style w:type="paragraph" w:customStyle="1" w:styleId="982">
    <w:name w:val="Table text"/>
    <w:basedOn w:val="1"/>
    <w:semiHidden/>
    <w:qFormat/>
    <w:uiPriority w:val="0"/>
    <w:pPr>
      <w:widowControl/>
      <w:tabs>
        <w:tab w:val="clear" w:pos="480"/>
      </w:tabs>
      <w:spacing w:line="240" w:lineRule="auto"/>
      <w:jc w:val="left"/>
    </w:pPr>
    <w:rPr>
      <w:rFonts w:ascii="宋体" w:hAnsi="宋体" w:cs="宋体"/>
      <w:kern w:val="0"/>
      <w:sz w:val="20"/>
      <w:lang w:val="en-GB" w:eastAsia="en-US"/>
    </w:rPr>
  </w:style>
  <w:style w:type="paragraph" w:customStyle="1" w:styleId="983">
    <w:name w:val="Table header"/>
    <w:basedOn w:val="1"/>
    <w:semiHidden/>
    <w:qFormat/>
    <w:uiPriority w:val="0"/>
    <w:pPr>
      <w:keepNext/>
      <w:widowControl/>
      <w:tabs>
        <w:tab w:val="clear" w:pos="480"/>
      </w:tabs>
      <w:spacing w:line="240" w:lineRule="auto"/>
      <w:jc w:val="left"/>
    </w:pPr>
    <w:rPr>
      <w:rFonts w:ascii="宋体" w:hAnsi="宋体" w:cs="宋体"/>
      <w:b/>
      <w:bCs/>
      <w:kern w:val="0"/>
      <w:sz w:val="20"/>
      <w:lang w:val="en-GB" w:eastAsia="en-US"/>
    </w:rPr>
  </w:style>
  <w:style w:type="paragraph" w:customStyle="1" w:styleId="984">
    <w:name w:val="十五（表）"/>
    <w:basedOn w:val="1"/>
    <w:qFormat/>
    <w:uiPriority w:val="0"/>
    <w:pPr>
      <w:widowControl/>
      <w:tabs>
        <w:tab w:val="clear" w:pos="480"/>
      </w:tabs>
      <w:jc w:val="center"/>
    </w:pPr>
    <w:rPr>
      <w:rFonts w:ascii="黑体" w:hAnsi="宋体" w:eastAsia="黑体" w:cs="黑体"/>
      <w:kern w:val="0"/>
      <w:sz w:val="21"/>
      <w:szCs w:val="21"/>
      <w:lang w:val="zh-CN"/>
    </w:rPr>
  </w:style>
  <w:style w:type="paragraph" w:customStyle="1" w:styleId="985">
    <w:name w:val="Body"/>
    <w:semiHidden/>
    <w:qFormat/>
    <w:uiPriority w:val="0"/>
    <w:pPr>
      <w:tabs>
        <w:tab w:val="left" w:pos="-720"/>
      </w:tabs>
      <w:suppressAutoHyphens/>
      <w:spacing w:line="360" w:lineRule="auto"/>
      <w:ind w:firstLine="200" w:firstLineChars="200"/>
      <w:jc w:val="both"/>
    </w:pPr>
    <w:rPr>
      <w:rFonts w:ascii="Helvetica" w:hAnsi="Helvetica" w:eastAsia="宋体" w:cs="Times New Roman"/>
      <w:spacing w:val="-3"/>
      <w:kern w:val="2"/>
      <w:sz w:val="24"/>
      <w:szCs w:val="24"/>
      <w:lang w:val="en-US" w:eastAsia="en-US" w:bidi="ar-SA"/>
    </w:rPr>
  </w:style>
  <w:style w:type="character" w:customStyle="1" w:styleId="986">
    <w:name w:val="标题 1 Char Char Char Char Char Char Char Char Char Char Char"/>
    <w:semiHidden/>
    <w:qFormat/>
    <w:uiPriority w:val="0"/>
    <w:rPr>
      <w:rFonts w:eastAsia="宋体"/>
      <w:kern w:val="2"/>
      <w:sz w:val="28"/>
      <w:szCs w:val="24"/>
      <w:lang w:val="en-US" w:eastAsia="zh-CN" w:bidi="ar-SA"/>
    </w:rPr>
  </w:style>
  <w:style w:type="paragraph" w:customStyle="1" w:styleId="987">
    <w:name w:val="标题  2"/>
    <w:basedOn w:val="3"/>
    <w:semiHidden/>
    <w:qFormat/>
    <w:uiPriority w:val="0"/>
    <w:pPr>
      <w:keepNext w:val="0"/>
      <w:keepLines w:val="0"/>
      <w:widowControl/>
      <w:numPr>
        <w:ilvl w:val="0"/>
        <w:numId w:val="0"/>
      </w:numPr>
      <w:tabs>
        <w:tab w:val="clear" w:pos="480"/>
        <w:tab w:val="clear" w:pos="630"/>
      </w:tabs>
      <w:spacing w:before="0" w:after="0"/>
      <w:jc w:val="left"/>
    </w:pPr>
    <w:rPr>
      <w:rFonts w:ascii="宋体" w:hAnsi="Arial" w:cs="宋体"/>
      <w:bCs w:val="0"/>
      <w:iCs/>
      <w:color w:val="000000"/>
      <w:kern w:val="0"/>
    </w:rPr>
  </w:style>
  <w:style w:type="paragraph" w:customStyle="1" w:styleId="988">
    <w:name w:val="内容1"/>
    <w:basedOn w:val="1"/>
    <w:qFormat/>
    <w:uiPriority w:val="0"/>
    <w:pPr>
      <w:widowControl/>
      <w:tabs>
        <w:tab w:val="clear" w:pos="480"/>
      </w:tabs>
      <w:spacing w:line="240" w:lineRule="auto"/>
      <w:ind w:left="100" w:leftChars="100" w:right="100" w:rightChars="100"/>
      <w:jc w:val="left"/>
    </w:pPr>
    <w:rPr>
      <w:rFonts w:ascii="宋体" w:hAnsi="宋体" w:eastAsia="仿宋_GB2312" w:cs="宋体"/>
      <w:kern w:val="0"/>
    </w:rPr>
  </w:style>
  <w:style w:type="paragraph" w:customStyle="1" w:styleId="989">
    <w:name w:val="标题 2（用）"/>
    <w:basedOn w:val="3"/>
    <w:semiHidden/>
    <w:qFormat/>
    <w:uiPriority w:val="0"/>
    <w:pPr>
      <w:widowControl/>
      <w:numPr>
        <w:ilvl w:val="0"/>
        <w:numId w:val="0"/>
      </w:numPr>
      <w:tabs>
        <w:tab w:val="clear" w:pos="480"/>
        <w:tab w:val="clear" w:pos="630"/>
      </w:tabs>
      <w:adjustRightInd w:val="0"/>
      <w:spacing w:before="50" w:afterLines="25" w:line="240" w:lineRule="auto"/>
      <w:ind w:left="278" w:right="40"/>
      <w:jc w:val="center"/>
    </w:pPr>
    <w:rPr>
      <w:rFonts w:ascii="宋体" w:hAnsi="宋体" w:cs="宋体"/>
      <w:iCs/>
      <w:color w:val="000000"/>
      <w:kern w:val="0"/>
      <w:sz w:val="44"/>
      <w:szCs w:val="44"/>
    </w:rPr>
  </w:style>
  <w:style w:type="character" w:customStyle="1" w:styleId="990">
    <w:name w:val="textlargeheadingspecial1"/>
    <w:semiHidden/>
    <w:qFormat/>
    <w:uiPriority w:val="0"/>
    <w:rPr>
      <w:rFonts w:hint="default" w:ascii="Tahoma" w:hAnsi="Tahoma" w:cs="Tahoma"/>
      <w:b/>
      <w:bCs/>
      <w:color w:val="666666"/>
      <w:sz w:val="24"/>
      <w:szCs w:val="24"/>
      <w:shd w:val="clear" w:color="auto" w:fill="auto"/>
    </w:rPr>
  </w:style>
  <w:style w:type="paragraph" w:customStyle="1" w:styleId="991">
    <w:name w:val="样式 标题 3 + (西文) Times New Roman (中文) 宋体 小四 加粗 两端对齐 段前: 0 磅 ..."/>
    <w:basedOn w:val="4"/>
    <w:qFormat/>
    <w:uiPriority w:val="0"/>
    <w:pPr>
      <w:widowControl/>
      <w:numPr>
        <w:ilvl w:val="0"/>
        <w:numId w:val="0"/>
      </w:numPr>
      <w:tabs>
        <w:tab w:val="clear" w:pos="480"/>
        <w:tab w:val="clear" w:pos="840"/>
      </w:tabs>
      <w:spacing w:before="0" w:after="0" w:line="312" w:lineRule="auto"/>
      <w:ind w:firstLine="472" w:firstLineChars="196"/>
      <w:jc w:val="center"/>
    </w:pPr>
    <w:rPr>
      <w:rFonts w:ascii="宋体" w:hAnsi="宋体" w:eastAsia="黑体" w:cs="宋体"/>
      <w:b w:val="0"/>
      <w:kern w:val="0"/>
      <w:sz w:val="21"/>
      <w:szCs w:val="24"/>
    </w:rPr>
  </w:style>
  <w:style w:type="paragraph" w:customStyle="1" w:styleId="992">
    <w:name w:val="标题 3H3 + 四号"/>
    <w:basedOn w:val="4"/>
    <w:semiHidden/>
    <w:qFormat/>
    <w:uiPriority w:val="0"/>
    <w:pPr>
      <w:widowControl/>
      <w:numPr>
        <w:ilvl w:val="0"/>
        <w:numId w:val="0"/>
      </w:numPr>
      <w:tabs>
        <w:tab w:val="clear" w:pos="480"/>
        <w:tab w:val="clear" w:pos="840"/>
      </w:tabs>
      <w:spacing w:before="260" w:line="415" w:lineRule="auto"/>
      <w:ind w:firstLine="200"/>
      <w:jc w:val="center"/>
    </w:pPr>
    <w:rPr>
      <w:rFonts w:ascii="宋体" w:hAnsi="宋体" w:cs="宋体"/>
      <w:kern w:val="0"/>
      <w:sz w:val="24"/>
      <w:szCs w:val="24"/>
    </w:rPr>
  </w:style>
  <w:style w:type="paragraph" w:customStyle="1" w:styleId="993">
    <w:name w:val="7级(表)"/>
    <w:basedOn w:val="1"/>
    <w:semiHidden/>
    <w:qFormat/>
    <w:uiPriority w:val="0"/>
    <w:pPr>
      <w:widowControl/>
      <w:tabs>
        <w:tab w:val="clear" w:pos="480"/>
      </w:tabs>
      <w:jc w:val="center"/>
    </w:pPr>
    <w:rPr>
      <w:rFonts w:ascii="黑体" w:hAnsi="宋体" w:eastAsia="黑体" w:cs="宋体"/>
      <w:kern w:val="0"/>
      <w:sz w:val="21"/>
    </w:rPr>
  </w:style>
  <w:style w:type="paragraph" w:customStyle="1" w:styleId="994">
    <w:name w:val="6级(图)"/>
    <w:basedOn w:val="1"/>
    <w:semiHidden/>
    <w:qFormat/>
    <w:uiPriority w:val="0"/>
    <w:pPr>
      <w:widowControl/>
      <w:tabs>
        <w:tab w:val="clear" w:pos="480"/>
      </w:tabs>
      <w:jc w:val="center"/>
    </w:pPr>
    <w:rPr>
      <w:rFonts w:ascii="宋体" w:hAnsi="宋体" w:cs="宋体"/>
      <w:kern w:val="0"/>
      <w:sz w:val="21"/>
    </w:rPr>
  </w:style>
  <w:style w:type="paragraph" w:customStyle="1" w:styleId="995">
    <w:name w:val="6级new(图）"/>
    <w:basedOn w:val="1"/>
    <w:semiHidden/>
    <w:qFormat/>
    <w:uiPriority w:val="0"/>
    <w:pPr>
      <w:widowControl/>
      <w:tabs>
        <w:tab w:val="clear" w:pos="480"/>
      </w:tabs>
      <w:ind w:firstLine="420"/>
      <w:jc w:val="center"/>
    </w:pPr>
    <w:rPr>
      <w:rFonts w:ascii="宋体" w:hAnsi="宋体" w:cs="宋体"/>
      <w:kern w:val="0"/>
      <w:sz w:val="21"/>
    </w:rPr>
  </w:style>
  <w:style w:type="paragraph" w:customStyle="1" w:styleId="996">
    <w:name w:val="7new（表）"/>
    <w:basedOn w:val="1"/>
    <w:semiHidden/>
    <w:qFormat/>
    <w:uiPriority w:val="0"/>
    <w:pPr>
      <w:widowControl/>
      <w:tabs>
        <w:tab w:val="clear" w:pos="480"/>
      </w:tabs>
      <w:spacing w:line="240" w:lineRule="auto"/>
      <w:jc w:val="center"/>
    </w:pPr>
    <w:rPr>
      <w:rFonts w:ascii="黑体" w:hAnsi="宋体" w:eastAsia="黑体" w:cs="宋体"/>
      <w:kern w:val="0"/>
      <w:sz w:val="21"/>
    </w:rPr>
  </w:style>
  <w:style w:type="paragraph" w:customStyle="1" w:styleId="997">
    <w:name w:val="汇总1"/>
    <w:basedOn w:val="2"/>
    <w:qFormat/>
    <w:uiPriority w:val="0"/>
    <w:pPr>
      <w:widowControl/>
      <w:numPr>
        <w:numId w:val="0"/>
      </w:numPr>
      <w:tabs>
        <w:tab w:val="clear" w:pos="480"/>
      </w:tabs>
      <w:spacing w:beforeLines="50" w:afterLines="50" w:line="578" w:lineRule="auto"/>
      <w:jc w:val="center"/>
    </w:pPr>
    <w:rPr>
      <w:rFonts w:ascii="宋体" w:hAnsi="宋体" w:eastAsia="宋体" w:cs="宋体"/>
      <w:b w:val="0"/>
      <w:bCs w:val="0"/>
      <w:szCs w:val="36"/>
    </w:rPr>
  </w:style>
  <w:style w:type="paragraph" w:customStyle="1" w:styleId="998">
    <w:name w:val="汇总2"/>
    <w:basedOn w:val="3"/>
    <w:qFormat/>
    <w:uiPriority w:val="0"/>
    <w:pPr>
      <w:keepLines w:val="0"/>
      <w:widowControl/>
      <w:numPr>
        <w:ilvl w:val="0"/>
        <w:numId w:val="0"/>
      </w:numPr>
      <w:tabs>
        <w:tab w:val="clear" w:pos="480"/>
        <w:tab w:val="clear" w:pos="630"/>
      </w:tabs>
      <w:spacing w:before="340" w:after="330" w:line="480" w:lineRule="auto"/>
      <w:jc w:val="center"/>
    </w:pPr>
    <w:rPr>
      <w:rFonts w:ascii="宋体" w:hAnsi="宋体" w:cs="宋体"/>
      <w:iCs/>
      <w:color w:val="000000"/>
      <w:kern w:val="0"/>
      <w:lang w:val="en-GB"/>
    </w:rPr>
  </w:style>
  <w:style w:type="paragraph" w:customStyle="1" w:styleId="999">
    <w:name w:val="汇总2x"/>
    <w:basedOn w:val="1"/>
    <w:qFormat/>
    <w:uiPriority w:val="0"/>
    <w:pPr>
      <w:widowControl/>
      <w:tabs>
        <w:tab w:val="clear" w:pos="480"/>
      </w:tabs>
      <w:spacing w:before="260" w:after="260" w:line="415" w:lineRule="auto"/>
      <w:jc w:val="center"/>
    </w:pPr>
    <w:rPr>
      <w:rFonts w:ascii="宋体" w:hAnsi="宋体" w:cs="宋体"/>
      <w:b/>
      <w:kern w:val="0"/>
      <w:sz w:val="32"/>
      <w:szCs w:val="32"/>
    </w:rPr>
  </w:style>
  <w:style w:type="paragraph" w:customStyle="1" w:styleId="1000">
    <w:name w:val="汇总3"/>
    <w:basedOn w:val="1"/>
    <w:qFormat/>
    <w:uiPriority w:val="0"/>
    <w:pPr>
      <w:widowControl/>
      <w:tabs>
        <w:tab w:val="clear" w:pos="480"/>
      </w:tabs>
      <w:spacing w:before="260" w:after="260"/>
      <w:ind w:firstLine="560"/>
      <w:jc w:val="left"/>
    </w:pPr>
    <w:rPr>
      <w:rFonts w:ascii="仿宋_GB2312" w:hAnsi="宋体" w:eastAsia="仿宋_GB2312" w:cs="宋体"/>
      <w:kern w:val="0"/>
      <w:szCs w:val="28"/>
    </w:rPr>
  </w:style>
  <w:style w:type="paragraph" w:customStyle="1" w:styleId="1001">
    <w:name w:val="汇总4"/>
    <w:basedOn w:val="1"/>
    <w:qFormat/>
    <w:uiPriority w:val="0"/>
    <w:pPr>
      <w:widowControl/>
      <w:tabs>
        <w:tab w:val="clear" w:pos="480"/>
      </w:tabs>
      <w:ind w:firstLine="480"/>
      <w:jc w:val="left"/>
    </w:pPr>
    <w:rPr>
      <w:rFonts w:ascii="黑体" w:hAnsi="宋体" w:eastAsia="黑体" w:cs="宋体"/>
      <w:kern w:val="0"/>
    </w:rPr>
  </w:style>
  <w:style w:type="paragraph" w:customStyle="1" w:styleId="1002">
    <w:name w:val="汇总5"/>
    <w:basedOn w:val="1"/>
    <w:qFormat/>
    <w:uiPriority w:val="0"/>
    <w:pPr>
      <w:widowControl/>
      <w:tabs>
        <w:tab w:val="clear" w:pos="480"/>
      </w:tabs>
      <w:ind w:firstLine="480"/>
      <w:jc w:val="left"/>
    </w:pPr>
    <w:rPr>
      <w:rFonts w:ascii="楷体_GB2312" w:hAnsi="宋体" w:eastAsia="楷体_GB2312" w:cs="宋体"/>
      <w:kern w:val="0"/>
    </w:rPr>
  </w:style>
  <w:style w:type="paragraph" w:customStyle="1" w:styleId="1003">
    <w:name w:val="汇总表"/>
    <w:basedOn w:val="1"/>
    <w:qFormat/>
    <w:uiPriority w:val="0"/>
    <w:pPr>
      <w:widowControl/>
      <w:tabs>
        <w:tab w:val="clear" w:pos="480"/>
      </w:tabs>
      <w:spacing w:line="240" w:lineRule="auto"/>
      <w:jc w:val="center"/>
    </w:pPr>
    <w:rPr>
      <w:rFonts w:ascii="黑体" w:hAnsi="宋体" w:eastAsia="黑体" w:cs="宋体"/>
      <w:kern w:val="0"/>
      <w:sz w:val="21"/>
    </w:rPr>
  </w:style>
  <w:style w:type="paragraph" w:customStyle="1" w:styleId="1004">
    <w:name w:val="汇总图"/>
    <w:basedOn w:val="21"/>
    <w:qFormat/>
    <w:uiPriority w:val="0"/>
    <w:pPr>
      <w:keepNext/>
      <w:adjustRightInd/>
      <w:snapToGrid/>
      <w:spacing w:before="0" w:after="0" w:line="240" w:lineRule="auto"/>
      <w:ind w:firstLine="0" w:firstLineChars="0"/>
    </w:pPr>
    <w:rPr>
      <w:rFonts w:ascii="宋体" w:hAnsi="宋体" w:cs="宋体"/>
      <w:bCs/>
      <w:color w:val="auto"/>
      <w:kern w:val="0"/>
      <w:sz w:val="21"/>
      <w:szCs w:val="21"/>
      <w:lang w:val="en-GB"/>
    </w:rPr>
  </w:style>
  <w:style w:type="paragraph" w:customStyle="1" w:styleId="1005">
    <w:name w:val="汇总1x"/>
    <w:basedOn w:val="997"/>
    <w:qFormat/>
    <w:uiPriority w:val="0"/>
    <w:pPr/>
    <w:rPr>
      <w:rFonts w:ascii="黑体" w:eastAsia="黑体"/>
    </w:rPr>
  </w:style>
  <w:style w:type="paragraph" w:customStyle="1" w:styleId="1006">
    <w:name w:val="JLKC3标题1"/>
    <w:basedOn w:val="1"/>
    <w:semiHidden/>
    <w:qFormat/>
    <w:uiPriority w:val="0"/>
    <w:pPr>
      <w:widowControl/>
      <w:tabs>
        <w:tab w:val="clear" w:pos="480"/>
      </w:tabs>
      <w:ind w:firstLine="601"/>
      <w:jc w:val="left"/>
    </w:pPr>
    <w:rPr>
      <w:rFonts w:ascii="宋体" w:hAnsi="宋体" w:cs="宋体"/>
      <w:b/>
      <w:kern w:val="0"/>
      <w:szCs w:val="28"/>
    </w:rPr>
  </w:style>
  <w:style w:type="paragraph" w:customStyle="1" w:styleId="1007">
    <w:name w:val="JLKC3标题2"/>
    <w:basedOn w:val="1"/>
    <w:semiHidden/>
    <w:qFormat/>
    <w:uiPriority w:val="0"/>
    <w:pPr>
      <w:widowControl/>
      <w:tabs>
        <w:tab w:val="clear" w:pos="480"/>
      </w:tabs>
      <w:spacing w:line="348" w:lineRule="auto"/>
      <w:ind w:firstLine="500"/>
      <w:jc w:val="left"/>
    </w:pPr>
    <w:rPr>
      <w:rFonts w:ascii="宋体" w:hAnsi="宋体" w:cs="宋体"/>
      <w:b/>
      <w:kern w:val="0"/>
    </w:rPr>
  </w:style>
  <w:style w:type="paragraph" w:customStyle="1" w:styleId="1008">
    <w:name w:val="样式 标题 1 + 行距: 1.5 倍行距"/>
    <w:basedOn w:val="2"/>
    <w:qFormat/>
    <w:uiPriority w:val="0"/>
    <w:pPr>
      <w:widowControl/>
      <w:numPr>
        <w:numId w:val="0"/>
      </w:numPr>
      <w:tabs>
        <w:tab w:val="clear" w:pos="480"/>
      </w:tabs>
      <w:spacing w:beforeLines="50" w:afterLines="50" w:line="480" w:lineRule="auto"/>
      <w:jc w:val="left"/>
    </w:pPr>
    <w:rPr>
      <w:rFonts w:ascii="Times New Roman" w:hAnsi="宋体" w:eastAsia="宋体" w:cs="宋体"/>
      <w:b w:val="0"/>
      <w:sz w:val="24"/>
      <w:szCs w:val="24"/>
    </w:rPr>
  </w:style>
  <w:style w:type="paragraph" w:customStyle="1" w:styleId="1009">
    <w:name w:val="YTK标题1"/>
    <w:basedOn w:val="1"/>
    <w:semiHidden/>
    <w:qFormat/>
    <w:uiPriority w:val="0"/>
    <w:pPr>
      <w:widowControl/>
      <w:tabs>
        <w:tab w:val="clear" w:pos="480"/>
      </w:tabs>
      <w:spacing w:line="240" w:lineRule="auto"/>
      <w:jc w:val="left"/>
    </w:pPr>
    <w:rPr>
      <w:rFonts w:ascii="宋体" w:hAnsi="宋体" w:cs="宋体"/>
      <w:b/>
      <w:color w:val="000000"/>
      <w:kern w:val="0"/>
    </w:rPr>
  </w:style>
  <w:style w:type="paragraph" w:customStyle="1" w:styleId="1010">
    <w:name w:val="YTK标题2"/>
    <w:basedOn w:val="1"/>
    <w:semiHidden/>
    <w:qFormat/>
    <w:uiPriority w:val="0"/>
    <w:pPr>
      <w:widowControl/>
      <w:tabs>
        <w:tab w:val="clear" w:pos="480"/>
      </w:tabs>
      <w:jc w:val="left"/>
    </w:pPr>
    <w:rPr>
      <w:rFonts w:ascii="宋体" w:hAnsi="宋体" w:cs="宋体"/>
      <w:b/>
      <w:color w:val="000000"/>
      <w:kern w:val="0"/>
    </w:rPr>
  </w:style>
  <w:style w:type="paragraph" w:customStyle="1" w:styleId="1011">
    <w:name w:val="YTK标题3"/>
    <w:basedOn w:val="1"/>
    <w:semiHidden/>
    <w:qFormat/>
    <w:uiPriority w:val="0"/>
    <w:pPr>
      <w:widowControl/>
      <w:tabs>
        <w:tab w:val="clear" w:pos="480"/>
      </w:tabs>
      <w:jc w:val="left"/>
    </w:pPr>
    <w:rPr>
      <w:rFonts w:ascii="宋体" w:hAnsi="宋体" w:cs="宋体"/>
      <w:b/>
      <w:color w:val="000000"/>
      <w:kern w:val="0"/>
    </w:rPr>
  </w:style>
  <w:style w:type="paragraph" w:customStyle="1" w:styleId="1012">
    <w:name w:val="YTK标题4"/>
    <w:basedOn w:val="1"/>
    <w:semiHidden/>
    <w:qFormat/>
    <w:uiPriority w:val="0"/>
    <w:pPr>
      <w:widowControl/>
      <w:tabs>
        <w:tab w:val="clear" w:pos="480"/>
      </w:tabs>
      <w:jc w:val="left"/>
    </w:pPr>
    <w:rPr>
      <w:rFonts w:ascii="宋体" w:hAnsi="宋体" w:cs="宋体"/>
      <w:b/>
      <w:bCs/>
      <w:color w:val="000000"/>
      <w:kern w:val="0"/>
    </w:rPr>
  </w:style>
  <w:style w:type="paragraph" w:customStyle="1" w:styleId="1013">
    <w:name w:val="YTK标题5"/>
    <w:basedOn w:val="1"/>
    <w:semiHidden/>
    <w:qFormat/>
    <w:uiPriority w:val="0"/>
    <w:pPr>
      <w:widowControl/>
      <w:tabs>
        <w:tab w:val="clear" w:pos="480"/>
      </w:tabs>
      <w:jc w:val="left"/>
    </w:pPr>
    <w:rPr>
      <w:rFonts w:ascii="宋体" w:hAnsi="宋体" w:cs="宋体"/>
      <w:b/>
      <w:color w:val="000000"/>
      <w:kern w:val="0"/>
      <w:szCs w:val="28"/>
      <w:lang w:val="zh-CN"/>
    </w:rPr>
  </w:style>
  <w:style w:type="paragraph" w:customStyle="1" w:styleId="1014">
    <w:name w:val="样式 (西文) 宋体 小四 黑色 段前: 7.8 磅 行距: 1.5 倍行距"/>
    <w:basedOn w:val="1"/>
    <w:qFormat/>
    <w:uiPriority w:val="0"/>
    <w:pPr>
      <w:widowControl/>
      <w:tabs>
        <w:tab w:val="clear" w:pos="480"/>
      </w:tabs>
      <w:spacing w:before="156"/>
      <w:ind w:firstLine="540" w:firstLineChars="225"/>
      <w:jc w:val="left"/>
    </w:pPr>
    <w:rPr>
      <w:rFonts w:ascii="宋体" w:hAnsi="宋体" w:cs="宋体"/>
      <w:color w:val="000000"/>
      <w:kern w:val="0"/>
    </w:rPr>
  </w:style>
  <w:style w:type="paragraph" w:customStyle="1" w:styleId="1015">
    <w:name w:val="样式 标题 2 + 小四"/>
    <w:basedOn w:val="3"/>
    <w:qFormat/>
    <w:uiPriority w:val="0"/>
    <w:pPr>
      <w:widowControl/>
      <w:numPr>
        <w:ilvl w:val="0"/>
        <w:numId w:val="0"/>
      </w:numPr>
      <w:tabs>
        <w:tab w:val="clear" w:pos="480"/>
        <w:tab w:val="clear" w:pos="630"/>
      </w:tabs>
      <w:spacing w:before="0" w:after="0"/>
      <w:jc w:val="left"/>
    </w:pPr>
    <w:rPr>
      <w:rFonts w:hAnsi="宋体" w:cs="宋体"/>
      <w:b w:val="0"/>
      <w:bCs w:val="0"/>
      <w:iCs/>
      <w:kern w:val="0"/>
      <w:sz w:val="30"/>
      <w:szCs w:val="30"/>
    </w:rPr>
  </w:style>
  <w:style w:type="paragraph" w:customStyle="1" w:styleId="1016">
    <w:name w:val="样式 标题 2 + 首行缩进:  0 字符"/>
    <w:basedOn w:val="3"/>
    <w:qFormat/>
    <w:uiPriority w:val="0"/>
    <w:pPr>
      <w:widowControl/>
      <w:numPr>
        <w:ilvl w:val="0"/>
        <w:numId w:val="0"/>
      </w:numPr>
      <w:tabs>
        <w:tab w:val="clear" w:pos="480"/>
        <w:tab w:val="clear" w:pos="630"/>
      </w:tabs>
      <w:spacing w:before="50" w:after="0"/>
      <w:jc w:val="left"/>
    </w:pPr>
    <w:rPr>
      <w:rFonts w:hAnsi="宋体" w:cs="宋体"/>
      <w:bCs w:val="0"/>
      <w:iCs/>
      <w:kern w:val="0"/>
      <w:sz w:val="30"/>
      <w:szCs w:val="24"/>
    </w:rPr>
  </w:style>
  <w:style w:type="paragraph" w:customStyle="1" w:styleId="1017">
    <w:name w:val="样式 样式 标题 2 + 首行缩进:  0 字符 + 段前: 0.5 行"/>
    <w:basedOn w:val="1016"/>
    <w:qFormat/>
    <w:uiPriority w:val="0"/>
    <w:pPr/>
  </w:style>
  <w:style w:type="paragraph" w:customStyle="1" w:styleId="1018">
    <w:name w:val="样式 样式 标题 2 + 首行缩进:  0 字符 + 段前: 0.5 行1"/>
    <w:basedOn w:val="1016"/>
    <w:qFormat/>
    <w:uiPriority w:val="0"/>
    <w:pPr/>
  </w:style>
  <w:style w:type="character" w:customStyle="1" w:styleId="1019">
    <w:name w:val="Char3"/>
    <w:semiHidden/>
    <w:qFormat/>
    <w:uiPriority w:val="0"/>
    <w:rPr>
      <w:rFonts w:eastAsia="宋体"/>
      <w:b/>
      <w:bCs/>
      <w:kern w:val="44"/>
      <w:sz w:val="30"/>
      <w:szCs w:val="44"/>
      <w:lang w:val="en-US" w:eastAsia="zh-CN" w:bidi="ar-SA"/>
    </w:rPr>
  </w:style>
  <w:style w:type="paragraph" w:customStyle="1" w:styleId="1020">
    <w:name w:val="表 名"/>
    <w:basedOn w:val="1"/>
    <w:semiHidden/>
    <w:qFormat/>
    <w:uiPriority w:val="0"/>
    <w:pPr>
      <w:widowControl/>
      <w:tabs>
        <w:tab w:val="clear" w:pos="480"/>
      </w:tabs>
      <w:spacing w:line="240" w:lineRule="auto"/>
      <w:jc w:val="center"/>
    </w:pPr>
    <w:rPr>
      <w:rFonts w:ascii="宋体" w:hAnsi="宋体" w:cs="宋体"/>
      <w:kern w:val="0"/>
    </w:rPr>
  </w:style>
  <w:style w:type="character" w:customStyle="1" w:styleId="1021">
    <w:name w:val="表 名 Char"/>
    <w:semiHidden/>
    <w:qFormat/>
    <w:uiPriority w:val="0"/>
    <w:rPr>
      <w:rFonts w:eastAsia="宋体"/>
      <w:kern w:val="2"/>
      <w:sz w:val="24"/>
      <w:szCs w:val="24"/>
      <w:lang w:val="en-US" w:eastAsia="zh-CN" w:bidi="ar-SA"/>
    </w:rPr>
  </w:style>
  <w:style w:type="character" w:customStyle="1" w:styleId="1022">
    <w:name w:val="图 名 Char"/>
    <w:qFormat/>
    <w:uiPriority w:val="0"/>
    <w:rPr>
      <w:rFonts w:ascii="宋体" w:hAnsi="宋体" w:eastAsia="宋体" w:cs="宋体"/>
      <w:kern w:val="2"/>
      <w:sz w:val="24"/>
      <w:lang w:val="en-US" w:eastAsia="zh-CN" w:bidi="ar-SA"/>
    </w:rPr>
  </w:style>
  <w:style w:type="paragraph" w:customStyle="1" w:styleId="1023">
    <w:name w:val="图 名"/>
    <w:basedOn w:val="1"/>
    <w:qFormat/>
    <w:uiPriority w:val="0"/>
    <w:pPr>
      <w:widowControl/>
      <w:tabs>
        <w:tab w:val="clear" w:pos="480"/>
      </w:tabs>
      <w:ind w:firstLine="640"/>
      <w:jc w:val="center"/>
    </w:pPr>
    <w:rPr>
      <w:rFonts w:ascii="宋体" w:hAnsi="宋体" w:cs="宋体"/>
      <w:kern w:val="0"/>
    </w:rPr>
  </w:style>
  <w:style w:type="paragraph" w:customStyle="1" w:styleId="1024">
    <w:name w:val="样式 标题 2 + 首行缩进:  1.13 厘米"/>
    <w:basedOn w:val="3"/>
    <w:qFormat/>
    <w:uiPriority w:val="0"/>
    <w:pPr>
      <w:widowControl/>
      <w:numPr>
        <w:ilvl w:val="0"/>
        <w:numId w:val="0"/>
      </w:numPr>
      <w:tabs>
        <w:tab w:val="clear" w:pos="480"/>
        <w:tab w:val="clear" w:pos="630"/>
      </w:tabs>
      <w:spacing w:after="260" w:line="415" w:lineRule="auto"/>
      <w:jc w:val="left"/>
    </w:pPr>
    <w:rPr>
      <w:rFonts w:ascii="Arial" w:hAnsi="Arial" w:cs="宋体"/>
      <w:bCs w:val="0"/>
      <w:iCs/>
      <w:kern w:val="0"/>
      <w:szCs w:val="24"/>
    </w:rPr>
  </w:style>
  <w:style w:type="paragraph" w:customStyle="1" w:styleId="1025">
    <w:name w:val="正文-1"/>
    <w:basedOn w:val="1"/>
    <w:qFormat/>
    <w:uiPriority w:val="0"/>
    <w:pPr>
      <w:widowControl/>
      <w:tabs>
        <w:tab w:val="clear" w:pos="480"/>
      </w:tabs>
      <w:ind w:left="1" w:firstLine="539"/>
      <w:jc w:val="left"/>
    </w:pPr>
    <w:rPr>
      <w:rFonts w:ascii="宋体" w:hAnsi="宋体" w:cs="宋体"/>
      <w:color w:val="000000"/>
      <w:kern w:val="0"/>
    </w:rPr>
  </w:style>
  <w:style w:type="paragraph" w:customStyle="1" w:styleId="1026">
    <w:name w:val="样式 标题 1 + 四号 加粗 行距: 1.5 倍行距"/>
    <w:basedOn w:val="2"/>
    <w:qFormat/>
    <w:uiPriority w:val="0"/>
    <w:pPr>
      <w:keepLines w:val="0"/>
      <w:widowControl/>
      <w:numPr>
        <w:numId w:val="0"/>
      </w:numPr>
      <w:tabs>
        <w:tab w:val="left" w:pos="0"/>
        <w:tab w:val="clear" w:pos="480"/>
      </w:tabs>
      <w:spacing w:beforeLines="50" w:afterLines="50" w:line="480" w:lineRule="auto"/>
      <w:jc w:val="left"/>
    </w:pPr>
    <w:rPr>
      <w:rFonts w:ascii="Times New Roman" w:hAnsi="宋体" w:eastAsia="黑体" w:cs="宋体"/>
      <w:b w:val="0"/>
      <w:kern w:val="0"/>
      <w:sz w:val="24"/>
      <w:szCs w:val="28"/>
    </w:rPr>
  </w:style>
  <w:style w:type="paragraph" w:customStyle="1" w:styleId="1027">
    <w:name w:val="样式 标题 1 + 宋体 四号 加粗 黑色 行距: 1.5 倍行距"/>
    <w:basedOn w:val="2"/>
    <w:qFormat/>
    <w:uiPriority w:val="0"/>
    <w:pPr>
      <w:keepLines w:val="0"/>
      <w:widowControl/>
      <w:numPr>
        <w:numId w:val="0"/>
      </w:numPr>
      <w:tabs>
        <w:tab w:val="left" w:pos="0"/>
        <w:tab w:val="clear" w:pos="480"/>
      </w:tabs>
      <w:spacing w:beforeLines="50" w:afterLines="50" w:line="480" w:lineRule="auto"/>
      <w:jc w:val="left"/>
    </w:pPr>
    <w:rPr>
      <w:rFonts w:ascii="Times New Roman" w:hAnsi="宋体" w:eastAsia="黑体" w:cs="宋体"/>
      <w:b w:val="0"/>
      <w:color w:val="000000"/>
      <w:kern w:val="0"/>
      <w:sz w:val="32"/>
      <w:szCs w:val="28"/>
    </w:rPr>
  </w:style>
  <w:style w:type="paragraph" w:customStyle="1" w:styleId="1028">
    <w:name w:val="样式 标题 2 + (符号) 宋体"/>
    <w:basedOn w:val="3"/>
    <w:qFormat/>
    <w:uiPriority w:val="0"/>
    <w:pPr>
      <w:widowControl/>
      <w:numPr>
        <w:ilvl w:val="0"/>
        <w:numId w:val="0"/>
      </w:numPr>
      <w:tabs>
        <w:tab w:val="clear" w:pos="480"/>
        <w:tab w:val="clear" w:pos="630"/>
      </w:tabs>
      <w:spacing w:before="0" w:after="0"/>
      <w:jc w:val="left"/>
    </w:pPr>
    <w:rPr>
      <w:rFonts w:hAnsi="Arial" w:cs="宋体"/>
      <w:iCs/>
      <w:kern w:val="0"/>
      <w:sz w:val="30"/>
      <w:szCs w:val="24"/>
    </w:rPr>
  </w:style>
  <w:style w:type="paragraph" w:customStyle="1" w:styleId="1029">
    <w:name w:val="样式 样式 标题 1 + 四号 加粗 行距: 1.5 倍行距 + 行距: 固定值 20 磅"/>
    <w:basedOn w:val="1026"/>
    <w:qFormat/>
    <w:uiPriority w:val="0"/>
    <w:pPr>
      <w:spacing w:line="400" w:lineRule="exact"/>
    </w:pPr>
    <w:rPr>
      <w:sz w:val="30"/>
      <w:szCs w:val="20"/>
    </w:rPr>
  </w:style>
  <w:style w:type="paragraph" w:customStyle="1" w:styleId="1030">
    <w:name w:val="样式 样式 标题 1 + 四号 加粗 行距: 1.5 倍行距 + 行距: 固定值 21 磅"/>
    <w:basedOn w:val="1026"/>
    <w:qFormat/>
    <w:uiPriority w:val="0"/>
    <w:pPr>
      <w:spacing w:line="420" w:lineRule="exact"/>
    </w:pPr>
    <w:rPr>
      <w:sz w:val="30"/>
      <w:szCs w:val="20"/>
    </w:rPr>
  </w:style>
  <w:style w:type="paragraph" w:customStyle="1" w:styleId="1031">
    <w:name w:val="样式 正文文本缩进 + 首行缩进:  2 字符"/>
    <w:basedOn w:val="34"/>
    <w:qFormat/>
    <w:uiPriority w:val="0"/>
    <w:pPr>
      <w:widowControl/>
      <w:tabs>
        <w:tab w:val="left" w:pos="2448"/>
        <w:tab w:val="clear" w:pos="480"/>
      </w:tabs>
      <w:spacing w:line="240" w:lineRule="auto"/>
      <w:ind w:firstLine="200"/>
      <w:jc w:val="left"/>
    </w:pPr>
    <w:rPr>
      <w:rFonts w:ascii="宋体" w:hAnsi="宋体" w:cs="宋体"/>
      <w:kern w:val="0"/>
      <w:szCs w:val="28"/>
    </w:rPr>
  </w:style>
  <w:style w:type="paragraph" w:customStyle="1" w:styleId="1032">
    <w:name w:val="tz6样式"/>
    <w:basedOn w:val="4"/>
    <w:next w:val="4"/>
    <w:semiHidden/>
    <w:qFormat/>
    <w:uiPriority w:val="0"/>
    <w:pPr>
      <w:widowControl/>
      <w:numPr>
        <w:ilvl w:val="0"/>
        <w:numId w:val="0"/>
      </w:numPr>
      <w:tabs>
        <w:tab w:val="left" w:pos="0"/>
        <w:tab w:val="clear" w:pos="480"/>
        <w:tab w:val="clear" w:pos="840"/>
      </w:tabs>
      <w:spacing w:before="0" w:after="0" w:line="360" w:lineRule="auto"/>
      <w:ind w:firstLine="549" w:firstLineChars="196"/>
      <w:jc w:val="left"/>
    </w:pPr>
    <w:rPr>
      <w:rFonts w:ascii="黑体" w:hAnsi="宋体" w:eastAsia="黑体" w:cs="宋体"/>
      <w:bCs w:val="0"/>
      <w:color w:val="000000"/>
      <w:kern w:val="0"/>
      <w:sz w:val="24"/>
      <w:szCs w:val="28"/>
    </w:rPr>
  </w:style>
  <w:style w:type="paragraph" w:customStyle="1" w:styleId="1033">
    <w:name w:val="A标题2"/>
    <w:basedOn w:val="4"/>
    <w:next w:val="1"/>
    <w:semiHidden/>
    <w:qFormat/>
    <w:uiPriority w:val="0"/>
    <w:pPr>
      <w:widowControl/>
      <w:numPr>
        <w:ilvl w:val="0"/>
        <w:numId w:val="0"/>
      </w:numPr>
      <w:tabs>
        <w:tab w:val="clear" w:pos="480"/>
        <w:tab w:val="clear" w:pos="840"/>
      </w:tabs>
      <w:spacing w:before="0" w:after="0" w:line="360" w:lineRule="auto"/>
      <w:ind w:left="-17" w:leftChars="-8" w:firstLine="1" w:firstLineChars="196"/>
      <w:jc w:val="left"/>
    </w:pPr>
    <w:rPr>
      <w:rFonts w:ascii="黑体" w:hAnsi="宋体" w:eastAsia="黑体" w:cs="宋体"/>
      <w:b w:val="0"/>
      <w:bCs w:val="0"/>
      <w:color w:val="000000"/>
      <w:kern w:val="44"/>
      <w:sz w:val="24"/>
      <w:szCs w:val="28"/>
    </w:rPr>
  </w:style>
  <w:style w:type="paragraph" w:customStyle="1" w:styleId="1034">
    <w:name w:val="A标题1"/>
    <w:basedOn w:val="2"/>
    <w:semiHidden/>
    <w:qFormat/>
    <w:uiPriority w:val="0"/>
    <w:pPr>
      <w:widowControl/>
      <w:numPr>
        <w:numId w:val="0"/>
      </w:numPr>
      <w:tabs>
        <w:tab w:val="clear" w:pos="480"/>
      </w:tabs>
      <w:spacing w:beforeLines="50" w:afterLines="50" w:line="480" w:lineRule="auto"/>
      <w:jc w:val="left"/>
    </w:pPr>
    <w:rPr>
      <w:rFonts w:ascii="黑体" w:hAnsi="宋体" w:eastAsia="黑体" w:cs="宋体"/>
      <w:bCs w:val="0"/>
      <w:color w:val="000000"/>
      <w:sz w:val="32"/>
      <w:szCs w:val="32"/>
    </w:rPr>
  </w:style>
  <w:style w:type="paragraph" w:customStyle="1" w:styleId="1035">
    <w:name w:val="A1"/>
    <w:basedOn w:val="45"/>
    <w:semiHidden/>
    <w:qFormat/>
    <w:uiPriority w:val="0"/>
    <w:pPr>
      <w:widowControl/>
      <w:spacing w:line="360" w:lineRule="auto"/>
      <w:jc w:val="left"/>
    </w:pPr>
    <w:rPr>
      <w:rFonts w:hAnsi="宋体" w:eastAsia="黑体" w:cs="宋体"/>
      <w:kern w:val="0"/>
      <w:sz w:val="30"/>
      <w:szCs w:val="24"/>
    </w:rPr>
  </w:style>
  <w:style w:type="paragraph" w:customStyle="1" w:styleId="1036">
    <w:name w:val="A标题二级"/>
    <w:basedOn w:val="1"/>
    <w:semiHidden/>
    <w:qFormat/>
    <w:uiPriority w:val="0"/>
    <w:pPr>
      <w:widowControl/>
      <w:tabs>
        <w:tab w:val="clear" w:pos="480"/>
      </w:tabs>
      <w:ind w:left="11" w:hanging="11" w:hangingChars="4"/>
      <w:jc w:val="left"/>
    </w:pPr>
    <w:rPr>
      <w:rFonts w:ascii="宋体" w:hAnsi="宋体" w:cs="宋体"/>
      <w:b/>
      <w:bCs/>
      <w:color w:val="000000"/>
      <w:kern w:val="0"/>
      <w:szCs w:val="28"/>
    </w:rPr>
  </w:style>
  <w:style w:type="paragraph" w:customStyle="1" w:styleId="1037">
    <w:name w:val="A标题三级"/>
    <w:basedOn w:val="1"/>
    <w:semiHidden/>
    <w:qFormat/>
    <w:uiPriority w:val="0"/>
    <w:pPr>
      <w:widowControl/>
      <w:tabs>
        <w:tab w:val="center" w:pos="1300"/>
        <w:tab w:val="clear" w:pos="480"/>
      </w:tabs>
      <w:jc w:val="left"/>
    </w:pPr>
    <w:rPr>
      <w:rFonts w:ascii="宋体" w:hAnsi="宋体" w:cs="宋体"/>
      <w:b/>
      <w:bCs/>
      <w:kern w:val="0"/>
    </w:rPr>
  </w:style>
  <w:style w:type="paragraph" w:customStyle="1" w:styleId="1038">
    <w:name w:val="标题1 + 宋体"/>
    <w:basedOn w:val="185"/>
    <w:semiHidden/>
    <w:qFormat/>
    <w:uiPriority w:val="0"/>
    <w:pPr>
      <w:keepNext/>
      <w:keepLines/>
      <w:widowControl/>
      <w:adjustRightInd/>
      <w:spacing w:before="240" w:line="480" w:lineRule="auto"/>
      <w:ind w:left="0" w:firstLine="0"/>
      <w:textAlignment w:val="auto"/>
      <w:outlineLvl w:val="0"/>
    </w:pPr>
    <w:rPr>
      <w:rFonts w:ascii="宋体" w:hAnsi="宋体" w:cs="宋体"/>
      <w:color w:val="000000"/>
      <w:kern w:val="44"/>
      <w:sz w:val="30"/>
      <w:szCs w:val="30"/>
    </w:rPr>
  </w:style>
  <w:style w:type="paragraph" w:customStyle="1" w:styleId="1039">
    <w:name w:val="标题3-3"/>
    <w:basedOn w:val="4"/>
    <w:semiHidden/>
    <w:qFormat/>
    <w:uiPriority w:val="0"/>
    <w:pPr>
      <w:widowControl/>
      <w:numPr>
        <w:ilvl w:val="0"/>
        <w:numId w:val="0"/>
      </w:numPr>
      <w:tabs>
        <w:tab w:val="clear" w:pos="480"/>
        <w:tab w:val="clear" w:pos="840"/>
      </w:tabs>
      <w:spacing w:after="120" w:line="400" w:lineRule="exact"/>
      <w:ind w:firstLine="549" w:firstLineChars="196"/>
      <w:jc w:val="left"/>
    </w:pPr>
    <w:rPr>
      <w:rFonts w:hAnsi="仿宋_GB2312" w:cs="宋体"/>
      <w:color w:val="000000"/>
      <w:kern w:val="0"/>
      <w:sz w:val="24"/>
      <w:szCs w:val="24"/>
    </w:rPr>
  </w:style>
  <w:style w:type="paragraph" w:customStyle="1" w:styleId="1040">
    <w:name w:val="Style Heading 3H3 + Univers 57 Condensed Before:  6 pt After:  6..."/>
    <w:basedOn w:val="4"/>
    <w:semiHidden/>
    <w:qFormat/>
    <w:uiPriority w:val="0"/>
    <w:pPr>
      <w:keepLines w:val="0"/>
      <w:widowControl/>
      <w:numPr>
        <w:numId w:val="0"/>
      </w:numPr>
      <w:tabs>
        <w:tab w:val="left" w:pos="900"/>
        <w:tab w:val="left" w:pos="1080"/>
        <w:tab w:val="clear" w:pos="480"/>
        <w:tab w:val="clear" w:pos="840"/>
      </w:tabs>
      <w:spacing w:after="120" w:line="240" w:lineRule="auto"/>
      <w:ind w:left="851" w:hanging="851"/>
      <w:jc w:val="left"/>
    </w:pPr>
    <w:rPr>
      <w:rFonts w:ascii="Univers 57 Condensed" w:hAnsi="Univers 57 Condensed" w:eastAsia="黑体" w:cs="宋体"/>
      <w:color w:val="000000"/>
      <w:kern w:val="0"/>
      <w:sz w:val="26"/>
      <w:szCs w:val="24"/>
    </w:rPr>
  </w:style>
  <w:style w:type="paragraph" w:customStyle="1" w:styleId="1041">
    <w:name w:val="zhao normal"/>
    <w:basedOn w:val="1"/>
    <w:link w:val="1042"/>
    <w:semiHidden/>
    <w:qFormat/>
    <w:uiPriority w:val="0"/>
    <w:pPr>
      <w:widowControl/>
      <w:tabs>
        <w:tab w:val="clear" w:pos="480"/>
      </w:tabs>
      <w:spacing w:line="240" w:lineRule="auto"/>
      <w:ind w:firstLine="646"/>
      <w:jc w:val="left"/>
    </w:pPr>
    <w:rPr>
      <w:rFonts w:ascii="Univers 57 Condensed" w:hAnsi="Univers 57 Condensed"/>
      <w:kern w:val="0"/>
      <w:lang w:val="zh-CN" w:eastAsia="en-US"/>
    </w:rPr>
  </w:style>
  <w:style w:type="character" w:customStyle="1" w:styleId="1042">
    <w:name w:val="zhao normal Char"/>
    <w:link w:val="1041"/>
    <w:qFormat/>
    <w:uiPriority w:val="0"/>
    <w:rPr>
      <w:rFonts w:ascii="Univers 57 Condensed" w:hAnsi="Univers 57 Condensed" w:eastAsia="宋体"/>
      <w:sz w:val="24"/>
      <w:szCs w:val="24"/>
      <w:lang w:eastAsia="en-US" w:bidi="ar-SA"/>
    </w:rPr>
  </w:style>
  <w:style w:type="character" w:customStyle="1" w:styleId="1043">
    <w:name w:val="样式4 Char"/>
    <w:link w:val="160"/>
    <w:qFormat/>
    <w:uiPriority w:val="0"/>
    <w:rPr>
      <w:rFonts w:eastAsia="宋体"/>
      <w:bCs/>
      <w:snapToGrid w:val="0"/>
      <w:color w:val="000000"/>
      <w:kern w:val="2"/>
      <w:sz w:val="24"/>
      <w:szCs w:val="24"/>
      <w:lang w:val="en-US" w:eastAsia="zh-CN" w:bidi="ar-SA"/>
    </w:rPr>
  </w:style>
  <w:style w:type="paragraph" w:customStyle="1" w:styleId="1044">
    <w:name w:val="表名、图名"/>
    <w:basedOn w:val="1"/>
    <w:link w:val="1045"/>
    <w:semiHidden/>
    <w:qFormat/>
    <w:uiPriority w:val="0"/>
    <w:pPr>
      <w:widowControl/>
      <w:tabs>
        <w:tab w:val="clear" w:pos="480"/>
      </w:tabs>
      <w:jc w:val="center"/>
    </w:pPr>
    <w:rPr>
      <w:rFonts w:ascii="Arial" w:hAnsi="Arial"/>
      <w:color w:val="000000"/>
      <w:spacing w:val="4"/>
      <w:kern w:val="0"/>
      <w:sz w:val="20"/>
      <w:szCs w:val="21"/>
      <w:lang w:val="zh-CN"/>
    </w:rPr>
  </w:style>
  <w:style w:type="character" w:customStyle="1" w:styleId="1045">
    <w:name w:val="表名、图名 Char"/>
    <w:link w:val="1044"/>
    <w:qFormat/>
    <w:uiPriority w:val="0"/>
    <w:rPr>
      <w:rFonts w:ascii="Arial" w:hAnsi="Arial" w:eastAsia="宋体"/>
      <w:color w:val="000000"/>
      <w:spacing w:val="4"/>
      <w:szCs w:val="21"/>
      <w:lang w:bidi="ar-SA"/>
    </w:rPr>
  </w:style>
  <w:style w:type="paragraph" w:customStyle="1" w:styleId="1046">
    <w:name w:val="样式 标题 3三级标题标题 3ll标题 3 Char Char三级标题 3 + 首行缩进:  2 字符"/>
    <w:basedOn w:val="4"/>
    <w:qFormat/>
    <w:uiPriority w:val="0"/>
    <w:pPr>
      <w:widowControl/>
      <w:numPr>
        <w:ilvl w:val="0"/>
        <w:numId w:val="0"/>
      </w:numPr>
      <w:tabs>
        <w:tab w:val="clear" w:pos="480"/>
        <w:tab w:val="clear" w:pos="840"/>
      </w:tabs>
      <w:spacing w:before="260" w:line="360" w:lineRule="auto"/>
      <w:jc w:val="center"/>
    </w:pPr>
    <w:rPr>
      <w:rFonts w:ascii="黑体" w:hAnsi="宋体" w:eastAsia="黑体" w:cs="宋体"/>
      <w:b w:val="0"/>
      <w:kern w:val="0"/>
      <w:sz w:val="24"/>
      <w:szCs w:val="28"/>
    </w:rPr>
  </w:style>
  <w:style w:type="paragraph" w:customStyle="1" w:styleId="1047">
    <w:name w:val="油藏描述正文 宋体 小四"/>
    <w:basedOn w:val="1"/>
    <w:qFormat/>
    <w:uiPriority w:val="0"/>
    <w:pPr>
      <w:widowControl/>
      <w:tabs>
        <w:tab w:val="clear" w:pos="480"/>
      </w:tabs>
      <w:ind w:firstLine="482"/>
      <w:jc w:val="left"/>
    </w:pPr>
    <w:rPr>
      <w:rFonts w:ascii="宋体" w:hAnsi="宋体" w:cs="宋体"/>
      <w:color w:val="000000"/>
      <w:kern w:val="0"/>
    </w:rPr>
  </w:style>
  <w:style w:type="paragraph" w:customStyle="1" w:styleId="1048">
    <w:name w:val="论文正文（首行缩进）"/>
    <w:basedOn w:val="34"/>
    <w:qFormat/>
    <w:uiPriority w:val="0"/>
    <w:pPr>
      <w:widowControl/>
      <w:tabs>
        <w:tab w:val="clear" w:pos="480"/>
      </w:tabs>
      <w:adjustRightInd w:val="0"/>
      <w:spacing w:line="300" w:lineRule="auto"/>
      <w:jc w:val="left"/>
    </w:pPr>
    <w:rPr>
      <w:rFonts w:ascii="宋体" w:hAnsi="宋体" w:cs="宋体"/>
      <w:kern w:val="0"/>
      <w:szCs w:val="18"/>
    </w:rPr>
  </w:style>
  <w:style w:type="paragraph" w:customStyle="1" w:styleId="1049">
    <w:name w:val="论文－表五"/>
    <w:basedOn w:val="1"/>
    <w:qFormat/>
    <w:uiPriority w:val="0"/>
    <w:pPr>
      <w:widowControl/>
      <w:tabs>
        <w:tab w:val="clear" w:pos="480"/>
      </w:tabs>
      <w:spacing w:line="240" w:lineRule="auto"/>
      <w:jc w:val="center"/>
    </w:pPr>
    <w:rPr>
      <w:rFonts w:ascii="宋体" w:hAnsi="宋体" w:cs="宋体"/>
      <w:kern w:val="0"/>
      <w:sz w:val="21"/>
    </w:rPr>
  </w:style>
  <w:style w:type="paragraph" w:customStyle="1" w:styleId="1050">
    <w:name w:val="AA三级"/>
    <w:basedOn w:val="20"/>
    <w:semiHidden/>
    <w:qFormat/>
    <w:uiPriority w:val="0"/>
    <w:pPr>
      <w:widowControl/>
      <w:tabs>
        <w:tab w:val="clear" w:pos="480"/>
      </w:tabs>
      <w:ind w:firstLine="0" w:firstLineChars="0"/>
      <w:jc w:val="left"/>
    </w:pPr>
    <w:rPr>
      <w:rFonts w:ascii="宋体" w:hAnsi="宋体" w:cs="宋体"/>
      <w:b/>
      <w:kern w:val="0"/>
      <w:sz w:val="28"/>
      <w:szCs w:val="28"/>
    </w:rPr>
  </w:style>
  <w:style w:type="paragraph" w:customStyle="1" w:styleId="1051">
    <w:name w:val="样式 小四 首行缩进:  0.89 厘米 行距: 1.5 倍行距"/>
    <w:basedOn w:val="1"/>
    <w:qFormat/>
    <w:uiPriority w:val="0"/>
    <w:pPr>
      <w:widowControl/>
      <w:tabs>
        <w:tab w:val="clear" w:pos="480"/>
      </w:tabs>
      <w:ind w:firstLine="482"/>
      <w:jc w:val="left"/>
    </w:pPr>
    <w:rPr>
      <w:rFonts w:ascii="宋体" w:hAnsi="宋体" w:cs="宋体"/>
      <w:kern w:val="0"/>
    </w:rPr>
  </w:style>
  <w:style w:type="character" w:customStyle="1" w:styleId="1052">
    <w:name w:val="标题 2 Char Char Char Char Char Char1"/>
    <w:semiHidden/>
    <w:qFormat/>
    <w:uiPriority w:val="0"/>
    <w:rPr>
      <w:rFonts w:ascii="Arial" w:hAnsi="Arial" w:eastAsia="黑体"/>
      <w:b/>
      <w:bCs/>
      <w:kern w:val="2"/>
      <w:sz w:val="32"/>
      <w:szCs w:val="32"/>
      <w:lang w:val="en-US" w:eastAsia="zh-CN" w:bidi="ar-SA"/>
    </w:rPr>
  </w:style>
  <w:style w:type="character" w:customStyle="1" w:styleId="1053">
    <w:name w:val="正文文字 2 Char1"/>
    <w:qFormat/>
    <w:uiPriority w:val="0"/>
    <w:rPr>
      <w:rFonts w:eastAsia="宋体"/>
      <w:kern w:val="2"/>
      <w:sz w:val="24"/>
      <w:szCs w:val="24"/>
      <w:lang w:val="en-US" w:eastAsia="zh-CN" w:bidi="ar-SA"/>
    </w:rPr>
  </w:style>
  <w:style w:type="character" w:customStyle="1" w:styleId="1054">
    <w:name w:val="正文文字缩进 3 Char1"/>
    <w:qFormat/>
    <w:uiPriority w:val="0"/>
    <w:rPr>
      <w:rFonts w:ascii="宋体" w:eastAsia="宋体"/>
      <w:kern w:val="2"/>
      <w:sz w:val="24"/>
      <w:lang w:val="en-US" w:eastAsia="zh-CN" w:bidi="ar-SA"/>
    </w:rPr>
  </w:style>
  <w:style w:type="character" w:customStyle="1" w:styleId="1055">
    <w:name w:val="bt Char"/>
    <w:semiHidden/>
    <w:qFormat/>
    <w:uiPriority w:val="0"/>
    <w:rPr>
      <w:rFonts w:eastAsia="宋体"/>
      <w:kern w:val="2"/>
      <w:sz w:val="21"/>
      <w:szCs w:val="24"/>
      <w:lang w:val="en-US" w:eastAsia="zh-CN" w:bidi="ar-SA"/>
    </w:rPr>
  </w:style>
  <w:style w:type="paragraph" w:customStyle="1" w:styleId="1056">
    <w:name w:val="样式 样式 标题 4 + 首行缩进:  2 字符 + 首行缩进:  2 字符"/>
    <w:basedOn w:val="1"/>
    <w:qFormat/>
    <w:uiPriority w:val="0"/>
    <w:pPr>
      <w:keepNext/>
      <w:keepLines/>
      <w:widowControl/>
      <w:tabs>
        <w:tab w:val="clear" w:pos="480"/>
      </w:tabs>
      <w:spacing w:before="280" w:after="290" w:line="377" w:lineRule="auto"/>
      <w:jc w:val="left"/>
      <w:outlineLvl w:val="3"/>
    </w:pPr>
    <w:rPr>
      <w:rFonts w:ascii="Arial" w:hAnsi="Arial" w:eastAsia="楷体_GB2312" w:cs="宋体"/>
      <w:kern w:val="0"/>
    </w:rPr>
  </w:style>
  <w:style w:type="character" w:customStyle="1" w:styleId="1057">
    <w:name w:val="p29"/>
    <w:basedOn w:val="133"/>
    <w:semiHidden/>
    <w:qFormat/>
    <w:uiPriority w:val="0"/>
  </w:style>
  <w:style w:type="paragraph" w:customStyle="1" w:styleId="1058">
    <w:name w:val="样式 标题 1 + 字距调整小二"/>
    <w:basedOn w:val="2"/>
    <w:next w:val="1"/>
    <w:qFormat/>
    <w:uiPriority w:val="0"/>
    <w:pPr>
      <w:widowControl/>
      <w:numPr>
        <w:numId w:val="0"/>
      </w:numPr>
      <w:tabs>
        <w:tab w:val="clear" w:pos="480"/>
      </w:tabs>
      <w:spacing w:beforeLines="50" w:afterLines="50" w:line="578" w:lineRule="auto"/>
      <w:jc w:val="left"/>
    </w:pPr>
    <w:rPr>
      <w:rFonts w:ascii="Times New Roman" w:hAnsi="宋体" w:eastAsia="宋体" w:cs="宋体"/>
      <w:kern w:val="36"/>
      <w:sz w:val="32"/>
    </w:rPr>
  </w:style>
  <w:style w:type="paragraph" w:customStyle="1" w:styleId="1059">
    <w:name w:val="样式 标题 2 + 段前: 0.5 行 段后: 0.5 行"/>
    <w:basedOn w:val="3"/>
    <w:qFormat/>
    <w:uiPriority w:val="0"/>
    <w:pPr>
      <w:keepLines w:val="0"/>
      <w:widowControl/>
      <w:numPr>
        <w:ilvl w:val="0"/>
        <w:numId w:val="0"/>
      </w:numPr>
      <w:tabs>
        <w:tab w:val="clear" w:pos="480"/>
        <w:tab w:val="clear" w:pos="630"/>
      </w:tabs>
      <w:spacing w:before="0" w:after="0"/>
      <w:jc w:val="center"/>
    </w:pPr>
    <w:rPr>
      <w:rFonts w:ascii="仿宋体" w:hAnsi="宋体" w:eastAsia="仿宋体" w:cs="宋体"/>
      <w:bCs w:val="0"/>
      <w:iCs/>
      <w:kern w:val="0"/>
      <w:sz w:val="30"/>
      <w:szCs w:val="24"/>
    </w:rPr>
  </w:style>
  <w:style w:type="paragraph" w:customStyle="1" w:styleId="1060">
    <w:name w:val="标题 2 + 段前: 0.5 行 段后: 0.5 行1"/>
    <w:basedOn w:val="3"/>
    <w:semiHidden/>
    <w:qFormat/>
    <w:uiPriority w:val="0"/>
    <w:pPr>
      <w:keepLines w:val="0"/>
      <w:framePr w:wrap="around" w:vAnchor="text" w:hAnchor="text" w:y="1"/>
      <w:widowControl/>
      <w:numPr>
        <w:ilvl w:val="0"/>
        <w:numId w:val="0"/>
      </w:numPr>
      <w:tabs>
        <w:tab w:val="clear" w:pos="480"/>
        <w:tab w:val="clear" w:pos="630"/>
      </w:tabs>
      <w:spacing w:before="0" w:after="0" w:line="240" w:lineRule="auto"/>
      <w:jc w:val="left"/>
    </w:pPr>
    <w:rPr>
      <w:rFonts w:ascii="仿宋体" w:hAnsi="宋体" w:eastAsia="仿宋体" w:cs="宋体"/>
      <w:bCs w:val="0"/>
      <w:iCs/>
      <w:kern w:val="0"/>
      <w:sz w:val="30"/>
      <w:szCs w:val="24"/>
    </w:rPr>
  </w:style>
  <w:style w:type="paragraph" w:customStyle="1" w:styleId="1061">
    <w:name w:val="样式 标题 2 + 段前: 0.5 行 段后: 0.5 行1"/>
    <w:basedOn w:val="3"/>
    <w:qFormat/>
    <w:uiPriority w:val="0"/>
    <w:pPr>
      <w:keepLines w:val="0"/>
      <w:widowControl/>
      <w:numPr>
        <w:ilvl w:val="0"/>
        <w:numId w:val="0"/>
      </w:numPr>
      <w:tabs>
        <w:tab w:val="clear" w:pos="480"/>
        <w:tab w:val="clear" w:pos="630"/>
      </w:tabs>
      <w:spacing w:before="0" w:after="0" w:line="240" w:lineRule="auto"/>
      <w:jc w:val="left"/>
    </w:pPr>
    <w:rPr>
      <w:rFonts w:ascii="仿宋体" w:hAnsi="宋体" w:eastAsia="仿宋体" w:cs="宋体"/>
      <w:bCs w:val="0"/>
      <w:iCs/>
      <w:kern w:val="0"/>
      <w:sz w:val="30"/>
      <w:szCs w:val="24"/>
    </w:rPr>
  </w:style>
  <w:style w:type="paragraph" w:customStyle="1" w:styleId="1062">
    <w:name w:val="样式 标题 3 + 首行缩进:  2 字符 Char Char Char"/>
    <w:basedOn w:val="4"/>
    <w:qFormat/>
    <w:uiPriority w:val="0"/>
    <w:pPr>
      <w:widowControl/>
      <w:numPr>
        <w:ilvl w:val="0"/>
        <w:numId w:val="0"/>
      </w:numPr>
      <w:tabs>
        <w:tab w:val="clear" w:pos="480"/>
        <w:tab w:val="clear" w:pos="840"/>
      </w:tabs>
      <w:spacing w:before="0" w:after="0" w:line="480" w:lineRule="auto"/>
      <w:jc w:val="left"/>
    </w:pPr>
    <w:rPr>
      <w:rFonts w:ascii="宋体" w:hAnsi="宋体" w:eastAsia="宋体" w:cs="宋体"/>
      <w:b w:val="0"/>
      <w:bCs w:val="0"/>
      <w:kern w:val="0"/>
      <w:sz w:val="24"/>
      <w:szCs w:val="24"/>
    </w:rPr>
  </w:style>
  <w:style w:type="character" w:customStyle="1" w:styleId="1063">
    <w:name w:val="样式 标题 3 + 首行缩进:  2 字符 Char Char Char Char"/>
    <w:qFormat/>
    <w:uiPriority w:val="0"/>
    <w:rPr>
      <w:rFonts w:ascii="宋体" w:hAnsi="Arial" w:eastAsia="宋体" w:cs="宋体"/>
      <w:b/>
      <w:i/>
      <w:iCs/>
      <w:kern w:val="2"/>
      <w:sz w:val="28"/>
      <w:szCs w:val="24"/>
      <w:u w:val="dotted"/>
      <w:lang w:val="en-US" w:eastAsia="zh-CN" w:bidi="ar-SA"/>
    </w:rPr>
  </w:style>
  <w:style w:type="paragraph" w:customStyle="1" w:styleId="1064">
    <w:name w:val="样式 标题 2 + 段前: 0.5 行 段后: 0.5 行2"/>
    <w:basedOn w:val="3"/>
    <w:next w:val="1"/>
    <w:qFormat/>
    <w:uiPriority w:val="0"/>
    <w:pPr>
      <w:keepLines w:val="0"/>
      <w:widowControl/>
      <w:numPr>
        <w:ilvl w:val="0"/>
        <w:numId w:val="0"/>
      </w:numPr>
      <w:tabs>
        <w:tab w:val="clear" w:pos="480"/>
        <w:tab w:val="clear" w:pos="630"/>
      </w:tabs>
      <w:spacing w:before="0" w:after="0" w:line="480" w:lineRule="auto"/>
      <w:jc w:val="left"/>
    </w:pPr>
    <w:rPr>
      <w:rFonts w:ascii="仿宋体" w:hAnsi="宋体" w:eastAsia="仿宋体" w:cs="宋体"/>
      <w:bCs w:val="0"/>
      <w:iCs/>
      <w:kern w:val="0"/>
      <w:sz w:val="30"/>
      <w:szCs w:val="24"/>
    </w:rPr>
  </w:style>
  <w:style w:type="paragraph" w:customStyle="1" w:styleId="1065">
    <w:name w:val="样式 标题 1 + 字距调整小二1"/>
    <w:basedOn w:val="2"/>
    <w:next w:val="1"/>
    <w:qFormat/>
    <w:uiPriority w:val="0"/>
    <w:pPr>
      <w:widowControl/>
      <w:numPr>
        <w:numId w:val="0"/>
      </w:numPr>
      <w:tabs>
        <w:tab w:val="clear" w:pos="480"/>
      </w:tabs>
      <w:spacing w:beforeLines="50" w:afterLines="50"/>
      <w:jc w:val="left"/>
    </w:pPr>
    <w:rPr>
      <w:rFonts w:ascii="Times New Roman" w:hAnsi="宋体" w:eastAsia="宋体" w:cs="宋体"/>
      <w:kern w:val="36"/>
      <w:sz w:val="32"/>
    </w:rPr>
  </w:style>
  <w:style w:type="paragraph" w:customStyle="1" w:styleId="1066">
    <w:name w:val="样式 标题 2 + 段前: 0.5 行 段后: 0.5 行3"/>
    <w:basedOn w:val="3"/>
    <w:qFormat/>
    <w:uiPriority w:val="0"/>
    <w:pPr>
      <w:keepLines w:val="0"/>
      <w:widowControl/>
      <w:numPr>
        <w:ilvl w:val="0"/>
        <w:numId w:val="0"/>
      </w:numPr>
      <w:tabs>
        <w:tab w:val="clear" w:pos="480"/>
        <w:tab w:val="clear" w:pos="630"/>
      </w:tabs>
      <w:spacing w:before="0" w:after="0" w:line="240" w:lineRule="auto"/>
      <w:jc w:val="left"/>
    </w:pPr>
    <w:rPr>
      <w:rFonts w:ascii="仿宋体" w:hAnsi="宋体" w:eastAsia="仿宋体" w:cs="宋体"/>
      <w:bCs w:val="0"/>
      <w:iCs/>
      <w:kern w:val="0"/>
      <w:sz w:val="30"/>
      <w:szCs w:val="24"/>
    </w:rPr>
  </w:style>
  <w:style w:type="paragraph" w:customStyle="1" w:styleId="1067">
    <w:name w:val="样式 标题 3 + 首行缩进:  2 字符1"/>
    <w:basedOn w:val="4"/>
    <w:qFormat/>
    <w:uiPriority w:val="0"/>
    <w:pPr>
      <w:widowControl/>
      <w:numPr>
        <w:ilvl w:val="0"/>
        <w:numId w:val="0"/>
      </w:numPr>
      <w:tabs>
        <w:tab w:val="clear" w:pos="480"/>
        <w:tab w:val="clear" w:pos="840"/>
      </w:tabs>
      <w:spacing w:before="0" w:after="0" w:line="300" w:lineRule="auto"/>
      <w:ind w:left="360" w:leftChars="1" w:hanging="358" w:hangingChars="128"/>
      <w:jc w:val="left"/>
    </w:pPr>
    <w:rPr>
      <w:rFonts w:ascii="宋体" w:hAnsi="宋体" w:eastAsia="宋体" w:cs="宋体"/>
      <w:b w:val="0"/>
      <w:bCs w:val="0"/>
      <w:color w:val="FF00FF"/>
      <w:kern w:val="0"/>
      <w:sz w:val="24"/>
      <w:szCs w:val="28"/>
    </w:rPr>
  </w:style>
  <w:style w:type="paragraph" w:customStyle="1" w:styleId="1068">
    <w:name w:val="样式 标题 2 + 段前: 0.5 行 段后: 0.5 行4"/>
    <w:basedOn w:val="3"/>
    <w:qFormat/>
    <w:uiPriority w:val="0"/>
    <w:pPr>
      <w:keepLines w:val="0"/>
      <w:widowControl/>
      <w:numPr>
        <w:ilvl w:val="0"/>
        <w:numId w:val="0"/>
      </w:numPr>
      <w:tabs>
        <w:tab w:val="clear" w:pos="480"/>
        <w:tab w:val="clear" w:pos="630"/>
      </w:tabs>
      <w:spacing w:before="0" w:after="0" w:line="240" w:lineRule="auto"/>
      <w:jc w:val="left"/>
    </w:pPr>
    <w:rPr>
      <w:rFonts w:ascii="仿宋体" w:hAnsi="宋体" w:eastAsia="仿宋体" w:cs="宋体"/>
      <w:bCs w:val="0"/>
      <w:iCs/>
      <w:kern w:val="0"/>
      <w:sz w:val="30"/>
      <w:szCs w:val="24"/>
    </w:rPr>
  </w:style>
  <w:style w:type="paragraph" w:customStyle="1" w:styleId="1069">
    <w:name w:val="样式 标题 2 + 段前: 0.5 行 段后: 0.5 行5"/>
    <w:basedOn w:val="3"/>
    <w:qFormat/>
    <w:uiPriority w:val="0"/>
    <w:pPr>
      <w:keepLines w:val="0"/>
      <w:widowControl/>
      <w:numPr>
        <w:ilvl w:val="0"/>
        <w:numId w:val="0"/>
      </w:numPr>
      <w:tabs>
        <w:tab w:val="clear" w:pos="480"/>
        <w:tab w:val="clear" w:pos="630"/>
      </w:tabs>
      <w:spacing w:before="0" w:after="0" w:line="240" w:lineRule="auto"/>
      <w:jc w:val="left"/>
    </w:pPr>
    <w:rPr>
      <w:rFonts w:ascii="仿宋体" w:hAnsi="宋体" w:eastAsia="仿宋体" w:cs="宋体"/>
      <w:bCs w:val="0"/>
      <w:iCs/>
      <w:kern w:val="0"/>
      <w:sz w:val="30"/>
      <w:szCs w:val="24"/>
    </w:rPr>
  </w:style>
  <w:style w:type="paragraph" w:customStyle="1" w:styleId="1070">
    <w:name w:val="样式 标题 3 + 首行缩进:  2 字符2"/>
    <w:basedOn w:val="4"/>
    <w:qFormat/>
    <w:uiPriority w:val="0"/>
    <w:pPr>
      <w:widowControl/>
      <w:numPr>
        <w:ilvl w:val="0"/>
        <w:numId w:val="0"/>
      </w:numPr>
      <w:tabs>
        <w:tab w:val="clear" w:pos="480"/>
        <w:tab w:val="clear" w:pos="840"/>
      </w:tabs>
      <w:spacing w:before="0" w:after="0" w:line="300" w:lineRule="auto"/>
      <w:ind w:firstLine="200" w:firstLineChars="200"/>
      <w:jc w:val="left"/>
    </w:pPr>
    <w:rPr>
      <w:rFonts w:ascii="宋体" w:hAnsi="宋体" w:eastAsia="宋体" w:cs="宋体"/>
      <w:b w:val="0"/>
      <w:bCs w:val="0"/>
      <w:kern w:val="0"/>
      <w:sz w:val="24"/>
      <w:szCs w:val="24"/>
    </w:rPr>
  </w:style>
  <w:style w:type="character" w:customStyle="1" w:styleId="1071">
    <w:name w:val="样式 宋体 小四 加粗"/>
    <w:qFormat/>
    <w:uiPriority w:val="0"/>
    <w:rPr>
      <w:rFonts w:ascii="宋体" w:hAnsi="宋体"/>
      <w:b/>
      <w:bCs/>
      <w:sz w:val="24"/>
    </w:rPr>
  </w:style>
  <w:style w:type="paragraph" w:customStyle="1" w:styleId="1072">
    <w:name w:val="样式 样式 标题 3 + 首行缩进:  2 字符 + 加粗 Char"/>
    <w:basedOn w:val="1062"/>
    <w:qFormat/>
    <w:uiPriority w:val="0"/>
    <w:pPr/>
    <w:rPr>
      <w:b/>
      <w:bCs/>
    </w:rPr>
  </w:style>
  <w:style w:type="character" w:customStyle="1" w:styleId="1073">
    <w:name w:val="样式 样式 标题 3 + 首行缩进:  2 字符 + 加粗 Char Char"/>
    <w:qFormat/>
    <w:uiPriority w:val="0"/>
    <w:rPr>
      <w:rFonts w:ascii="宋体" w:hAnsi="Arial" w:eastAsia="宋体" w:cs="宋体"/>
      <w:kern w:val="2"/>
      <w:sz w:val="28"/>
      <w:szCs w:val="24"/>
      <w:u w:val="dotted"/>
      <w:lang w:val="en-US" w:eastAsia="zh-CN" w:bidi="ar-SA"/>
    </w:rPr>
  </w:style>
  <w:style w:type="paragraph" w:customStyle="1" w:styleId="1074">
    <w:name w:val="座谈会正文 Char Char Char"/>
    <w:basedOn w:val="1"/>
    <w:qFormat/>
    <w:uiPriority w:val="0"/>
    <w:pPr>
      <w:widowControl/>
      <w:tabs>
        <w:tab w:val="clear" w:pos="480"/>
      </w:tabs>
      <w:ind w:firstLine="538" w:firstLineChars="192"/>
      <w:jc w:val="left"/>
    </w:pPr>
    <w:rPr>
      <w:rFonts w:ascii="楷体_GB2312" w:hAnsi="宋体" w:eastAsia="楷体_GB2312" w:cs="宋体"/>
      <w:kern w:val="0"/>
      <w:szCs w:val="28"/>
    </w:rPr>
  </w:style>
  <w:style w:type="character" w:customStyle="1" w:styleId="1075">
    <w:name w:val="座谈会正文 Char Char Char Char"/>
    <w:qFormat/>
    <w:uiPriority w:val="0"/>
    <w:rPr>
      <w:rFonts w:ascii="楷体_GB2312" w:hAnsi="宋体" w:eastAsia="楷体_GB2312"/>
      <w:kern w:val="2"/>
      <w:sz w:val="28"/>
      <w:szCs w:val="28"/>
      <w:lang w:val="en-US" w:eastAsia="zh-CN" w:bidi="ar-SA"/>
    </w:rPr>
  </w:style>
  <w:style w:type="paragraph" w:customStyle="1" w:styleId="1076">
    <w:name w:val="样式 标题 3 + 首行缩进:  2 字符 Char"/>
    <w:basedOn w:val="4"/>
    <w:qFormat/>
    <w:uiPriority w:val="0"/>
    <w:pPr>
      <w:widowControl/>
      <w:numPr>
        <w:ilvl w:val="0"/>
        <w:numId w:val="0"/>
      </w:numPr>
      <w:tabs>
        <w:tab w:val="clear" w:pos="480"/>
        <w:tab w:val="clear" w:pos="840"/>
      </w:tabs>
      <w:spacing w:before="0" w:after="0" w:line="480" w:lineRule="auto"/>
      <w:jc w:val="left"/>
    </w:pPr>
    <w:rPr>
      <w:rFonts w:ascii="宋体" w:hAnsi="宋体" w:eastAsia="宋体" w:cs="宋体"/>
      <w:b w:val="0"/>
      <w:bCs w:val="0"/>
      <w:kern w:val="0"/>
      <w:sz w:val="24"/>
      <w:szCs w:val="24"/>
    </w:rPr>
  </w:style>
  <w:style w:type="paragraph" w:customStyle="1" w:styleId="1077">
    <w:name w:val="标  题"/>
    <w:basedOn w:val="1"/>
    <w:semiHidden/>
    <w:qFormat/>
    <w:uiPriority w:val="0"/>
    <w:pPr>
      <w:widowControl/>
      <w:tabs>
        <w:tab w:val="clear" w:pos="480"/>
      </w:tabs>
      <w:jc w:val="left"/>
    </w:pPr>
    <w:rPr>
      <w:rFonts w:ascii="黑体" w:hAnsi="宋体" w:eastAsia="黑体" w:cs="宋体"/>
      <w:b/>
      <w:bCs/>
      <w:kern w:val="0"/>
      <w:szCs w:val="28"/>
    </w:rPr>
  </w:style>
  <w:style w:type="paragraph" w:customStyle="1" w:styleId="1078">
    <w:name w:val="Char1 Char Char Char"/>
    <w:basedOn w:val="1"/>
    <w:semiHidden/>
    <w:qFormat/>
    <w:uiPriority w:val="0"/>
    <w:pPr>
      <w:widowControl/>
      <w:tabs>
        <w:tab w:val="clear" w:pos="480"/>
      </w:tabs>
      <w:spacing w:line="240" w:lineRule="auto"/>
      <w:jc w:val="left"/>
    </w:pPr>
    <w:rPr>
      <w:rFonts w:ascii="宋体" w:hAnsi="宋体" w:cs="宋体"/>
      <w:kern w:val="0"/>
      <w:sz w:val="21"/>
    </w:rPr>
  </w:style>
  <w:style w:type="paragraph" w:customStyle="1" w:styleId="1079">
    <w:name w:val="Char1 Char Char Char3"/>
    <w:basedOn w:val="1"/>
    <w:qFormat/>
    <w:uiPriority w:val="0"/>
    <w:pPr>
      <w:widowControl/>
      <w:tabs>
        <w:tab w:val="clear" w:pos="480"/>
      </w:tabs>
      <w:spacing w:after="160" w:line="240" w:lineRule="exact"/>
      <w:jc w:val="left"/>
    </w:pPr>
    <w:rPr>
      <w:rFonts w:ascii="宋体" w:hAnsi="宋体" w:cs="宋体"/>
      <w:b/>
      <w:kern w:val="0"/>
      <w:lang w:eastAsia="en-US"/>
    </w:rPr>
  </w:style>
  <w:style w:type="paragraph" w:customStyle="1" w:styleId="1080">
    <w:name w:val="Style1"/>
    <w:basedOn w:val="3"/>
    <w:semiHidden/>
    <w:qFormat/>
    <w:uiPriority w:val="0"/>
    <w:pPr>
      <w:keepLines w:val="0"/>
      <w:widowControl/>
      <w:numPr>
        <w:ilvl w:val="0"/>
        <w:numId w:val="0"/>
      </w:numPr>
      <w:tabs>
        <w:tab w:val="clear" w:pos="480"/>
        <w:tab w:val="clear" w:pos="630"/>
      </w:tabs>
      <w:spacing w:before="0" w:after="0" w:line="240" w:lineRule="auto"/>
      <w:ind w:firstLine="720"/>
      <w:jc w:val="center"/>
    </w:pPr>
    <w:rPr>
      <w:rFonts w:hAnsi="宋体" w:eastAsia="Times New Roman" w:cs="宋体"/>
      <w:iCs/>
      <w:kern w:val="0"/>
      <w:sz w:val="24"/>
      <w:szCs w:val="24"/>
      <w:lang w:val="ru-RU" w:eastAsia="en-US"/>
    </w:rPr>
  </w:style>
  <w:style w:type="paragraph" w:customStyle="1" w:styleId="1081">
    <w:name w:val="Rev./Mese/ANNO"/>
    <w:basedOn w:val="1"/>
    <w:semiHidden/>
    <w:qFormat/>
    <w:uiPriority w:val="0"/>
    <w:pPr>
      <w:widowControl/>
      <w:tabs>
        <w:tab w:val="clear" w:pos="480"/>
      </w:tabs>
      <w:spacing w:after="200" w:line="240" w:lineRule="auto"/>
      <w:jc w:val="center"/>
    </w:pPr>
    <w:rPr>
      <w:rFonts w:ascii="Arial" w:hAnsi="Arial" w:eastAsia="Times New Roman" w:cs="Arial"/>
      <w:kern w:val="0"/>
      <w:sz w:val="20"/>
      <w:lang w:val="it-IT" w:eastAsia="en-US"/>
    </w:rPr>
  </w:style>
  <w:style w:type="paragraph" w:customStyle="1" w:styleId="1082">
    <w:name w:val="样式 正文缩进 + 宋体"/>
    <w:basedOn w:val="20"/>
    <w:link w:val="1199"/>
    <w:qFormat/>
    <w:uiPriority w:val="0"/>
    <w:pPr>
      <w:widowControl/>
      <w:tabs>
        <w:tab w:val="clear" w:pos="480"/>
      </w:tabs>
      <w:snapToGrid w:val="0"/>
      <w:spacing w:line="300" w:lineRule="auto"/>
      <w:ind w:firstLine="560"/>
      <w:jc w:val="left"/>
    </w:pPr>
    <w:rPr>
      <w:rFonts w:ascii="宋体" w:hAnsi="宋体"/>
      <w:kern w:val="0"/>
      <w:sz w:val="28"/>
      <w:szCs w:val="28"/>
      <w:lang w:val="zh-CN"/>
    </w:rPr>
  </w:style>
  <w:style w:type="character" w:customStyle="1" w:styleId="1083">
    <w:name w:val="Название объекта1"/>
    <w:semiHidden/>
    <w:qFormat/>
    <w:uiPriority w:val="0"/>
    <w:rPr>
      <w:b/>
      <w:bCs/>
      <w:lang w:val="ru-RU" w:eastAsia="ru-RU" w:bidi="ar-SA"/>
    </w:rPr>
  </w:style>
  <w:style w:type="paragraph" w:customStyle="1" w:styleId="1084">
    <w:name w:val="Стиль20-1"/>
    <w:basedOn w:val="1"/>
    <w:semiHidden/>
    <w:qFormat/>
    <w:uiPriority w:val="0"/>
    <w:pPr>
      <w:widowControl/>
      <w:tabs>
        <w:tab w:val="clear" w:pos="480"/>
      </w:tabs>
      <w:ind w:right="-185" w:firstLine="709"/>
      <w:jc w:val="left"/>
    </w:pPr>
    <w:rPr>
      <w:rFonts w:ascii="Arial" w:hAnsi="Arial" w:eastAsia="Times New Roman" w:cs="Arial"/>
      <w:b/>
      <w:i/>
      <w:kern w:val="0"/>
      <w:sz w:val="20"/>
      <w:lang w:val="ru-RU" w:eastAsia="ru-RU"/>
    </w:rPr>
  </w:style>
  <w:style w:type="paragraph" w:customStyle="1" w:styleId="1085">
    <w:name w:val="中文正文"/>
    <w:basedOn w:val="34"/>
    <w:qFormat/>
    <w:uiPriority w:val="0"/>
    <w:pPr>
      <w:widowControl/>
      <w:tabs>
        <w:tab w:val="clear" w:pos="480"/>
      </w:tabs>
      <w:spacing w:line="240" w:lineRule="auto"/>
      <w:ind w:firstLine="420"/>
      <w:jc w:val="left"/>
    </w:pPr>
    <w:rPr>
      <w:rFonts w:ascii="宋体" w:hAnsi="宋体" w:cs="宋体"/>
      <w:kern w:val="0"/>
      <w:sz w:val="21"/>
      <w:lang w:val="ru-RU"/>
    </w:rPr>
  </w:style>
  <w:style w:type="paragraph" w:customStyle="1" w:styleId="1086">
    <w:name w:val="报告文字"/>
    <w:basedOn w:val="1"/>
    <w:semiHidden/>
    <w:qFormat/>
    <w:uiPriority w:val="0"/>
    <w:pPr>
      <w:widowControl/>
      <w:tabs>
        <w:tab w:val="clear" w:pos="480"/>
      </w:tabs>
      <w:spacing w:line="240" w:lineRule="auto"/>
      <w:ind w:firstLine="425"/>
      <w:jc w:val="left"/>
    </w:pPr>
    <w:rPr>
      <w:rFonts w:ascii="宋体" w:hAnsi="宋体" w:cs="宋体"/>
      <w:kern w:val="0"/>
    </w:rPr>
  </w:style>
  <w:style w:type="paragraph" w:customStyle="1" w:styleId="1087">
    <w:name w:val="表格格式"/>
    <w:next w:val="1"/>
    <w:semiHidden/>
    <w:qFormat/>
    <w:uiPriority w:val="0"/>
    <w:pPr>
      <w:adjustRightInd w:val="0"/>
      <w:snapToGrid w:val="0"/>
      <w:spacing w:line="360" w:lineRule="auto"/>
      <w:ind w:firstLine="200" w:firstLineChars="200"/>
      <w:jc w:val="center"/>
    </w:pPr>
    <w:rPr>
      <w:rFonts w:ascii="Times New Roman" w:hAnsi="Times New Roman" w:eastAsia="宋体" w:cs="Times New Roman"/>
      <w:color w:val="000000"/>
      <w:kern w:val="2"/>
      <w:sz w:val="21"/>
      <w:szCs w:val="24"/>
      <w:lang w:val="en-US" w:eastAsia="zh-CN" w:bidi="ar-SA"/>
    </w:rPr>
  </w:style>
  <w:style w:type="paragraph" w:customStyle="1" w:styleId="1088">
    <w:name w:val="标题7"/>
    <w:basedOn w:val="1"/>
    <w:semiHidden/>
    <w:qFormat/>
    <w:uiPriority w:val="0"/>
    <w:pPr>
      <w:widowControl/>
      <w:tabs>
        <w:tab w:val="clear" w:pos="480"/>
      </w:tabs>
      <w:spacing w:line="440" w:lineRule="exact"/>
      <w:ind w:firstLine="473" w:firstLineChars="225"/>
      <w:jc w:val="center"/>
      <w:outlineLvl w:val="6"/>
    </w:pPr>
    <w:rPr>
      <w:rFonts w:ascii="黑体" w:hAnsi="宋体" w:eastAsia="黑体" w:cs="宋体"/>
      <w:kern w:val="0"/>
      <w:sz w:val="21"/>
      <w:szCs w:val="21"/>
      <w:lang w:val="ru-RU"/>
    </w:rPr>
  </w:style>
  <w:style w:type="paragraph" w:customStyle="1" w:styleId="1089">
    <w:name w:val="Char Char Char Char Char Char Char Char Char1 Char Char Char Char Char Char Char"/>
    <w:basedOn w:val="25"/>
    <w:qFormat/>
    <w:uiPriority w:val="0"/>
    <w:pPr>
      <w:widowControl/>
      <w:jc w:val="left"/>
    </w:pPr>
    <w:rPr>
      <w:rFonts w:ascii="Tahoma" w:hAnsi="Tahoma" w:cs="Tahoma"/>
      <w:kern w:val="0"/>
      <w:sz w:val="24"/>
    </w:rPr>
  </w:style>
  <w:style w:type="character" w:customStyle="1" w:styleId="1090">
    <w:name w:val="content1"/>
    <w:semiHidden/>
    <w:qFormat/>
    <w:uiPriority w:val="0"/>
    <w:rPr>
      <w:color w:val="000000"/>
      <w:sz w:val="21"/>
      <w:szCs w:val="21"/>
      <w:u w:val="none"/>
    </w:rPr>
  </w:style>
  <w:style w:type="paragraph" w:customStyle="1" w:styleId="1091">
    <w:name w:val="Char23"/>
    <w:basedOn w:val="1"/>
    <w:next w:val="1"/>
    <w:semiHidden/>
    <w:qFormat/>
    <w:uiPriority w:val="0"/>
    <w:pPr>
      <w:widowControl/>
      <w:tabs>
        <w:tab w:val="left" w:pos="560"/>
        <w:tab w:val="clear" w:pos="480"/>
      </w:tabs>
      <w:autoSpaceDE w:val="0"/>
      <w:autoSpaceDN w:val="0"/>
      <w:adjustRightInd w:val="0"/>
      <w:spacing w:line="240" w:lineRule="auto"/>
      <w:ind w:firstLine="1137" w:firstLineChars="406"/>
      <w:jc w:val="left"/>
    </w:pPr>
    <w:rPr>
      <w:rFonts w:ascii="宋体" w:hAnsi="宋体" w:cs="宋体"/>
      <w:color w:val="000000"/>
      <w:kern w:val="0"/>
      <w:szCs w:val="28"/>
    </w:rPr>
  </w:style>
  <w:style w:type="paragraph" w:customStyle="1" w:styleId="1092">
    <w:name w:val="样式 (西文) Arial 五号 段前: 12 磅 段后: 12 磅"/>
    <w:basedOn w:val="1"/>
    <w:qFormat/>
    <w:uiPriority w:val="0"/>
    <w:pPr>
      <w:widowControl/>
      <w:tabs>
        <w:tab w:val="clear" w:pos="480"/>
      </w:tabs>
      <w:spacing w:before="240" w:after="240" w:line="0" w:lineRule="atLeast"/>
      <w:jc w:val="left"/>
    </w:pPr>
    <w:rPr>
      <w:rFonts w:ascii="Arial" w:hAnsi="Arial" w:eastAsia="楷体_GB2312" w:cs="宋体"/>
      <w:kern w:val="0"/>
      <w:sz w:val="21"/>
      <w:lang w:eastAsia="en-US"/>
    </w:rPr>
  </w:style>
  <w:style w:type="character" w:customStyle="1" w:styleId="1093">
    <w:name w:val="正文 + 四号 Char"/>
    <w:link w:val="231"/>
    <w:qFormat/>
    <w:uiPriority w:val="0"/>
    <w:rPr>
      <w:rFonts w:ascii="宋体" w:hAnsi="宋体" w:eastAsia="宋体"/>
      <w:color w:val="000000"/>
      <w:kern w:val="2"/>
      <w:sz w:val="24"/>
      <w:szCs w:val="24"/>
      <w:lang w:val="en-US" w:eastAsia="zh-CN" w:bidi="ar-SA"/>
    </w:rPr>
  </w:style>
  <w:style w:type="paragraph" w:customStyle="1" w:styleId="1094">
    <w:name w:val="正文he"/>
    <w:basedOn w:val="1"/>
    <w:link w:val="1095"/>
    <w:qFormat/>
    <w:uiPriority w:val="0"/>
    <w:pPr>
      <w:widowControl/>
      <w:tabs>
        <w:tab w:val="clear" w:pos="480"/>
      </w:tabs>
      <w:ind w:firstLine="480"/>
      <w:jc w:val="left"/>
    </w:pPr>
    <w:rPr>
      <w:rFonts w:ascii="宋体" w:hAnsi="宋体"/>
      <w:kern w:val="0"/>
      <w:lang w:val="zh-CN"/>
    </w:rPr>
  </w:style>
  <w:style w:type="character" w:customStyle="1" w:styleId="1095">
    <w:name w:val="正文he Char"/>
    <w:link w:val="1094"/>
    <w:qFormat/>
    <w:uiPriority w:val="0"/>
    <w:rPr>
      <w:rFonts w:ascii="宋体" w:hAnsi="宋体" w:eastAsia="宋体"/>
      <w:sz w:val="24"/>
      <w:szCs w:val="24"/>
      <w:lang w:bidi="ar-SA"/>
    </w:rPr>
  </w:style>
  <w:style w:type="paragraph" w:customStyle="1" w:styleId="1096">
    <w:name w:val="正文51"/>
    <w:basedOn w:val="1"/>
    <w:next w:val="1"/>
    <w:qFormat/>
    <w:uiPriority w:val="0"/>
    <w:pPr>
      <w:widowControl/>
      <w:tabs>
        <w:tab w:val="clear" w:pos="480"/>
      </w:tabs>
      <w:spacing w:before="60" w:after="60" w:line="300" w:lineRule="auto"/>
      <w:ind w:firstLine="482"/>
      <w:jc w:val="left"/>
    </w:pPr>
    <w:rPr>
      <w:rFonts w:ascii="Verdana" w:hAnsi="Verdana" w:cs="宋体"/>
      <w:kern w:val="0"/>
      <w:lang w:val="en-GB" w:eastAsia="en-US"/>
    </w:rPr>
  </w:style>
  <w:style w:type="character" w:customStyle="1" w:styleId="1097">
    <w:name w:val="text-jj"/>
    <w:basedOn w:val="133"/>
    <w:semiHidden/>
    <w:qFormat/>
    <w:uiPriority w:val="0"/>
  </w:style>
  <w:style w:type="character" w:customStyle="1" w:styleId="1098">
    <w:name w:val="msonormal"/>
    <w:basedOn w:val="133"/>
    <w:semiHidden/>
    <w:qFormat/>
    <w:uiPriority w:val="0"/>
  </w:style>
  <w:style w:type="paragraph" w:customStyle="1" w:styleId="1099">
    <w:name w:val="表格题头"/>
    <w:semiHidden/>
    <w:qFormat/>
    <w:uiPriority w:val="0"/>
    <w:pPr>
      <w:widowControl w:val="0"/>
      <w:spacing w:beforeLines="25" w:afterLines="25" w:line="300" w:lineRule="auto"/>
      <w:ind w:firstLine="200" w:firstLineChars="200"/>
      <w:jc w:val="both"/>
    </w:pPr>
    <w:rPr>
      <w:rFonts w:ascii="Times New Roman" w:hAnsi="Times New Roman" w:eastAsia="宋体" w:cs="Times New Roman"/>
      <w:b/>
      <w:kern w:val="2"/>
      <w:sz w:val="24"/>
      <w:szCs w:val="24"/>
      <w:lang w:val="en-US" w:eastAsia="zh-CN" w:bidi="ar-SA"/>
    </w:rPr>
  </w:style>
  <w:style w:type="character" w:customStyle="1" w:styleId="1100">
    <w:name w:val="报告正文 Char1"/>
    <w:semiHidden/>
    <w:qFormat/>
    <w:uiPriority w:val="0"/>
    <w:rPr>
      <w:rFonts w:ascii="宋体" w:hAnsi="宋体" w:eastAsia="宋体" w:cs="宋体"/>
      <w:sz w:val="24"/>
      <w:szCs w:val="24"/>
      <w:lang w:val="en-US" w:eastAsia="zh-CN" w:bidi="ar-SA"/>
    </w:rPr>
  </w:style>
  <w:style w:type="paragraph" w:customStyle="1" w:styleId="1101">
    <w:name w:val="样式 首行缩进:  2 字符2"/>
    <w:basedOn w:val="1"/>
    <w:link w:val="3455"/>
    <w:qFormat/>
    <w:uiPriority w:val="0"/>
    <w:pPr>
      <w:widowControl/>
      <w:tabs>
        <w:tab w:val="clear" w:pos="480"/>
      </w:tabs>
      <w:spacing w:line="300" w:lineRule="auto"/>
      <w:jc w:val="left"/>
    </w:pPr>
    <w:rPr>
      <w:rFonts w:ascii="宋体" w:hAnsi="宋体" w:cs="宋体"/>
      <w:kern w:val="0"/>
      <w:szCs w:val="28"/>
    </w:rPr>
  </w:style>
  <w:style w:type="paragraph" w:customStyle="1" w:styleId="1102">
    <w:name w:val="表后空行"/>
    <w:basedOn w:val="1"/>
    <w:semiHidden/>
    <w:qFormat/>
    <w:uiPriority w:val="0"/>
    <w:pPr>
      <w:widowControl/>
      <w:tabs>
        <w:tab w:val="clear" w:pos="480"/>
      </w:tabs>
      <w:spacing w:line="300" w:lineRule="auto"/>
      <w:jc w:val="left"/>
    </w:pPr>
    <w:rPr>
      <w:rFonts w:ascii="宋体" w:hAnsi="宋体" w:cs="宋体"/>
      <w:kern w:val="0"/>
      <w:sz w:val="15"/>
    </w:rPr>
  </w:style>
  <w:style w:type="paragraph" w:customStyle="1" w:styleId="1103">
    <w:name w:val="章号标题1"/>
    <w:basedOn w:val="1"/>
    <w:qFormat/>
    <w:uiPriority w:val="0"/>
    <w:pPr>
      <w:keepNext/>
      <w:keepLines/>
      <w:widowControl/>
      <w:tabs>
        <w:tab w:val="left" w:pos="0"/>
        <w:tab w:val="left" w:pos="525"/>
        <w:tab w:val="clear" w:pos="480"/>
      </w:tabs>
      <w:adjustRightInd w:val="0"/>
      <w:spacing w:line="240" w:lineRule="auto"/>
      <w:jc w:val="left"/>
      <w:outlineLvl w:val="0"/>
    </w:pPr>
    <w:rPr>
      <w:rFonts w:ascii="黑体" w:hAnsi="宋体" w:eastAsia="黑体" w:cs="宋体"/>
      <w:kern w:val="44"/>
      <w:szCs w:val="28"/>
    </w:rPr>
  </w:style>
  <w:style w:type="paragraph" w:customStyle="1" w:styleId="1104">
    <w:name w:val="节号标题2"/>
    <w:basedOn w:val="3"/>
    <w:qFormat/>
    <w:uiPriority w:val="0"/>
    <w:pPr>
      <w:widowControl/>
      <w:numPr>
        <w:ilvl w:val="0"/>
        <w:numId w:val="0"/>
      </w:numPr>
      <w:tabs>
        <w:tab w:val="left" w:pos="0"/>
        <w:tab w:val="left" w:pos="525"/>
        <w:tab w:val="clear" w:pos="480"/>
        <w:tab w:val="clear" w:pos="630"/>
      </w:tabs>
      <w:adjustRightInd w:val="0"/>
      <w:spacing w:before="0" w:after="0" w:line="240" w:lineRule="auto"/>
      <w:jc w:val="left"/>
    </w:pPr>
    <w:rPr>
      <w:rFonts w:ascii="黑体" w:hAnsi="宋体" w:eastAsia="黑体" w:cs="宋体"/>
      <w:b w:val="0"/>
      <w:bCs w:val="0"/>
      <w:kern w:val="0"/>
      <w:sz w:val="24"/>
      <w:szCs w:val="28"/>
    </w:rPr>
  </w:style>
  <w:style w:type="character" w:customStyle="1" w:styleId="1105">
    <w:name w:val="a3"/>
    <w:basedOn w:val="133"/>
    <w:semiHidden/>
    <w:qFormat/>
    <w:uiPriority w:val="0"/>
  </w:style>
  <w:style w:type="paragraph" w:customStyle="1" w:styleId="1106">
    <w:name w:val="普通文本"/>
    <w:basedOn w:val="1"/>
    <w:qFormat/>
    <w:uiPriority w:val="0"/>
    <w:pPr>
      <w:widowControl/>
      <w:tabs>
        <w:tab w:val="clear" w:pos="480"/>
      </w:tabs>
      <w:overflowPunct w:val="0"/>
      <w:autoSpaceDE w:val="0"/>
      <w:autoSpaceDN w:val="0"/>
      <w:adjustRightInd w:val="0"/>
      <w:spacing w:line="300" w:lineRule="auto"/>
      <w:ind w:left="120" w:leftChars="50" w:right="240" w:rightChars="100" w:firstLine="560"/>
      <w:jc w:val="left"/>
    </w:pPr>
    <w:rPr>
      <w:rFonts w:ascii="仿宋_GB2312" w:hAnsi="宋体" w:eastAsia="仿宋_GB2312" w:cs="宋体"/>
      <w:kern w:val="0"/>
      <w:lang w:val="zh-CN"/>
    </w:rPr>
  </w:style>
  <w:style w:type="paragraph" w:customStyle="1" w:styleId="1107">
    <w:name w:val="Char Char1 Char Char Char Char"/>
    <w:basedOn w:val="1"/>
    <w:semiHidden/>
    <w:qFormat/>
    <w:uiPriority w:val="0"/>
    <w:pPr>
      <w:widowControl/>
      <w:tabs>
        <w:tab w:val="clear" w:pos="480"/>
      </w:tabs>
      <w:spacing w:line="240" w:lineRule="auto"/>
      <w:jc w:val="left"/>
    </w:pPr>
    <w:rPr>
      <w:rFonts w:ascii="宋体" w:hAnsi="宋体" w:cs="宋体"/>
      <w:kern w:val="0"/>
      <w:sz w:val="21"/>
      <w:szCs w:val="21"/>
    </w:rPr>
  </w:style>
  <w:style w:type="paragraph" w:customStyle="1" w:styleId="1108">
    <w:name w:val="表字"/>
    <w:basedOn w:val="1"/>
    <w:qFormat/>
    <w:uiPriority w:val="0"/>
    <w:pPr>
      <w:keepNext/>
      <w:widowControl/>
      <w:tabs>
        <w:tab w:val="clear" w:pos="480"/>
      </w:tabs>
      <w:spacing w:line="360" w:lineRule="exact"/>
      <w:jc w:val="left"/>
    </w:pPr>
    <w:rPr>
      <w:rFonts w:ascii="宋体" w:hAnsi="宋体" w:cs="宋体"/>
      <w:kern w:val="0"/>
      <w:sz w:val="21"/>
    </w:rPr>
  </w:style>
  <w:style w:type="paragraph" w:customStyle="1" w:styleId="1109">
    <w:name w:val="样式 表字 + 居中"/>
    <w:basedOn w:val="1108"/>
    <w:qFormat/>
    <w:uiPriority w:val="0"/>
    <w:pPr>
      <w:jc w:val="center"/>
    </w:pPr>
  </w:style>
  <w:style w:type="paragraph" w:customStyle="1" w:styleId="1110">
    <w:name w:val="Char2 Char Char Char Char Char Char Char Char Char Char Char Char"/>
    <w:basedOn w:val="1"/>
    <w:semiHidden/>
    <w:qFormat/>
    <w:uiPriority w:val="0"/>
    <w:pPr>
      <w:widowControl/>
      <w:tabs>
        <w:tab w:val="clear" w:pos="480"/>
      </w:tabs>
      <w:spacing w:line="240" w:lineRule="auto"/>
      <w:ind w:left="-48"/>
      <w:jc w:val="left"/>
    </w:pPr>
    <w:rPr>
      <w:rFonts w:ascii="宋体" w:hAnsi="宋体" w:cs="宋体"/>
      <w:kern w:val="0"/>
      <w:sz w:val="21"/>
    </w:rPr>
  </w:style>
  <w:style w:type="paragraph" w:customStyle="1" w:styleId="1111">
    <w:name w:val="Char Char Знак Знак"/>
    <w:basedOn w:val="1"/>
    <w:semiHidden/>
    <w:qFormat/>
    <w:uiPriority w:val="0"/>
    <w:pPr>
      <w:widowControl/>
      <w:tabs>
        <w:tab w:val="clear" w:pos="480"/>
      </w:tabs>
      <w:spacing w:after="160" w:line="240" w:lineRule="exact"/>
      <w:jc w:val="left"/>
    </w:pPr>
    <w:rPr>
      <w:rFonts w:ascii="宋体" w:hAnsi="宋体" w:cs="宋体"/>
      <w:b/>
      <w:kern w:val="0"/>
      <w:lang w:eastAsia="en-US"/>
    </w:rPr>
  </w:style>
  <w:style w:type="paragraph" w:customStyle="1" w:styleId="1112">
    <w:name w:val="Char Char Char Char Char Char Char Char Char Char4"/>
    <w:basedOn w:val="1"/>
    <w:semiHidden/>
    <w:qFormat/>
    <w:uiPriority w:val="0"/>
    <w:pPr>
      <w:widowControl/>
      <w:tabs>
        <w:tab w:val="clear" w:pos="480"/>
      </w:tabs>
      <w:spacing w:line="240" w:lineRule="auto"/>
      <w:jc w:val="left"/>
    </w:pPr>
    <w:rPr>
      <w:rFonts w:ascii="宋体" w:hAnsi="宋体" w:cs="宋体"/>
      <w:kern w:val="0"/>
      <w:sz w:val="21"/>
      <w:szCs w:val="21"/>
    </w:rPr>
  </w:style>
  <w:style w:type="character" w:customStyle="1" w:styleId="1113">
    <w:name w:val="tcname"/>
    <w:basedOn w:val="133"/>
    <w:semiHidden/>
    <w:qFormat/>
    <w:uiPriority w:val="0"/>
  </w:style>
  <w:style w:type="character" w:customStyle="1" w:styleId="1114">
    <w:name w:val="mid1"/>
    <w:semiHidden/>
    <w:qFormat/>
    <w:uiPriority w:val="0"/>
    <w:rPr>
      <w:color w:val="415870"/>
      <w:sz w:val="21"/>
      <w:szCs w:val="21"/>
      <w:u w:val="none"/>
    </w:rPr>
  </w:style>
  <w:style w:type="paragraph" w:customStyle="1" w:styleId="1115">
    <w:name w:val="样式 样式 宋体 四号 首行缩进:  0.99 厘米 行距: 多倍行距 1.25 字行 + Times New Roman"/>
    <w:basedOn w:val="1"/>
    <w:qFormat/>
    <w:uiPriority w:val="0"/>
    <w:pPr>
      <w:widowControl/>
      <w:tabs>
        <w:tab w:val="clear" w:pos="480"/>
      </w:tabs>
      <w:adjustRightInd w:val="0"/>
      <w:spacing w:line="300" w:lineRule="auto"/>
      <w:ind w:firstLine="561"/>
      <w:jc w:val="left"/>
    </w:pPr>
    <w:rPr>
      <w:rFonts w:ascii="宋体" w:hAnsi="宋体" w:cs="宋体"/>
      <w:kern w:val="0"/>
      <w:szCs w:val="28"/>
    </w:rPr>
  </w:style>
  <w:style w:type="paragraph" w:customStyle="1" w:styleId="1116">
    <w:name w:val="表格索引"/>
    <w:basedOn w:val="1"/>
    <w:semiHidden/>
    <w:qFormat/>
    <w:uiPriority w:val="0"/>
    <w:pPr>
      <w:widowControl/>
      <w:tabs>
        <w:tab w:val="clear" w:pos="480"/>
      </w:tabs>
      <w:adjustRightInd w:val="0"/>
      <w:spacing w:line="300" w:lineRule="auto"/>
      <w:jc w:val="center"/>
    </w:pPr>
    <w:rPr>
      <w:rFonts w:ascii="黑体" w:hAnsi="宋体" w:eastAsia="黑体" w:cs="宋体"/>
      <w:kern w:val="0"/>
    </w:rPr>
  </w:style>
  <w:style w:type="character" w:customStyle="1" w:styleId="1117">
    <w:name w:val="pg1"/>
    <w:semiHidden/>
    <w:qFormat/>
    <w:uiPriority w:val="0"/>
    <w:rPr>
      <w:color w:val="000000"/>
      <w:sz w:val="18"/>
      <w:szCs w:val="18"/>
    </w:rPr>
  </w:style>
  <w:style w:type="paragraph" w:customStyle="1" w:styleId="1118">
    <w:name w:val="样式 小四 居中 首行缩进:  2 字符"/>
    <w:basedOn w:val="1"/>
    <w:qFormat/>
    <w:uiPriority w:val="0"/>
    <w:pPr>
      <w:widowControl/>
      <w:tabs>
        <w:tab w:val="clear" w:pos="480"/>
      </w:tabs>
      <w:spacing w:line="240" w:lineRule="auto"/>
      <w:ind w:left="560" w:leftChars="200" w:firstLine="480"/>
      <w:jc w:val="center"/>
    </w:pPr>
    <w:rPr>
      <w:rFonts w:ascii="宋体" w:hAnsi="宋体" w:cs="宋体"/>
      <w:kern w:val="0"/>
      <w:sz w:val="21"/>
    </w:rPr>
  </w:style>
  <w:style w:type="paragraph" w:customStyle="1" w:styleId="1119">
    <w:name w:val="样式 样式 标题 2 + 首行缩进:  2 字符 + 首行缩进:  2 字符"/>
    <w:basedOn w:val="264"/>
    <w:qFormat/>
    <w:uiPriority w:val="0"/>
    <w:pPr>
      <w:widowControl/>
      <w:jc w:val="left"/>
    </w:pPr>
    <w:rPr>
      <w:rFonts w:ascii="Times New Roman" w:hAnsi="宋体"/>
      <w:bCs w:val="0"/>
      <w:sz w:val="28"/>
      <w:szCs w:val="28"/>
    </w:rPr>
  </w:style>
  <w:style w:type="paragraph" w:customStyle="1" w:styleId="1120">
    <w:name w:val="样式 样式 标题 3 + 首行缩进:  2 字符 + 首行缩进:  2 字符"/>
    <w:basedOn w:val="264"/>
    <w:qFormat/>
    <w:uiPriority w:val="0"/>
    <w:pPr>
      <w:widowControl/>
      <w:jc w:val="left"/>
    </w:pPr>
    <w:rPr>
      <w:rFonts w:ascii="Times New Roman" w:hAnsi="宋体" w:eastAsia="宋体"/>
      <w:bCs w:val="0"/>
      <w:sz w:val="28"/>
      <w:szCs w:val="28"/>
    </w:rPr>
  </w:style>
  <w:style w:type="paragraph" w:customStyle="1" w:styleId="1121">
    <w:name w:val="样式 样式 标题 2+ 首行缩进:  2 字符 + 首行缩进:  2 字符"/>
    <w:basedOn w:val="3"/>
    <w:qFormat/>
    <w:uiPriority w:val="0"/>
    <w:pPr>
      <w:widowControl/>
      <w:numPr>
        <w:ilvl w:val="0"/>
        <w:numId w:val="0"/>
      </w:numPr>
      <w:tabs>
        <w:tab w:val="clear" w:pos="480"/>
        <w:tab w:val="clear" w:pos="630"/>
      </w:tabs>
      <w:spacing w:before="0" w:after="200" w:line="300" w:lineRule="auto"/>
      <w:jc w:val="left"/>
    </w:pPr>
    <w:rPr>
      <w:rFonts w:hAnsi="宋体" w:cs="宋体"/>
      <w:bCs w:val="0"/>
      <w:kern w:val="0"/>
    </w:rPr>
  </w:style>
  <w:style w:type="paragraph" w:customStyle="1" w:styleId="1122">
    <w:name w:val="样式 样式 标题 3+ 首行缩进:  2 字符 + 首行缩进:  2 字符"/>
    <w:basedOn w:val="4"/>
    <w:next w:val="4"/>
    <w:qFormat/>
    <w:uiPriority w:val="0"/>
    <w:pPr>
      <w:widowControl/>
      <w:numPr>
        <w:ilvl w:val="0"/>
        <w:numId w:val="0"/>
      </w:numPr>
      <w:tabs>
        <w:tab w:val="clear" w:pos="480"/>
        <w:tab w:val="clear" w:pos="840"/>
      </w:tabs>
      <w:adjustRightInd w:val="0"/>
      <w:spacing w:before="0" w:after="0" w:line="300" w:lineRule="auto"/>
      <w:jc w:val="left"/>
    </w:pPr>
    <w:rPr>
      <w:rFonts w:ascii="宋体" w:hAnsi="宋体" w:eastAsia="黑体" w:cs="宋体"/>
      <w:bCs w:val="0"/>
      <w:kern w:val="0"/>
      <w:sz w:val="24"/>
    </w:rPr>
  </w:style>
  <w:style w:type="paragraph" w:customStyle="1" w:styleId="1123">
    <w:name w:val="新标题3"/>
    <w:basedOn w:val="1122"/>
    <w:qFormat/>
    <w:uiPriority w:val="0"/>
    <w:pPr/>
  </w:style>
  <w:style w:type="paragraph" w:customStyle="1" w:styleId="1124">
    <w:name w:val="样式 标题 2 + 首行缩进:  2 字符1"/>
    <w:basedOn w:val="3"/>
    <w:qFormat/>
    <w:uiPriority w:val="0"/>
    <w:pPr>
      <w:widowControl/>
      <w:numPr>
        <w:ilvl w:val="0"/>
        <w:numId w:val="0"/>
      </w:numPr>
      <w:tabs>
        <w:tab w:val="clear" w:pos="480"/>
        <w:tab w:val="clear" w:pos="630"/>
      </w:tabs>
      <w:spacing w:before="120" w:line="300" w:lineRule="auto"/>
      <w:jc w:val="left"/>
    </w:pPr>
    <w:rPr>
      <w:rFonts w:ascii="Arial" w:hAnsi="Arial" w:eastAsia="黑体" w:cs="宋体"/>
      <w:b w:val="0"/>
      <w:kern w:val="0"/>
      <w:sz w:val="24"/>
      <w:szCs w:val="24"/>
    </w:rPr>
  </w:style>
  <w:style w:type="paragraph" w:customStyle="1" w:styleId="1125">
    <w:name w:val="样式 标题 3 + 非加粗 首行缩进:  2 字符"/>
    <w:basedOn w:val="4"/>
    <w:qFormat/>
    <w:uiPriority w:val="0"/>
    <w:pPr>
      <w:widowControl/>
      <w:numPr>
        <w:ilvl w:val="0"/>
        <w:numId w:val="0"/>
      </w:numPr>
      <w:tabs>
        <w:tab w:val="clear" w:pos="480"/>
        <w:tab w:val="clear" w:pos="840"/>
      </w:tabs>
      <w:adjustRightInd w:val="0"/>
      <w:spacing w:before="0" w:after="0" w:line="300" w:lineRule="auto"/>
      <w:jc w:val="left"/>
    </w:pPr>
    <w:rPr>
      <w:rFonts w:ascii="宋体" w:hAnsi="宋体" w:eastAsia="黑体" w:cs="宋体"/>
      <w:bCs w:val="0"/>
      <w:kern w:val="0"/>
      <w:sz w:val="24"/>
      <w:szCs w:val="24"/>
    </w:rPr>
  </w:style>
  <w:style w:type="paragraph" w:customStyle="1" w:styleId="1126">
    <w:name w:val="样式 样式 标题 2 + 首行缩进:  2 字符1 + (西文) Times New Roman (中文) 仿宋_GB2312..."/>
    <w:basedOn w:val="1124"/>
    <w:qFormat/>
    <w:uiPriority w:val="0"/>
    <w:pPr>
      <w:spacing w:line="340" w:lineRule="exact"/>
    </w:pPr>
    <w:rPr>
      <w:rFonts w:ascii="Times New Roman" w:hAnsi="Times New Roman" w:eastAsia="仿宋_GB2312"/>
      <w:bCs w:val="0"/>
      <w:sz w:val="30"/>
    </w:rPr>
  </w:style>
  <w:style w:type="paragraph" w:customStyle="1" w:styleId="1127">
    <w:name w:val="样式 样式 标题 2 + 首行缩进:  2 字符1 + 方正仿宋简体 小三"/>
    <w:basedOn w:val="1124"/>
    <w:qFormat/>
    <w:uiPriority w:val="0"/>
    <w:pPr>
      <w:spacing w:line="340" w:lineRule="exact"/>
    </w:pPr>
    <w:rPr>
      <w:rFonts w:ascii="方正仿宋简体" w:hAnsi="方正仿宋简体" w:eastAsia="方正仿宋简体"/>
      <w:bCs w:val="0"/>
      <w:sz w:val="30"/>
    </w:rPr>
  </w:style>
  <w:style w:type="paragraph" w:customStyle="1" w:styleId="1128">
    <w:name w:val="样式 标题 3标题 3 Char1标题 3 Char Char标题 3 Char + 加粗"/>
    <w:basedOn w:val="4"/>
    <w:qFormat/>
    <w:uiPriority w:val="0"/>
    <w:pPr>
      <w:widowControl/>
      <w:numPr>
        <w:ilvl w:val="0"/>
        <w:numId w:val="0"/>
      </w:numPr>
      <w:tabs>
        <w:tab w:val="clear" w:pos="480"/>
        <w:tab w:val="clear" w:pos="840"/>
      </w:tabs>
      <w:adjustRightInd w:val="0"/>
      <w:spacing w:before="0" w:after="0" w:line="300" w:lineRule="auto"/>
      <w:jc w:val="left"/>
    </w:pPr>
    <w:rPr>
      <w:rFonts w:ascii="宋体" w:hAnsi="宋体" w:eastAsia="黑体" w:cs="宋体"/>
      <w:b w:val="0"/>
      <w:kern w:val="0"/>
      <w:sz w:val="24"/>
    </w:rPr>
  </w:style>
  <w:style w:type="paragraph" w:customStyle="1" w:styleId="1129">
    <w:name w:val="设计正文"/>
    <w:basedOn w:val="1"/>
    <w:qFormat/>
    <w:uiPriority w:val="0"/>
    <w:pPr>
      <w:widowControl/>
      <w:tabs>
        <w:tab w:val="clear" w:pos="480"/>
      </w:tabs>
      <w:spacing w:line="420" w:lineRule="exact"/>
      <w:jc w:val="left"/>
    </w:pPr>
    <w:rPr>
      <w:rFonts w:ascii="宋体" w:hAnsi="宋体" w:cs="宋体"/>
      <w:kern w:val="0"/>
    </w:rPr>
  </w:style>
  <w:style w:type="character" w:customStyle="1" w:styleId="1130">
    <w:name w:val="p2"/>
    <w:basedOn w:val="133"/>
    <w:semiHidden/>
    <w:qFormat/>
    <w:uiPriority w:val="0"/>
  </w:style>
  <w:style w:type="character" w:customStyle="1" w:styleId="1131">
    <w:name w:val="p101"/>
    <w:semiHidden/>
    <w:qFormat/>
    <w:uiPriority w:val="0"/>
    <w:rPr>
      <w:rFonts w:hint="default" w:ascii="p10" w:hAnsi="p10"/>
      <w:color w:val="006633"/>
      <w:spacing w:val="400"/>
      <w:sz w:val="20"/>
      <w:szCs w:val="20"/>
    </w:rPr>
  </w:style>
  <w:style w:type="character" w:customStyle="1" w:styleId="1132">
    <w:name w:val="yangshi-fsb-4"/>
    <w:basedOn w:val="133"/>
    <w:semiHidden/>
    <w:qFormat/>
    <w:uiPriority w:val="0"/>
  </w:style>
  <w:style w:type="paragraph" w:customStyle="1" w:styleId="1133">
    <w:name w:val="作者姓名"/>
    <w:next w:val="1"/>
    <w:qFormat/>
    <w:uiPriority w:val="0"/>
    <w:pPr>
      <w:widowControl w:val="0"/>
      <w:adjustRightInd w:val="0"/>
      <w:snapToGrid w:val="0"/>
      <w:spacing w:line="360" w:lineRule="auto"/>
      <w:ind w:firstLine="200" w:firstLineChars="200"/>
      <w:jc w:val="center"/>
    </w:pPr>
    <w:rPr>
      <w:rFonts w:ascii="方正隶变简体" w:hAnsi="Times New Roman" w:eastAsia="方正隶变简体" w:cs="Times New Roman"/>
      <w:kern w:val="2"/>
      <w:sz w:val="28"/>
      <w:szCs w:val="24"/>
      <w:lang w:val="en-US" w:eastAsia="zh-CN" w:bidi="ar-SA"/>
    </w:rPr>
  </w:style>
  <w:style w:type="character" w:customStyle="1" w:styleId="1134">
    <w:name w:val="标题 3 Char Char Char Char Char"/>
    <w:basedOn w:val="133"/>
    <w:semiHidden/>
    <w:qFormat/>
    <w:uiPriority w:val="0"/>
  </w:style>
  <w:style w:type="paragraph" w:customStyle="1" w:styleId="1135">
    <w:name w:val="文章 + 首行缩进:  2 字符"/>
    <w:basedOn w:val="1"/>
    <w:qFormat/>
    <w:uiPriority w:val="0"/>
    <w:pPr>
      <w:widowControl/>
      <w:tabs>
        <w:tab w:val="clear" w:pos="480"/>
      </w:tabs>
      <w:spacing w:line="300" w:lineRule="auto"/>
      <w:jc w:val="left"/>
    </w:pPr>
    <w:rPr>
      <w:rFonts w:ascii="宋体" w:hAnsi="宋体" w:cs="宋体"/>
      <w:kern w:val="0"/>
      <w:szCs w:val="28"/>
    </w:rPr>
  </w:style>
  <w:style w:type="paragraph" w:customStyle="1" w:styleId="1136">
    <w:name w:val="文章"/>
    <w:basedOn w:val="1"/>
    <w:qFormat/>
    <w:uiPriority w:val="0"/>
    <w:pPr>
      <w:widowControl/>
      <w:tabs>
        <w:tab w:val="clear" w:pos="480"/>
      </w:tabs>
      <w:spacing w:line="300" w:lineRule="auto"/>
      <w:jc w:val="left"/>
    </w:pPr>
    <w:rPr>
      <w:rFonts w:ascii="宋体" w:hAnsi="宋体" w:cs="宋体"/>
      <w:kern w:val="0"/>
    </w:rPr>
  </w:style>
  <w:style w:type="character" w:customStyle="1" w:styleId="1137">
    <w:name w:val="highlight1"/>
    <w:qFormat/>
    <w:uiPriority w:val="0"/>
    <w:rPr>
      <w:sz w:val="21"/>
      <w:szCs w:val="21"/>
    </w:rPr>
  </w:style>
  <w:style w:type="paragraph" w:customStyle="1" w:styleId="1138">
    <w:name w:val="表格文字1-小4居中"/>
    <w:basedOn w:val="1"/>
    <w:semiHidden/>
    <w:qFormat/>
    <w:uiPriority w:val="0"/>
    <w:pPr>
      <w:widowControl/>
      <w:tabs>
        <w:tab w:val="clear" w:pos="480"/>
      </w:tabs>
      <w:spacing w:line="300" w:lineRule="auto"/>
      <w:jc w:val="center"/>
    </w:pPr>
    <w:rPr>
      <w:rFonts w:ascii="宋体" w:hAnsi="宋体" w:cs="宋体"/>
      <w:kern w:val="0"/>
    </w:rPr>
  </w:style>
  <w:style w:type="character" w:customStyle="1" w:styleId="1139">
    <w:name w:val="正文手行缩进2字 Char"/>
    <w:qFormat/>
    <w:uiPriority w:val="0"/>
    <w:rPr>
      <w:rFonts w:eastAsia="宋体"/>
      <w:kern w:val="2"/>
      <w:sz w:val="28"/>
      <w:szCs w:val="28"/>
      <w:lang w:val="en-US" w:eastAsia="zh-CN" w:bidi="ar-SA"/>
    </w:rPr>
  </w:style>
  <w:style w:type="paragraph" w:customStyle="1" w:styleId="1140">
    <w:name w:val="点标题"/>
    <w:next w:val="1"/>
    <w:qFormat/>
    <w:uiPriority w:val="0"/>
    <w:pPr>
      <w:widowControl w:val="0"/>
      <w:adjustRightInd w:val="0"/>
      <w:spacing w:line="360" w:lineRule="auto"/>
      <w:ind w:left="284" w:right="284" w:firstLine="482" w:firstLineChars="200"/>
      <w:jc w:val="both"/>
      <w:textAlignment w:val="baseline"/>
    </w:pPr>
    <w:rPr>
      <w:rFonts w:ascii="Times New Roman" w:hAnsi="Times New Roman" w:eastAsia="仿宋体" w:cs="Times New Roman"/>
      <w:kern w:val="2"/>
      <w:sz w:val="28"/>
      <w:szCs w:val="24"/>
      <w:lang w:val="en-US" w:eastAsia="zh-CN" w:bidi="ar-SA"/>
    </w:rPr>
  </w:style>
  <w:style w:type="paragraph" w:customStyle="1" w:styleId="1141">
    <w:name w:val="样式 标题 1 + 首行缩进:  1.06 厘米"/>
    <w:basedOn w:val="2"/>
    <w:qFormat/>
    <w:uiPriority w:val="0"/>
    <w:pPr>
      <w:keepNext w:val="0"/>
      <w:keepLines w:val="0"/>
      <w:pageBreakBefore/>
      <w:widowControl/>
      <w:numPr>
        <w:numId w:val="0"/>
      </w:numPr>
      <w:tabs>
        <w:tab w:val="left" w:pos="980"/>
        <w:tab w:val="clear" w:pos="480"/>
      </w:tabs>
      <w:spacing w:beforeLines="100" w:afterLines="100"/>
      <w:ind w:left="980" w:hanging="420"/>
      <w:jc w:val="center"/>
    </w:pPr>
    <w:rPr>
      <w:rFonts w:ascii="Arial" w:hAnsi="Arial" w:eastAsia="宋体" w:cs="宋体"/>
      <w:kern w:val="2"/>
      <w:position w:val="-30"/>
      <w:sz w:val="30"/>
      <w:szCs w:val="24"/>
    </w:rPr>
  </w:style>
  <w:style w:type="paragraph" w:customStyle="1" w:styleId="1142">
    <w:name w:val="样式 样式 正文文字缩进 2 + 四号 行距: 1.5 倍行距 + (西文) 宋体 首行缩进:  2 字符"/>
    <w:basedOn w:val="1"/>
    <w:qFormat/>
    <w:uiPriority w:val="0"/>
    <w:pPr>
      <w:widowControl/>
      <w:tabs>
        <w:tab w:val="clear" w:pos="480"/>
      </w:tabs>
      <w:spacing w:line="240" w:lineRule="auto"/>
      <w:jc w:val="center"/>
    </w:pPr>
    <w:rPr>
      <w:rFonts w:ascii="宋体" w:hAnsi="宋体" w:cs="宋体"/>
      <w:kern w:val="0"/>
      <w:sz w:val="21"/>
    </w:rPr>
  </w:style>
  <w:style w:type="character" w:customStyle="1" w:styleId="1143">
    <w:name w:val="zhengwen1"/>
    <w:semiHidden/>
    <w:qFormat/>
    <w:uiPriority w:val="0"/>
    <w:rPr>
      <w:sz w:val="16"/>
      <w:szCs w:val="16"/>
    </w:rPr>
  </w:style>
  <w:style w:type="paragraph" w:customStyle="1" w:styleId="1144">
    <w:name w:val="正文缩进1 Char Char"/>
    <w:basedOn w:val="1"/>
    <w:qFormat/>
    <w:uiPriority w:val="0"/>
    <w:pPr>
      <w:widowControl/>
      <w:tabs>
        <w:tab w:val="clear" w:pos="480"/>
      </w:tabs>
      <w:adjustRightInd w:val="0"/>
      <w:spacing w:beforeLines="50" w:afterLines="50" w:line="300" w:lineRule="auto"/>
      <w:jc w:val="left"/>
    </w:pPr>
    <w:rPr>
      <w:rFonts w:ascii="宋体" w:hAnsi="宋体" w:cs="宋体"/>
      <w:kern w:val="0"/>
    </w:rPr>
  </w:style>
  <w:style w:type="paragraph" w:customStyle="1" w:styleId="1145">
    <w:name w:val="样式 首行缩进:  2 字符1"/>
    <w:basedOn w:val="1"/>
    <w:link w:val="2862"/>
    <w:qFormat/>
    <w:uiPriority w:val="0"/>
    <w:pPr>
      <w:widowControl/>
      <w:tabs>
        <w:tab w:val="clear" w:pos="480"/>
      </w:tabs>
      <w:adjustRightInd w:val="0"/>
      <w:spacing w:line="300" w:lineRule="auto"/>
      <w:jc w:val="left"/>
    </w:pPr>
    <w:rPr>
      <w:rFonts w:ascii="宋体" w:hAnsi="宋体" w:cs="宋体"/>
      <w:kern w:val="0"/>
    </w:rPr>
  </w:style>
  <w:style w:type="paragraph" w:customStyle="1" w:styleId="1146">
    <w:name w:val="样式6 Char"/>
    <w:basedOn w:val="1"/>
    <w:link w:val="1147"/>
    <w:qFormat/>
    <w:uiPriority w:val="0"/>
    <w:pPr>
      <w:widowControl/>
      <w:tabs>
        <w:tab w:val="clear" w:pos="480"/>
      </w:tabs>
      <w:jc w:val="left"/>
    </w:pPr>
    <w:rPr>
      <w:rFonts w:ascii="宋体" w:hAnsi="宋体"/>
      <w:kern w:val="0"/>
      <w:lang w:val="zh-CN"/>
    </w:rPr>
  </w:style>
  <w:style w:type="character" w:customStyle="1" w:styleId="1147">
    <w:name w:val="样式6 Char Char"/>
    <w:link w:val="1146"/>
    <w:qFormat/>
    <w:uiPriority w:val="0"/>
    <w:rPr>
      <w:rFonts w:ascii="宋体" w:hAnsi="宋体" w:eastAsia="宋体"/>
      <w:sz w:val="24"/>
      <w:szCs w:val="24"/>
      <w:lang w:bidi="ar-SA"/>
    </w:rPr>
  </w:style>
  <w:style w:type="paragraph" w:customStyle="1" w:styleId="1148">
    <w:name w:val="简单回函地址"/>
    <w:basedOn w:val="1"/>
    <w:qFormat/>
    <w:uiPriority w:val="0"/>
    <w:pPr>
      <w:widowControl/>
      <w:tabs>
        <w:tab w:val="clear" w:pos="480"/>
      </w:tabs>
      <w:spacing w:line="240" w:lineRule="auto"/>
      <w:jc w:val="left"/>
    </w:pPr>
    <w:rPr>
      <w:rFonts w:ascii="宋体" w:hAnsi="宋体" w:cs="宋体"/>
      <w:kern w:val="0"/>
      <w:sz w:val="21"/>
    </w:rPr>
  </w:style>
  <w:style w:type="paragraph" w:customStyle="1" w:styleId="1149">
    <w:name w:val="PP 行"/>
    <w:basedOn w:val="58"/>
    <w:semiHidden/>
    <w:qFormat/>
    <w:uiPriority w:val="0"/>
    <w:pPr>
      <w:widowControl/>
      <w:tabs>
        <w:tab w:val="clear" w:pos="480"/>
      </w:tabs>
      <w:spacing w:line="240" w:lineRule="auto"/>
      <w:jc w:val="left"/>
    </w:pPr>
    <w:rPr>
      <w:rFonts w:ascii="宋体" w:hAnsi="宋体"/>
      <w:kern w:val="0"/>
      <w:sz w:val="21"/>
    </w:rPr>
  </w:style>
  <w:style w:type="paragraph" w:customStyle="1" w:styleId="1150">
    <w:name w:val="正文文本缩进 21"/>
    <w:basedOn w:val="1"/>
    <w:qFormat/>
    <w:uiPriority w:val="0"/>
    <w:pPr>
      <w:widowControl/>
      <w:tabs>
        <w:tab w:val="clear" w:pos="480"/>
      </w:tabs>
      <w:adjustRightInd w:val="0"/>
      <w:ind w:firstLine="480"/>
      <w:jc w:val="left"/>
      <w:textAlignment w:val="baseline"/>
    </w:pPr>
    <w:rPr>
      <w:rFonts w:ascii="宋体" w:hAnsi="宋体" w:cs="宋体"/>
      <w:kern w:val="0"/>
      <w:lang w:bidi="he-IL"/>
    </w:rPr>
  </w:style>
  <w:style w:type="paragraph" w:customStyle="1" w:styleId="1151">
    <w:name w:val="Formatvorlage Arial 11 pt Block Zeilenabstand:  15 Zeilen"/>
    <w:basedOn w:val="1"/>
    <w:semiHidden/>
    <w:qFormat/>
    <w:uiPriority w:val="0"/>
    <w:pPr>
      <w:widowControl/>
      <w:tabs>
        <w:tab w:val="clear" w:pos="480"/>
      </w:tabs>
      <w:jc w:val="left"/>
    </w:pPr>
    <w:rPr>
      <w:rFonts w:ascii="Arial" w:hAnsi="Arial" w:cs="宋体"/>
      <w:kern w:val="0"/>
      <w:sz w:val="22"/>
      <w:lang w:val="fr-FR"/>
    </w:rPr>
  </w:style>
  <w:style w:type="paragraph" w:customStyle="1" w:styleId="1152">
    <w:name w:val="正文 + arial"/>
    <w:basedOn w:val="1"/>
    <w:qFormat/>
    <w:uiPriority w:val="0"/>
    <w:pPr>
      <w:widowControl/>
      <w:tabs>
        <w:tab w:val="clear" w:pos="480"/>
      </w:tabs>
      <w:spacing w:line="240" w:lineRule="auto"/>
      <w:jc w:val="center"/>
    </w:pPr>
    <w:rPr>
      <w:rFonts w:ascii="宋体" w:hAnsi="宋体" w:cs="Arial"/>
      <w:kern w:val="0"/>
      <w:sz w:val="21"/>
    </w:rPr>
  </w:style>
  <w:style w:type="paragraph" w:customStyle="1" w:styleId="1153">
    <w:name w:val="a"/>
    <w:basedOn w:val="1"/>
    <w:qFormat/>
    <w:uiPriority w:val="0"/>
    <w:pPr>
      <w:widowControl/>
      <w:tabs>
        <w:tab w:val="left" w:pos="930"/>
        <w:tab w:val="clear" w:pos="480"/>
      </w:tabs>
      <w:ind w:left="930" w:hanging="420"/>
      <w:jc w:val="left"/>
    </w:pPr>
    <w:rPr>
      <w:rFonts w:ascii="宋体" w:hAnsi="宋体" w:cs="宋体"/>
      <w:b/>
      <w:kern w:val="0"/>
    </w:rPr>
  </w:style>
  <w:style w:type="paragraph" w:customStyle="1" w:styleId="1154">
    <w:name w:val="基准标题"/>
    <w:basedOn w:val="33"/>
    <w:next w:val="33"/>
    <w:qFormat/>
    <w:uiPriority w:val="0"/>
    <w:pPr>
      <w:widowControl/>
      <w:spacing w:line="240" w:lineRule="atLeast"/>
      <w:jc w:val="left"/>
    </w:pPr>
    <w:rPr>
      <w:rFonts w:cs="宋体"/>
      <w:kern w:val="0"/>
      <w:sz w:val="24"/>
      <w:szCs w:val="24"/>
    </w:rPr>
  </w:style>
  <w:style w:type="paragraph" w:customStyle="1" w:styleId="1155">
    <w:name w:val="a1"/>
    <w:basedOn w:val="1"/>
    <w:semiHidden/>
    <w:qFormat/>
    <w:uiPriority w:val="0"/>
    <w:pPr>
      <w:widowControl/>
      <w:tabs>
        <w:tab w:val="clear" w:pos="480"/>
      </w:tabs>
      <w:ind w:firstLine="118" w:firstLineChars="50"/>
      <w:jc w:val="left"/>
    </w:pPr>
    <w:rPr>
      <w:rFonts w:ascii="宋体" w:hAnsi="宋体" w:cs="宋体"/>
      <w:b/>
      <w:kern w:val="0"/>
    </w:rPr>
  </w:style>
  <w:style w:type="paragraph" w:customStyle="1" w:styleId="1156">
    <w:name w:val="b"/>
    <w:basedOn w:val="1155"/>
    <w:semiHidden/>
    <w:qFormat/>
    <w:uiPriority w:val="0"/>
    <w:pPr>
      <w:ind w:firstLine="0" w:firstLineChars="0"/>
    </w:pPr>
  </w:style>
  <w:style w:type="paragraph" w:customStyle="1" w:styleId="1157">
    <w:name w:val="样式 正文文本缩进 + 宋体 五号 两端对齐 首行缩进:  0 厘米 行距: 固定值 15 磅"/>
    <w:basedOn w:val="34"/>
    <w:qFormat/>
    <w:uiPriority w:val="0"/>
    <w:pPr>
      <w:widowControl/>
      <w:tabs>
        <w:tab w:val="clear" w:pos="480"/>
      </w:tabs>
      <w:spacing w:line="300" w:lineRule="exact"/>
      <w:ind w:firstLine="0" w:firstLineChars="0"/>
      <w:jc w:val="left"/>
    </w:pPr>
    <w:rPr>
      <w:rFonts w:ascii="宋体" w:hAnsi="宋体" w:cs="宋体"/>
      <w:kern w:val="0"/>
      <w:sz w:val="21"/>
    </w:rPr>
  </w:style>
  <w:style w:type="paragraph" w:customStyle="1" w:styleId="1158">
    <w:name w:val="正文文本缩进 31"/>
    <w:basedOn w:val="1"/>
    <w:semiHidden/>
    <w:qFormat/>
    <w:uiPriority w:val="0"/>
    <w:pPr>
      <w:widowControl/>
      <w:tabs>
        <w:tab w:val="clear" w:pos="480"/>
      </w:tabs>
      <w:adjustRightInd w:val="0"/>
      <w:spacing w:line="360" w:lineRule="atLeast"/>
      <w:ind w:firstLine="525"/>
      <w:jc w:val="left"/>
      <w:textAlignment w:val="baseline"/>
    </w:pPr>
    <w:rPr>
      <w:rFonts w:ascii="宋体" w:hAnsi="宋体" w:cs="宋体"/>
      <w:kern w:val="0"/>
    </w:rPr>
  </w:style>
  <w:style w:type="paragraph" w:customStyle="1" w:styleId="1159">
    <w:name w:val="一级2"/>
    <w:basedOn w:val="3"/>
    <w:qFormat/>
    <w:uiPriority w:val="0"/>
    <w:pPr>
      <w:widowControl/>
      <w:numPr>
        <w:ilvl w:val="0"/>
        <w:numId w:val="0"/>
      </w:numPr>
      <w:tabs>
        <w:tab w:val="clear" w:pos="480"/>
        <w:tab w:val="clear" w:pos="630"/>
      </w:tabs>
      <w:adjustRightInd w:val="0"/>
      <w:spacing w:before="40" w:after="40"/>
      <w:jc w:val="left"/>
      <w:textAlignment w:val="baseline"/>
    </w:pPr>
    <w:rPr>
      <w:rFonts w:ascii="Arial" w:hAnsi="Arial" w:eastAsia="黑体" w:cs="宋体"/>
      <w:kern w:val="0"/>
      <w:sz w:val="30"/>
      <w:szCs w:val="24"/>
    </w:rPr>
  </w:style>
  <w:style w:type="paragraph" w:customStyle="1" w:styleId="1160">
    <w:name w:val="样式 标题 1 + (中文) 黑体 小三"/>
    <w:basedOn w:val="2"/>
    <w:link w:val="1161"/>
    <w:qFormat/>
    <w:uiPriority w:val="0"/>
    <w:pPr>
      <w:widowControl/>
      <w:numPr>
        <w:numId w:val="0"/>
      </w:numPr>
      <w:tabs>
        <w:tab w:val="clear" w:pos="480"/>
      </w:tabs>
      <w:adjustRightInd w:val="0"/>
      <w:spacing w:beforeLines="50" w:afterLines="50" w:line="578" w:lineRule="atLeast"/>
      <w:jc w:val="left"/>
      <w:textAlignment w:val="baseline"/>
    </w:pPr>
    <w:rPr>
      <w:rFonts w:ascii="Times New Roman" w:hAnsi="宋体" w:eastAsia="黑体"/>
      <w:b w:val="0"/>
      <w:bCs w:val="0"/>
      <w:sz w:val="30"/>
    </w:rPr>
  </w:style>
  <w:style w:type="character" w:customStyle="1" w:styleId="1161">
    <w:name w:val="样式 标题 1 + (中文) 黑体 小三 Char"/>
    <w:link w:val="1160"/>
    <w:qFormat/>
    <w:uiPriority w:val="0"/>
    <w:rPr>
      <w:rFonts w:hAnsi="宋体" w:eastAsia="黑体"/>
      <w:kern w:val="44"/>
      <w:sz w:val="30"/>
      <w:szCs w:val="44"/>
      <w:lang w:bidi="ar-SA"/>
    </w:rPr>
  </w:style>
  <w:style w:type="paragraph" w:customStyle="1" w:styleId="1162">
    <w:name w:val="样式 一级 + 左侧:  2 字符 右侧:  2 字符"/>
    <w:basedOn w:val="6"/>
    <w:qFormat/>
    <w:uiPriority w:val="0"/>
    <w:pPr>
      <w:widowControl/>
      <w:numPr>
        <w:ilvl w:val="0"/>
        <w:numId w:val="0"/>
      </w:numPr>
      <w:tabs>
        <w:tab w:val="clear" w:pos="480"/>
      </w:tabs>
      <w:adjustRightInd w:val="0"/>
      <w:spacing w:before="120" w:after="120"/>
      <w:ind w:left="420" w:leftChars="200" w:right="420" w:rightChars="200"/>
      <w:jc w:val="left"/>
      <w:textAlignment w:val="baseline"/>
      <w:outlineLvl w:val="0"/>
    </w:pPr>
    <w:rPr>
      <w:rFonts w:ascii="Times New Roman" w:hAnsi="宋体" w:eastAsia="黑体" w:cs="宋体"/>
      <w:bCs/>
      <w:kern w:val="44"/>
      <w:sz w:val="30"/>
      <w:szCs w:val="24"/>
    </w:rPr>
  </w:style>
  <w:style w:type="paragraph" w:customStyle="1" w:styleId="1163">
    <w:name w:val="样式14"/>
    <w:basedOn w:val="1159"/>
    <w:link w:val="2937"/>
    <w:qFormat/>
    <w:uiPriority w:val="0"/>
    <w:pPr/>
    <w:rPr>
      <w:sz w:val="32"/>
    </w:rPr>
  </w:style>
  <w:style w:type="paragraph" w:customStyle="1" w:styleId="1164">
    <w:name w:val="样式15"/>
    <w:basedOn w:val="1159"/>
    <w:qFormat/>
    <w:uiPriority w:val="0"/>
    <w:pPr/>
  </w:style>
  <w:style w:type="paragraph" w:customStyle="1" w:styleId="1165">
    <w:name w:val="样式16"/>
    <w:basedOn w:val="3"/>
    <w:qFormat/>
    <w:uiPriority w:val="0"/>
    <w:pPr>
      <w:widowControl/>
      <w:numPr>
        <w:numId w:val="0"/>
      </w:numPr>
      <w:tabs>
        <w:tab w:val="clear" w:pos="480"/>
        <w:tab w:val="clear" w:pos="630"/>
      </w:tabs>
      <w:adjustRightInd w:val="0"/>
      <w:spacing w:after="260" w:line="416" w:lineRule="atLeast"/>
      <w:jc w:val="left"/>
      <w:textAlignment w:val="baseline"/>
    </w:pPr>
    <w:rPr>
      <w:rFonts w:ascii="Arial" w:hAnsi="Arial" w:cs="宋体"/>
      <w:bCs w:val="0"/>
      <w:kern w:val="0"/>
      <w:sz w:val="24"/>
      <w:szCs w:val="24"/>
    </w:rPr>
  </w:style>
  <w:style w:type="paragraph" w:customStyle="1" w:styleId="1166">
    <w:name w:val="样式17"/>
    <w:basedOn w:val="4"/>
    <w:link w:val="2941"/>
    <w:qFormat/>
    <w:uiPriority w:val="0"/>
    <w:pPr>
      <w:widowControl/>
      <w:numPr>
        <w:numId w:val="0"/>
      </w:numPr>
      <w:tabs>
        <w:tab w:val="clear" w:pos="480"/>
        <w:tab w:val="clear" w:pos="840"/>
      </w:tabs>
      <w:adjustRightInd w:val="0"/>
      <w:spacing w:before="260" w:line="416" w:lineRule="atLeast"/>
      <w:jc w:val="left"/>
      <w:textAlignment w:val="baseline"/>
    </w:pPr>
    <w:rPr>
      <w:rFonts w:ascii="宋体" w:hAnsi="宋体" w:eastAsia="宋体" w:cs="宋体"/>
      <w:bCs w:val="0"/>
      <w:kern w:val="0"/>
      <w:sz w:val="24"/>
      <w:szCs w:val="24"/>
    </w:rPr>
  </w:style>
  <w:style w:type="paragraph" w:customStyle="1" w:styleId="1167">
    <w:name w:val="样式18"/>
    <w:basedOn w:val="5"/>
    <w:link w:val="2880"/>
    <w:qFormat/>
    <w:uiPriority w:val="0"/>
    <w:pPr>
      <w:widowControl/>
      <w:numPr>
        <w:numId w:val="0"/>
      </w:numPr>
      <w:tabs>
        <w:tab w:val="clear" w:pos="480"/>
      </w:tabs>
      <w:adjustRightInd w:val="0"/>
      <w:spacing w:before="280" w:after="290" w:line="376" w:lineRule="atLeast"/>
      <w:jc w:val="left"/>
      <w:textAlignment w:val="baseline"/>
    </w:pPr>
    <w:rPr>
      <w:rFonts w:ascii="Arial" w:hAnsi="Arial" w:eastAsia="宋体" w:cs="宋体"/>
      <w:bCs w:val="0"/>
      <w:kern w:val="0"/>
      <w:sz w:val="24"/>
      <w:szCs w:val="24"/>
    </w:rPr>
  </w:style>
  <w:style w:type="paragraph" w:customStyle="1" w:styleId="1168">
    <w:name w:val="样式19"/>
    <w:basedOn w:val="1159"/>
    <w:link w:val="2987"/>
    <w:qFormat/>
    <w:uiPriority w:val="0"/>
    <w:pPr/>
  </w:style>
  <w:style w:type="paragraph" w:customStyle="1" w:styleId="1169">
    <w:name w:val="样式20"/>
    <w:basedOn w:val="3"/>
    <w:link w:val="2886"/>
    <w:qFormat/>
    <w:uiPriority w:val="0"/>
    <w:pPr>
      <w:widowControl/>
      <w:numPr>
        <w:numId w:val="0"/>
      </w:numPr>
      <w:tabs>
        <w:tab w:val="clear" w:pos="480"/>
        <w:tab w:val="clear" w:pos="630"/>
      </w:tabs>
      <w:adjustRightInd w:val="0"/>
      <w:spacing w:before="40" w:after="40"/>
      <w:jc w:val="left"/>
      <w:textAlignment w:val="baseline"/>
    </w:pPr>
    <w:rPr>
      <w:rFonts w:ascii="Arial" w:hAnsi="Arial" w:cs="宋体"/>
      <w:bCs w:val="0"/>
      <w:kern w:val="0"/>
      <w:sz w:val="24"/>
      <w:szCs w:val="24"/>
    </w:rPr>
  </w:style>
  <w:style w:type="paragraph" w:customStyle="1" w:styleId="1170">
    <w:name w:val="样式21"/>
    <w:basedOn w:val="3"/>
    <w:qFormat/>
    <w:uiPriority w:val="0"/>
    <w:pPr>
      <w:widowControl/>
      <w:numPr>
        <w:numId w:val="0"/>
      </w:numPr>
      <w:tabs>
        <w:tab w:val="clear" w:pos="480"/>
        <w:tab w:val="clear" w:pos="630"/>
      </w:tabs>
      <w:adjustRightInd w:val="0"/>
      <w:spacing w:before="40" w:after="40"/>
      <w:jc w:val="left"/>
      <w:textAlignment w:val="baseline"/>
    </w:pPr>
    <w:rPr>
      <w:rFonts w:ascii="Arial" w:hAnsi="Arial" w:cs="宋体"/>
      <w:bCs w:val="0"/>
      <w:kern w:val="0"/>
      <w:sz w:val="24"/>
      <w:szCs w:val="24"/>
    </w:rPr>
  </w:style>
  <w:style w:type="paragraph" w:customStyle="1" w:styleId="1171">
    <w:name w:val="样式22"/>
    <w:basedOn w:val="3"/>
    <w:qFormat/>
    <w:uiPriority w:val="0"/>
    <w:pPr>
      <w:widowControl/>
      <w:numPr>
        <w:numId w:val="0"/>
      </w:numPr>
      <w:tabs>
        <w:tab w:val="clear" w:pos="480"/>
        <w:tab w:val="clear" w:pos="630"/>
      </w:tabs>
      <w:adjustRightInd w:val="0"/>
      <w:spacing w:before="40" w:after="40"/>
      <w:jc w:val="left"/>
      <w:textAlignment w:val="baseline"/>
    </w:pPr>
    <w:rPr>
      <w:rFonts w:ascii="Arial" w:hAnsi="Arial" w:cs="宋体"/>
      <w:bCs w:val="0"/>
      <w:kern w:val="0"/>
      <w:sz w:val="24"/>
      <w:szCs w:val="24"/>
    </w:rPr>
  </w:style>
  <w:style w:type="paragraph" w:customStyle="1" w:styleId="1172">
    <w:name w:val="我的标题1"/>
    <w:basedOn w:val="2"/>
    <w:next w:val="651"/>
    <w:qFormat/>
    <w:uiPriority w:val="0"/>
    <w:pPr>
      <w:widowControl/>
      <w:numPr>
        <w:numId w:val="0"/>
      </w:numPr>
      <w:tabs>
        <w:tab w:val="left" w:pos="0"/>
        <w:tab w:val="left" w:pos="700"/>
        <w:tab w:val="clear" w:pos="480"/>
      </w:tabs>
      <w:spacing w:beforeLines="100" w:afterLines="50" w:line="480" w:lineRule="auto"/>
      <w:ind w:firstLine="567"/>
      <w:jc w:val="left"/>
    </w:pPr>
    <w:rPr>
      <w:rFonts w:ascii="Times New Roman" w:hAnsi="宋体" w:eastAsia="宋体" w:cs="宋体"/>
      <w:sz w:val="30"/>
    </w:rPr>
  </w:style>
  <w:style w:type="paragraph" w:customStyle="1" w:styleId="1173">
    <w:name w:val="我的标题4"/>
    <w:basedOn w:val="5"/>
    <w:qFormat/>
    <w:uiPriority w:val="0"/>
    <w:pPr>
      <w:widowControl/>
      <w:numPr>
        <w:ilvl w:val="0"/>
        <w:numId w:val="0"/>
      </w:numPr>
      <w:tabs>
        <w:tab w:val="left" w:pos="1680"/>
        <w:tab w:val="clear" w:pos="480"/>
      </w:tabs>
      <w:spacing w:beforeLines="50" w:afterLines="50"/>
      <w:ind w:left="1680" w:hanging="420"/>
      <w:jc w:val="left"/>
    </w:pPr>
    <w:rPr>
      <w:rFonts w:ascii="Arial" w:hAnsi="Arial" w:eastAsia="宋体" w:cs="宋体"/>
      <w:kern w:val="0"/>
      <w:sz w:val="24"/>
    </w:rPr>
  </w:style>
  <w:style w:type="paragraph" w:customStyle="1" w:styleId="1174">
    <w:name w:val="样式 我的标题2 + 段前: 0.5 行 段后: 0.5 行"/>
    <w:basedOn w:val="1"/>
    <w:qFormat/>
    <w:uiPriority w:val="0"/>
    <w:pPr>
      <w:keepNext/>
      <w:keepLines/>
      <w:widowControl/>
      <w:tabs>
        <w:tab w:val="left" w:pos="1350"/>
        <w:tab w:val="clear" w:pos="480"/>
      </w:tabs>
      <w:spacing w:beforeLines="50" w:afterLines="50"/>
      <w:ind w:left="1350" w:hanging="930"/>
      <w:jc w:val="left"/>
      <w:outlineLvl w:val="1"/>
    </w:pPr>
    <w:rPr>
      <w:rFonts w:ascii="Arial" w:hAnsi="Arial" w:cs="宋体"/>
      <w:b/>
      <w:bCs/>
      <w:kern w:val="0"/>
    </w:rPr>
  </w:style>
  <w:style w:type="paragraph" w:customStyle="1" w:styleId="1175">
    <w:name w:val="样式 我的标题3 + 段前: 0.5 行 段后: 0.5 行1"/>
    <w:basedOn w:val="1"/>
    <w:qFormat/>
    <w:uiPriority w:val="0"/>
    <w:pPr>
      <w:keepNext/>
      <w:keepLines/>
      <w:widowControl/>
      <w:tabs>
        <w:tab w:val="left" w:pos="1260"/>
        <w:tab w:val="clear" w:pos="480"/>
      </w:tabs>
      <w:spacing w:beforeLines="50" w:afterLines="50"/>
      <w:ind w:left="1260" w:hanging="420"/>
      <w:jc w:val="left"/>
      <w:outlineLvl w:val="2"/>
    </w:pPr>
    <w:rPr>
      <w:rFonts w:ascii="宋体" w:hAnsi="宋体" w:cs="宋体"/>
      <w:b/>
      <w:bCs/>
      <w:kern w:val="0"/>
    </w:rPr>
  </w:style>
  <w:style w:type="paragraph" w:customStyle="1" w:styleId="1176">
    <w:name w:val="样式 我的标题 2 + 段前: 0.5 行2"/>
    <w:basedOn w:val="1"/>
    <w:qFormat/>
    <w:uiPriority w:val="0"/>
    <w:pPr>
      <w:keepNext/>
      <w:keepLines/>
      <w:widowControl/>
      <w:tabs>
        <w:tab w:val="left" w:pos="567"/>
        <w:tab w:val="clear" w:pos="480"/>
      </w:tabs>
      <w:spacing w:beforeLines="50"/>
      <w:ind w:left="567" w:hanging="567"/>
      <w:jc w:val="left"/>
      <w:outlineLvl w:val="1"/>
    </w:pPr>
    <w:rPr>
      <w:rFonts w:ascii="宋体" w:hAnsi="宋体" w:cs="宋体"/>
      <w:b/>
      <w:bCs/>
      <w:kern w:val="0"/>
    </w:rPr>
  </w:style>
  <w:style w:type="paragraph" w:customStyle="1" w:styleId="1177">
    <w:name w:val="7111我的标题3"/>
    <w:basedOn w:val="4"/>
    <w:semiHidden/>
    <w:qFormat/>
    <w:uiPriority w:val="0"/>
    <w:pPr>
      <w:widowControl/>
      <w:numPr>
        <w:ilvl w:val="0"/>
        <w:numId w:val="0"/>
      </w:numPr>
      <w:tabs>
        <w:tab w:val="left" w:pos="1820"/>
        <w:tab w:val="clear" w:pos="480"/>
        <w:tab w:val="clear" w:pos="840"/>
      </w:tabs>
      <w:spacing w:before="0" w:after="0" w:line="360" w:lineRule="auto"/>
      <w:ind w:left="1820" w:hanging="420"/>
      <w:jc w:val="left"/>
    </w:pPr>
    <w:rPr>
      <w:rFonts w:ascii="宋体" w:hAnsi="宋体" w:eastAsia="宋体" w:cs="宋体"/>
      <w:kern w:val="0"/>
      <w:sz w:val="24"/>
    </w:rPr>
  </w:style>
  <w:style w:type="paragraph" w:customStyle="1" w:styleId="1178">
    <w:name w:val="91我的标题2"/>
    <w:basedOn w:val="3"/>
    <w:semiHidden/>
    <w:qFormat/>
    <w:uiPriority w:val="0"/>
    <w:pPr>
      <w:widowControl/>
      <w:numPr>
        <w:ilvl w:val="0"/>
        <w:numId w:val="0"/>
      </w:numPr>
      <w:tabs>
        <w:tab w:val="left" w:pos="567"/>
        <w:tab w:val="clear" w:pos="480"/>
        <w:tab w:val="clear" w:pos="630"/>
      </w:tabs>
      <w:spacing w:beforeLines="50" w:after="0"/>
      <w:ind w:left="567" w:hanging="567"/>
      <w:jc w:val="left"/>
    </w:pPr>
    <w:rPr>
      <w:rFonts w:ascii="宋体" w:hAnsi="宋体" w:cs="宋体"/>
      <w:kern w:val="0"/>
      <w:sz w:val="24"/>
      <w:szCs w:val="30"/>
    </w:rPr>
  </w:style>
  <w:style w:type="paragraph" w:customStyle="1" w:styleId="1179">
    <w:name w:val="样式 标题 3 + (西文) Arial (中文) 宋体 小四 段前: 0 磅 段后: 0 磅 行距: 单倍行距"/>
    <w:basedOn w:val="4"/>
    <w:qFormat/>
    <w:uiPriority w:val="0"/>
    <w:pPr>
      <w:keepNext w:val="0"/>
      <w:keepLines w:val="0"/>
      <w:widowControl/>
      <w:numPr>
        <w:ilvl w:val="0"/>
        <w:numId w:val="0"/>
      </w:numPr>
      <w:tabs>
        <w:tab w:val="clear" w:pos="480"/>
        <w:tab w:val="clear" w:pos="840"/>
      </w:tabs>
      <w:adjustRightInd w:val="0"/>
      <w:spacing w:before="0" w:after="0" w:line="240" w:lineRule="atLeast"/>
      <w:jc w:val="center"/>
      <w:outlineLvl w:val="9"/>
    </w:pPr>
    <w:rPr>
      <w:rFonts w:ascii="宋体" w:hAnsi="宋体" w:eastAsia="宋体" w:cs="宋体"/>
      <w:b w:val="0"/>
      <w:bCs w:val="0"/>
      <w:spacing w:val="20"/>
      <w:kern w:val="0"/>
      <w:sz w:val="21"/>
      <w:szCs w:val="24"/>
    </w:rPr>
  </w:style>
  <w:style w:type="character" w:customStyle="1" w:styleId="1180">
    <w:name w:val="style51"/>
    <w:semiHidden/>
    <w:qFormat/>
    <w:uiPriority w:val="0"/>
    <w:rPr>
      <w:b/>
      <w:bCs/>
      <w:color w:val="000000"/>
      <w:sz w:val="24"/>
      <w:szCs w:val="24"/>
    </w:rPr>
  </w:style>
  <w:style w:type="character" w:customStyle="1" w:styleId="1181">
    <w:name w:val="txt1"/>
    <w:basedOn w:val="133"/>
    <w:semiHidden/>
    <w:qFormat/>
    <w:uiPriority w:val="0"/>
  </w:style>
  <w:style w:type="character" w:customStyle="1" w:styleId="1182">
    <w:name w:val="p3"/>
    <w:semiHidden/>
    <w:qFormat/>
    <w:uiPriority w:val="0"/>
    <w:rPr>
      <w:rFonts w:hint="default" w:ascii="ˎ̥" w:hAnsi="ˎ̥"/>
      <w:sz w:val="21"/>
      <w:szCs w:val="21"/>
    </w:rPr>
  </w:style>
  <w:style w:type="paragraph" w:customStyle="1" w:styleId="1183">
    <w:name w:val="表格与图名"/>
    <w:basedOn w:val="1"/>
    <w:semiHidden/>
    <w:qFormat/>
    <w:uiPriority w:val="0"/>
    <w:pPr>
      <w:widowControl/>
      <w:tabs>
        <w:tab w:val="clear" w:pos="480"/>
      </w:tabs>
      <w:jc w:val="center"/>
    </w:pPr>
    <w:rPr>
      <w:rFonts w:ascii="宋体" w:hAnsi="宋体" w:eastAsia="黑体" w:cs="宋体"/>
      <w:kern w:val="0"/>
      <w:sz w:val="21"/>
      <w:szCs w:val="21"/>
    </w:rPr>
  </w:style>
  <w:style w:type="paragraph" w:customStyle="1" w:styleId="1184">
    <w:name w:val="第一节"/>
    <w:basedOn w:val="1"/>
    <w:next w:val="87"/>
    <w:qFormat/>
    <w:uiPriority w:val="0"/>
    <w:pPr>
      <w:widowControl/>
      <w:tabs>
        <w:tab w:val="clear" w:pos="480"/>
      </w:tabs>
      <w:spacing w:line="240" w:lineRule="auto"/>
      <w:jc w:val="center"/>
      <w:outlineLvl w:val="1"/>
    </w:pPr>
    <w:rPr>
      <w:rFonts w:ascii="宋体" w:hAnsi="宋体" w:cs="宋体"/>
      <w:b/>
      <w:kern w:val="0"/>
      <w:sz w:val="30"/>
    </w:rPr>
  </w:style>
  <w:style w:type="paragraph" w:customStyle="1" w:styleId="1185">
    <w:name w:val="样式 标题 1 + 段前: 0.5行 段后: 0.5 行"/>
    <w:basedOn w:val="2"/>
    <w:qFormat/>
    <w:uiPriority w:val="0"/>
    <w:pPr>
      <w:keepLines w:val="0"/>
      <w:widowControl/>
      <w:numPr>
        <w:numId w:val="0"/>
      </w:numPr>
      <w:tabs>
        <w:tab w:val="left" w:pos="930"/>
        <w:tab w:val="left" w:pos="1134"/>
        <w:tab w:val="clear" w:pos="480"/>
      </w:tabs>
      <w:spacing w:beforeLines="50" w:afterLines="50"/>
      <w:ind w:left="930" w:hanging="420"/>
      <w:jc w:val="left"/>
    </w:pPr>
    <w:rPr>
      <w:rFonts w:ascii="Times New Roman" w:hAnsi="宋体" w:eastAsia="宋体" w:cs="宋体"/>
      <w:caps/>
      <w:kern w:val="2"/>
      <w:sz w:val="24"/>
      <w:szCs w:val="24"/>
    </w:rPr>
  </w:style>
  <w:style w:type="paragraph" w:customStyle="1" w:styleId="1186">
    <w:name w:val="一级标题"/>
    <w:basedOn w:val="1"/>
    <w:qFormat/>
    <w:uiPriority w:val="0"/>
    <w:pPr>
      <w:widowControl/>
      <w:tabs>
        <w:tab w:val="clear" w:pos="480"/>
      </w:tabs>
      <w:spacing w:beforeLines="50" w:afterLines="50" w:line="300" w:lineRule="auto"/>
      <w:jc w:val="left"/>
      <w:outlineLvl w:val="0"/>
    </w:pPr>
    <w:rPr>
      <w:rFonts w:ascii="黑体" w:hAnsi="宋体" w:eastAsia="黑体" w:cs="宋体"/>
      <w:kern w:val="0"/>
    </w:rPr>
  </w:style>
  <w:style w:type="paragraph" w:customStyle="1" w:styleId="1187">
    <w:name w:val="Level 1 Indent"/>
    <w:basedOn w:val="1"/>
    <w:semiHidden/>
    <w:qFormat/>
    <w:uiPriority w:val="0"/>
    <w:pPr>
      <w:widowControl/>
      <w:tabs>
        <w:tab w:val="clear" w:pos="480"/>
      </w:tabs>
      <w:spacing w:after="240" w:line="240" w:lineRule="auto"/>
      <w:ind w:left="357"/>
      <w:jc w:val="left"/>
    </w:pPr>
    <w:rPr>
      <w:rFonts w:ascii="Arial" w:hAnsi="Arial" w:cs="宋体"/>
      <w:kern w:val="0"/>
      <w:sz w:val="22"/>
      <w:lang w:val="en-GB" w:eastAsia="en-US"/>
    </w:rPr>
  </w:style>
  <w:style w:type="paragraph" w:customStyle="1" w:styleId="1188">
    <w:name w:val="前言目次"/>
    <w:basedOn w:val="887"/>
    <w:qFormat/>
    <w:uiPriority w:val="0"/>
    <w:pPr>
      <w:widowControl/>
      <w:snapToGrid/>
      <w:spacing w:before="50"/>
      <w:ind w:firstLine="0"/>
      <w:jc w:val="left"/>
    </w:pPr>
    <w:rPr>
      <w:rFonts w:hAnsi="宋体" w:eastAsia="宋体" w:cs="宋体"/>
      <w:b/>
      <w:spacing w:val="0"/>
      <w:kern w:val="0"/>
      <w:sz w:val="28"/>
      <w:szCs w:val="24"/>
    </w:rPr>
  </w:style>
  <w:style w:type="paragraph" w:customStyle="1" w:styleId="1189">
    <w:name w:val="附件名"/>
    <w:basedOn w:val="901"/>
    <w:qFormat/>
    <w:uiPriority w:val="0"/>
    <w:pPr>
      <w:widowControl/>
      <w:snapToGrid/>
      <w:spacing w:beforeLines="10" w:after="2" w:line="300" w:lineRule="auto"/>
      <w:jc w:val="center"/>
      <w:outlineLvl w:val="9"/>
    </w:pPr>
    <w:rPr>
      <w:rFonts w:ascii="黑体" w:hAnsi="宋体" w:cs="宋体"/>
      <w:sz w:val="24"/>
      <w:szCs w:val="24"/>
    </w:rPr>
  </w:style>
  <w:style w:type="paragraph" w:customStyle="1" w:styleId="1190">
    <w:name w:val="图中字"/>
    <w:basedOn w:val="894"/>
    <w:qFormat/>
    <w:uiPriority w:val="0"/>
    <w:pPr>
      <w:keepNext/>
      <w:widowControl/>
      <w:adjustRightInd/>
      <w:snapToGrid/>
      <w:spacing w:line="240" w:lineRule="atLeast"/>
    </w:pPr>
    <w:rPr>
      <w:rFonts w:ascii="Verdana" w:hAnsi="Verdana" w:eastAsia="幼圆" w:cs="宋体"/>
      <w:b/>
      <w:color w:val="FF0000"/>
      <w:kern w:val="0"/>
      <w:sz w:val="18"/>
      <w:szCs w:val="18"/>
    </w:rPr>
  </w:style>
  <w:style w:type="paragraph" w:customStyle="1" w:styleId="1191">
    <w:name w:val="样式 标题 1 + 段前: 0.5 行1"/>
    <w:basedOn w:val="2"/>
    <w:qFormat/>
    <w:uiPriority w:val="0"/>
    <w:pPr>
      <w:pageBreakBefore/>
      <w:widowControl/>
      <w:numPr>
        <w:numId w:val="0"/>
      </w:numPr>
      <w:tabs>
        <w:tab w:val="clear" w:pos="480"/>
      </w:tabs>
      <w:spacing w:beforeLines="50" w:afterLines="50" w:line="480" w:lineRule="auto"/>
      <w:jc w:val="left"/>
    </w:pPr>
    <w:rPr>
      <w:rFonts w:ascii="Times New Roman" w:hAnsi="宋体" w:eastAsia="黑体" w:cs="宋体"/>
      <w:b w:val="0"/>
      <w:bCs w:val="0"/>
      <w:sz w:val="24"/>
      <w:szCs w:val="24"/>
    </w:rPr>
  </w:style>
  <w:style w:type="character" w:customStyle="1" w:styleId="1192">
    <w:name w:val="表中 Char"/>
    <w:qFormat/>
    <w:uiPriority w:val="0"/>
    <w:rPr>
      <w:rFonts w:ascii="宋体" w:hAnsi="宋体" w:eastAsia="宋体"/>
      <w:kern w:val="2"/>
      <w:sz w:val="24"/>
      <w:szCs w:val="22"/>
      <w:lang w:val="en-US" w:eastAsia="zh-CN" w:bidi="ar-SA"/>
    </w:rPr>
  </w:style>
  <w:style w:type="character" w:customStyle="1" w:styleId="1193">
    <w:name w:val="表右 Char"/>
    <w:qFormat/>
    <w:uiPriority w:val="0"/>
    <w:rPr>
      <w:rFonts w:ascii="宋体" w:hAnsi="宋体" w:eastAsia="宋体"/>
      <w:kern w:val="2"/>
      <w:sz w:val="24"/>
      <w:lang w:val="en-US" w:eastAsia="zh-CN" w:bidi="ar-SA"/>
    </w:rPr>
  </w:style>
  <w:style w:type="paragraph" w:customStyle="1" w:styleId="1194">
    <w:name w:val="样式 首行缩进:  0.99 厘米"/>
    <w:basedOn w:val="1"/>
    <w:qFormat/>
    <w:uiPriority w:val="0"/>
    <w:pPr>
      <w:widowControl/>
      <w:tabs>
        <w:tab w:val="left" w:pos="1727"/>
        <w:tab w:val="left" w:pos="1884"/>
        <w:tab w:val="clear" w:pos="480"/>
      </w:tabs>
      <w:spacing w:line="300" w:lineRule="auto"/>
      <w:jc w:val="left"/>
      <w:outlineLvl w:val="0"/>
    </w:pPr>
    <w:rPr>
      <w:rFonts w:ascii="宋体" w:hAnsi="宋体" w:cs="宋体"/>
      <w:kern w:val="0"/>
    </w:rPr>
  </w:style>
  <w:style w:type="paragraph" w:customStyle="1" w:styleId="1195">
    <w:name w:val="图题"/>
    <w:next w:val="1"/>
    <w:qFormat/>
    <w:uiPriority w:val="0"/>
    <w:pPr>
      <w:widowControl w:val="0"/>
      <w:adjustRightInd w:val="0"/>
      <w:snapToGrid w:val="0"/>
      <w:spacing w:before="60" w:after="120" w:line="360" w:lineRule="auto"/>
      <w:ind w:firstLine="200" w:firstLineChars="200"/>
      <w:jc w:val="center"/>
      <w:outlineLvl w:val="5"/>
    </w:pPr>
    <w:rPr>
      <w:rFonts w:ascii="黑体" w:hAnsi="Times New Roman" w:eastAsia="黑体" w:cs="Times New Roman"/>
      <w:kern w:val="24"/>
      <w:sz w:val="24"/>
      <w:szCs w:val="24"/>
      <w:lang w:val="en-US" w:eastAsia="zh-CN" w:bidi="ar-SA"/>
    </w:rPr>
  </w:style>
  <w:style w:type="paragraph" w:customStyle="1" w:styleId="1196">
    <w:name w:val="表格文字5"/>
    <w:basedOn w:val="66"/>
    <w:semiHidden/>
    <w:qFormat/>
    <w:uiPriority w:val="0"/>
    <w:pPr>
      <w:widowControl/>
      <w:tabs>
        <w:tab w:val="left" w:pos="-30"/>
      </w:tabs>
      <w:adjustRightInd w:val="0"/>
      <w:snapToGrid w:val="0"/>
      <w:spacing w:line="276" w:lineRule="auto"/>
      <w:ind w:left="0" w:firstLine="0" w:firstLineChars="0"/>
    </w:pPr>
    <w:rPr>
      <w:rFonts w:ascii="宋体" w:hAnsi="宋体" w:cs="宋体"/>
      <w:color w:val="000000"/>
      <w:kern w:val="0"/>
    </w:rPr>
  </w:style>
  <w:style w:type="character" w:customStyle="1" w:styleId="1197">
    <w:name w:val="ta141"/>
    <w:semiHidden/>
    <w:qFormat/>
    <w:uiPriority w:val="0"/>
    <w:rPr>
      <w:color w:val="0000FF"/>
      <w:spacing w:val="360"/>
    </w:rPr>
  </w:style>
  <w:style w:type="paragraph" w:customStyle="1" w:styleId="1198">
    <w:name w:val="样式 标题 7 + 段前: 0.5 行 行距: 多倍行距 1.25 字行"/>
    <w:basedOn w:val="8"/>
    <w:qFormat/>
    <w:uiPriority w:val="0"/>
    <w:pPr>
      <w:keepNext w:val="0"/>
      <w:keepLines w:val="0"/>
      <w:widowControl/>
      <w:numPr>
        <w:ilvl w:val="0"/>
        <w:numId w:val="0"/>
      </w:numPr>
      <w:tabs>
        <w:tab w:val="left" w:pos="567"/>
        <w:tab w:val="clear" w:pos="480"/>
        <w:tab w:val="clear" w:pos="576"/>
      </w:tabs>
      <w:autoSpaceDE/>
      <w:autoSpaceDN/>
      <w:adjustRightInd/>
      <w:snapToGrid w:val="0"/>
      <w:spacing w:before="0" w:after="0" w:line="264" w:lineRule="auto"/>
      <w:jc w:val="center"/>
      <w:textAlignment w:val="auto"/>
    </w:pPr>
    <w:rPr>
      <w:rFonts w:ascii="黑体" w:hAnsi="宋体" w:eastAsia="黑体" w:cs="宋体"/>
      <w:b w:val="0"/>
      <w:kern w:val="0"/>
    </w:rPr>
  </w:style>
  <w:style w:type="character" w:customStyle="1" w:styleId="1199">
    <w:name w:val="样式 正文缩进 + 宋体 Char"/>
    <w:link w:val="1082"/>
    <w:qFormat/>
    <w:locked/>
    <w:uiPriority w:val="0"/>
    <w:rPr>
      <w:rFonts w:ascii="宋体" w:hAnsi="宋体" w:eastAsia="宋体"/>
      <w:sz w:val="28"/>
      <w:szCs w:val="28"/>
      <w:lang w:bidi="ar-SA"/>
    </w:rPr>
  </w:style>
  <w:style w:type="paragraph" w:customStyle="1" w:styleId="1200">
    <w:name w:val="Char Char Знак Знак2"/>
    <w:basedOn w:val="1"/>
    <w:semiHidden/>
    <w:qFormat/>
    <w:uiPriority w:val="0"/>
    <w:pPr>
      <w:widowControl/>
      <w:tabs>
        <w:tab w:val="clear" w:pos="480"/>
      </w:tabs>
      <w:spacing w:after="160" w:line="240" w:lineRule="exact"/>
      <w:jc w:val="left"/>
    </w:pPr>
    <w:rPr>
      <w:rFonts w:ascii="宋体" w:hAnsi="宋体" w:cs="宋体"/>
      <w:b/>
      <w:kern w:val="0"/>
      <w:lang w:eastAsia="en-US"/>
    </w:rPr>
  </w:style>
  <w:style w:type="table" w:customStyle="1" w:styleId="1201">
    <w:name w:val="网格型2"/>
    <w:basedOn w:val="88"/>
    <w:qFormat/>
    <w:uiPriority w:val="59"/>
    <w:pPr>
      <w:widowControl w:val="0"/>
      <w:snapToGrid w:val="0"/>
      <w:spacing w:line="336" w:lineRule="auto"/>
      <w:ind w:firstLine="51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202">
    <w:name w:val="京唐秦正文2"/>
    <w:basedOn w:val="1"/>
    <w:next w:val="1"/>
    <w:qFormat/>
    <w:uiPriority w:val="0"/>
    <w:pPr>
      <w:widowControl/>
      <w:tabs>
        <w:tab w:val="left" w:pos="700"/>
        <w:tab w:val="clear" w:pos="480"/>
      </w:tabs>
      <w:spacing w:beforeLines="50"/>
      <w:ind w:firstLine="424"/>
      <w:jc w:val="left"/>
    </w:pPr>
    <w:rPr>
      <w:rFonts w:ascii="宋体" w:hAnsi="宋体" w:cs="宋体"/>
      <w:bCs/>
      <w:kern w:val="0"/>
      <w:lang w:eastAsia="en-US"/>
    </w:rPr>
  </w:style>
  <w:style w:type="paragraph" w:customStyle="1" w:styleId="1203">
    <w:name w:val="标题 4 宋体"/>
    <w:basedOn w:val="5"/>
    <w:next w:val="1"/>
    <w:semiHidden/>
    <w:qFormat/>
    <w:uiPriority w:val="0"/>
    <w:pPr>
      <w:widowControl/>
      <w:numPr>
        <w:numId w:val="0"/>
      </w:numPr>
      <w:tabs>
        <w:tab w:val="left" w:pos="1064"/>
        <w:tab w:val="left" w:pos="2438"/>
        <w:tab w:val="clear" w:pos="480"/>
      </w:tabs>
      <w:adjustRightInd w:val="0"/>
      <w:spacing w:before="0" w:after="0"/>
      <w:jc w:val="left"/>
    </w:pPr>
    <w:rPr>
      <w:rFonts w:ascii="宋体" w:eastAsia="宋体" w:cs="宋体"/>
      <w:b w:val="0"/>
      <w:bCs w:val="0"/>
      <w:kern w:val="0"/>
      <w:sz w:val="24"/>
      <w:szCs w:val="24"/>
    </w:rPr>
  </w:style>
  <w:style w:type="paragraph" w:customStyle="1" w:styleId="1204">
    <w:name w:val="样式 标题 4 + (西文) 宋体 (中文) 宋体2"/>
    <w:basedOn w:val="5"/>
    <w:qFormat/>
    <w:uiPriority w:val="0"/>
    <w:pPr>
      <w:widowControl/>
      <w:numPr>
        <w:numId w:val="0"/>
      </w:numPr>
      <w:tabs>
        <w:tab w:val="left" w:pos="1064"/>
        <w:tab w:val="left" w:pos="2438"/>
        <w:tab w:val="clear" w:pos="480"/>
      </w:tabs>
      <w:adjustRightInd w:val="0"/>
      <w:spacing w:before="0" w:after="0"/>
      <w:ind w:left="864" w:hanging="864"/>
      <w:jc w:val="left"/>
    </w:pPr>
    <w:rPr>
      <w:rFonts w:ascii="黑体" w:eastAsia="黑体" w:cs="宋体"/>
      <w:b w:val="0"/>
      <w:bCs w:val="0"/>
      <w:kern w:val="0"/>
      <w:sz w:val="24"/>
      <w:szCs w:val="24"/>
    </w:rPr>
  </w:style>
  <w:style w:type="paragraph" w:customStyle="1" w:styleId="1205">
    <w:name w:val="样式 标题 3 + (西文) 宋体 (中文) 宋体1"/>
    <w:basedOn w:val="4"/>
    <w:qFormat/>
    <w:uiPriority w:val="0"/>
    <w:pPr>
      <w:widowControl/>
      <w:numPr>
        <w:numId w:val="0"/>
      </w:numPr>
      <w:tabs>
        <w:tab w:val="left" w:pos="720"/>
        <w:tab w:val="left" w:pos="1000"/>
        <w:tab w:val="clear" w:pos="480"/>
        <w:tab w:val="clear" w:pos="840"/>
      </w:tabs>
      <w:adjustRightInd w:val="0"/>
      <w:spacing w:before="0" w:after="0" w:line="360" w:lineRule="auto"/>
      <w:ind w:left="720" w:hanging="720"/>
      <w:jc w:val="left"/>
    </w:pPr>
    <w:rPr>
      <w:rFonts w:ascii="黑体" w:hAnsi="宋体" w:eastAsia="黑体" w:cs="宋体"/>
      <w:b w:val="0"/>
      <w:bCs w:val="0"/>
      <w:kern w:val="0"/>
      <w:sz w:val="24"/>
      <w:szCs w:val="24"/>
    </w:rPr>
  </w:style>
  <w:style w:type="paragraph" w:customStyle="1" w:styleId="1206">
    <w:name w:val="样式 标题 4 + (西文) 宋体 (中文) 宋体5"/>
    <w:basedOn w:val="5"/>
    <w:qFormat/>
    <w:uiPriority w:val="0"/>
    <w:pPr>
      <w:widowControl/>
      <w:numPr>
        <w:numId w:val="0"/>
      </w:numPr>
      <w:tabs>
        <w:tab w:val="left" w:pos="1064"/>
        <w:tab w:val="left" w:pos="2438"/>
        <w:tab w:val="clear" w:pos="480"/>
      </w:tabs>
      <w:adjustRightInd w:val="0"/>
      <w:spacing w:before="0" w:after="0"/>
      <w:jc w:val="left"/>
    </w:pPr>
    <w:rPr>
      <w:rFonts w:ascii="黑体" w:eastAsia="黑体" w:cs="宋体"/>
      <w:b w:val="0"/>
      <w:bCs w:val="0"/>
      <w:kern w:val="0"/>
      <w:sz w:val="24"/>
      <w:szCs w:val="24"/>
    </w:rPr>
  </w:style>
  <w:style w:type="paragraph" w:customStyle="1" w:styleId="1207">
    <w:name w:val="样式 标题 4 宋体 + (符号) 宋体"/>
    <w:basedOn w:val="1203"/>
    <w:qFormat/>
    <w:uiPriority w:val="0"/>
    <w:rPr>
      <w:rFonts w:ascii="黑体" w:eastAsia="黑体"/>
    </w:rPr>
  </w:style>
  <w:style w:type="paragraph" w:customStyle="1" w:styleId="1208">
    <w:name w:val="样式 标题 4 + (西文) 宋体 (中文) 宋体6"/>
    <w:basedOn w:val="5"/>
    <w:qFormat/>
    <w:uiPriority w:val="0"/>
    <w:pPr>
      <w:widowControl/>
      <w:numPr>
        <w:numId w:val="0"/>
      </w:numPr>
      <w:tabs>
        <w:tab w:val="left" w:pos="1064"/>
        <w:tab w:val="left" w:pos="2438"/>
        <w:tab w:val="clear" w:pos="480"/>
      </w:tabs>
      <w:adjustRightInd w:val="0"/>
      <w:spacing w:before="0" w:after="0"/>
      <w:jc w:val="left"/>
    </w:pPr>
    <w:rPr>
      <w:rFonts w:ascii="黑体" w:eastAsia="黑体" w:cs="宋体"/>
      <w:b w:val="0"/>
      <w:bCs w:val="0"/>
      <w:kern w:val="0"/>
      <w:sz w:val="24"/>
      <w:szCs w:val="24"/>
    </w:rPr>
  </w:style>
  <w:style w:type="paragraph" w:customStyle="1" w:styleId="1209">
    <w:name w:val="正文缩进1"/>
    <w:basedOn w:val="1"/>
    <w:qFormat/>
    <w:uiPriority w:val="0"/>
    <w:pPr>
      <w:widowControl/>
      <w:tabs>
        <w:tab w:val="clear" w:pos="480"/>
      </w:tabs>
      <w:spacing w:line="240" w:lineRule="auto"/>
      <w:ind w:firstLine="420"/>
      <w:jc w:val="left"/>
    </w:pPr>
    <w:rPr>
      <w:rFonts w:ascii="宋体" w:hAnsi="宋体" w:cs="宋体"/>
      <w:kern w:val="0"/>
    </w:rPr>
  </w:style>
  <w:style w:type="paragraph" w:customStyle="1" w:styleId="1210">
    <w:name w:val="节内标题一"/>
    <w:basedOn w:val="1"/>
    <w:qFormat/>
    <w:uiPriority w:val="0"/>
    <w:pPr>
      <w:widowControl/>
      <w:tabs>
        <w:tab w:val="clear" w:pos="480"/>
      </w:tabs>
      <w:spacing w:line="400" w:lineRule="exact"/>
      <w:ind w:firstLine="562"/>
      <w:jc w:val="left"/>
    </w:pPr>
    <w:rPr>
      <w:rFonts w:ascii="宋体" w:hAnsi="宋体" w:cs="宋体"/>
      <w:b/>
      <w:bCs/>
      <w:kern w:val="0"/>
    </w:rPr>
  </w:style>
  <w:style w:type="paragraph" w:customStyle="1" w:styleId="1211">
    <w:name w:val="Char Char Char Char Char Char Char Char1"/>
    <w:basedOn w:val="1"/>
    <w:semiHidden/>
    <w:qFormat/>
    <w:uiPriority w:val="0"/>
    <w:pPr>
      <w:widowControl/>
      <w:tabs>
        <w:tab w:val="clear" w:pos="480"/>
      </w:tabs>
      <w:spacing w:after="160" w:line="240" w:lineRule="exact"/>
      <w:jc w:val="left"/>
    </w:pPr>
    <w:rPr>
      <w:rFonts w:ascii="Verdana" w:hAnsi="Verdana" w:cs="宋体"/>
      <w:kern w:val="0"/>
      <w:sz w:val="20"/>
      <w:lang w:eastAsia="en-US"/>
    </w:rPr>
  </w:style>
  <w:style w:type="character" w:customStyle="1" w:styleId="1212">
    <w:name w:val="Char31"/>
    <w:semiHidden/>
    <w:qFormat/>
    <w:uiPriority w:val="0"/>
    <w:rPr>
      <w:rFonts w:eastAsia="宋体"/>
      <w:b/>
      <w:bCs/>
      <w:kern w:val="44"/>
      <w:sz w:val="30"/>
      <w:szCs w:val="44"/>
      <w:lang w:val="en-US" w:eastAsia="zh-CN" w:bidi="ar-SA"/>
    </w:rPr>
  </w:style>
  <w:style w:type="character" w:customStyle="1" w:styleId="1213">
    <w:name w:val="表题 Char1"/>
    <w:qFormat/>
    <w:uiPriority w:val="0"/>
    <w:rPr>
      <w:rFonts w:eastAsia="宋体"/>
      <w:b/>
      <w:bCs/>
      <w:kern w:val="2"/>
      <w:sz w:val="28"/>
      <w:szCs w:val="28"/>
      <w:lang w:val="en-US" w:eastAsia="zh-CN" w:bidi="ar-SA"/>
    </w:rPr>
  </w:style>
  <w:style w:type="paragraph" w:customStyle="1" w:styleId="1214">
    <w:name w:val="Char Char1 Char Char Char Char1"/>
    <w:basedOn w:val="1"/>
    <w:semiHidden/>
    <w:qFormat/>
    <w:uiPriority w:val="0"/>
    <w:pPr>
      <w:widowControl/>
      <w:tabs>
        <w:tab w:val="clear" w:pos="480"/>
      </w:tabs>
      <w:spacing w:line="240" w:lineRule="auto"/>
      <w:jc w:val="left"/>
    </w:pPr>
    <w:rPr>
      <w:rFonts w:ascii="宋体" w:hAnsi="宋体" w:cs="宋体"/>
      <w:kern w:val="0"/>
      <w:sz w:val="21"/>
      <w:szCs w:val="21"/>
    </w:rPr>
  </w:style>
  <w:style w:type="paragraph" w:customStyle="1" w:styleId="1215">
    <w:name w:val="Char2 Char Char Char Char Char Char Char Char Char Char Char Char1"/>
    <w:basedOn w:val="1"/>
    <w:semiHidden/>
    <w:qFormat/>
    <w:uiPriority w:val="0"/>
    <w:pPr>
      <w:widowControl/>
      <w:tabs>
        <w:tab w:val="clear" w:pos="480"/>
      </w:tabs>
      <w:spacing w:line="240" w:lineRule="auto"/>
      <w:ind w:left="-48"/>
      <w:jc w:val="left"/>
    </w:pPr>
    <w:rPr>
      <w:rFonts w:ascii="宋体" w:hAnsi="宋体" w:cs="宋体"/>
      <w:kern w:val="0"/>
      <w:sz w:val="21"/>
    </w:rPr>
  </w:style>
  <w:style w:type="paragraph" w:customStyle="1" w:styleId="1216">
    <w:name w:val="正文文本缩进 211"/>
    <w:basedOn w:val="1"/>
    <w:qFormat/>
    <w:uiPriority w:val="0"/>
    <w:pPr>
      <w:widowControl/>
      <w:tabs>
        <w:tab w:val="clear" w:pos="480"/>
      </w:tabs>
      <w:adjustRightInd w:val="0"/>
      <w:ind w:firstLine="480"/>
      <w:jc w:val="left"/>
      <w:textAlignment w:val="baseline"/>
    </w:pPr>
    <w:rPr>
      <w:rFonts w:ascii="宋体" w:hAnsi="宋体" w:cs="宋体"/>
      <w:kern w:val="0"/>
      <w:lang w:bidi="he-IL"/>
    </w:rPr>
  </w:style>
  <w:style w:type="paragraph" w:customStyle="1" w:styleId="1217">
    <w:name w:val="正文文本缩进 311"/>
    <w:basedOn w:val="1"/>
    <w:qFormat/>
    <w:uiPriority w:val="0"/>
    <w:pPr>
      <w:widowControl/>
      <w:tabs>
        <w:tab w:val="clear" w:pos="480"/>
      </w:tabs>
      <w:adjustRightInd w:val="0"/>
      <w:spacing w:line="360" w:lineRule="atLeast"/>
      <w:ind w:firstLine="525"/>
      <w:jc w:val="left"/>
      <w:textAlignment w:val="baseline"/>
    </w:pPr>
    <w:rPr>
      <w:rFonts w:ascii="宋体" w:hAnsi="宋体" w:cs="宋体"/>
      <w:kern w:val="0"/>
    </w:rPr>
  </w:style>
  <w:style w:type="character" w:customStyle="1" w:styleId="1218">
    <w:name w:val="Char Char2"/>
    <w:qFormat/>
    <w:uiPriority w:val="0"/>
    <w:rPr>
      <w:rFonts w:ascii="宋体" w:hAnsi="Courier New" w:eastAsia="宋体"/>
      <w:kern w:val="2"/>
      <w:sz w:val="21"/>
      <w:lang w:val="en-US" w:eastAsia="zh-CN" w:bidi="ar-SA"/>
    </w:rPr>
  </w:style>
  <w:style w:type="paragraph" w:customStyle="1" w:styleId="1219">
    <w:name w:val="本册报告名称"/>
    <w:basedOn w:val="678"/>
    <w:semiHidden/>
    <w:qFormat/>
    <w:uiPriority w:val="0"/>
    <w:pPr>
      <w:widowControl/>
      <w:ind w:firstLine="0" w:firstLineChars="0"/>
      <w:textAlignment w:val="auto"/>
    </w:pPr>
    <w:rPr>
      <w:rFonts w:ascii="文鼎大标宋简" w:eastAsia="文鼎大标宋简" w:cs="宋体"/>
      <w:b w:val="0"/>
      <w:bCs w:val="0"/>
      <w:color w:val="auto"/>
      <w:kern w:val="0"/>
      <w:sz w:val="48"/>
      <w:szCs w:val="24"/>
    </w:rPr>
  </w:style>
  <w:style w:type="paragraph" w:customStyle="1" w:styleId="1220">
    <w:name w:val="Char4"/>
    <w:basedOn w:val="1"/>
    <w:qFormat/>
    <w:uiPriority w:val="0"/>
    <w:pPr>
      <w:widowControl/>
      <w:tabs>
        <w:tab w:val="clear" w:pos="480"/>
      </w:tabs>
      <w:spacing w:line="240" w:lineRule="auto"/>
      <w:jc w:val="left"/>
    </w:pPr>
    <w:rPr>
      <w:rFonts w:ascii="宋体" w:hAnsi="宋体" w:cs="宋体"/>
      <w:kern w:val="0"/>
      <w:sz w:val="21"/>
    </w:rPr>
  </w:style>
  <w:style w:type="paragraph" w:customStyle="1" w:styleId="1221">
    <w:name w:val="Char1 Char Char Char1"/>
    <w:basedOn w:val="1"/>
    <w:semiHidden/>
    <w:qFormat/>
    <w:uiPriority w:val="0"/>
    <w:pPr>
      <w:widowControl/>
      <w:tabs>
        <w:tab w:val="clear" w:pos="480"/>
      </w:tabs>
      <w:spacing w:after="160" w:line="240" w:lineRule="exact"/>
      <w:jc w:val="left"/>
    </w:pPr>
    <w:rPr>
      <w:rFonts w:ascii="宋体" w:hAnsi="宋体" w:cs="宋体"/>
      <w:b/>
      <w:kern w:val="0"/>
      <w:lang w:eastAsia="en-US"/>
    </w:rPr>
  </w:style>
  <w:style w:type="paragraph" w:customStyle="1" w:styleId="1222">
    <w:name w:val="Char Char Char Char1"/>
    <w:basedOn w:val="1"/>
    <w:qFormat/>
    <w:uiPriority w:val="0"/>
    <w:pPr>
      <w:widowControl/>
      <w:tabs>
        <w:tab w:val="clear" w:pos="480"/>
      </w:tabs>
      <w:spacing w:line="240" w:lineRule="auto"/>
      <w:jc w:val="left"/>
    </w:pPr>
    <w:rPr>
      <w:rFonts w:ascii="宋体" w:hAnsi="宋体" w:cs="宋体"/>
      <w:kern w:val="0"/>
      <w:sz w:val="21"/>
      <w:szCs w:val="21"/>
    </w:rPr>
  </w:style>
  <w:style w:type="paragraph" w:customStyle="1" w:styleId="1223">
    <w:name w:val="Char21"/>
    <w:basedOn w:val="1"/>
    <w:next w:val="1"/>
    <w:semiHidden/>
    <w:qFormat/>
    <w:uiPriority w:val="0"/>
    <w:pPr>
      <w:widowControl/>
      <w:tabs>
        <w:tab w:val="left" w:pos="560"/>
        <w:tab w:val="clear" w:pos="480"/>
      </w:tabs>
      <w:autoSpaceDE w:val="0"/>
      <w:autoSpaceDN w:val="0"/>
      <w:adjustRightInd w:val="0"/>
      <w:spacing w:line="240" w:lineRule="auto"/>
      <w:ind w:firstLine="1137" w:firstLineChars="406"/>
      <w:jc w:val="left"/>
    </w:pPr>
    <w:rPr>
      <w:rFonts w:ascii="宋体" w:hAnsi="宋体" w:cs="宋体"/>
      <w:color w:val="000000"/>
      <w:kern w:val="0"/>
      <w:szCs w:val="28"/>
    </w:rPr>
  </w:style>
  <w:style w:type="paragraph" w:customStyle="1" w:styleId="1224">
    <w:name w:val="Char Char Char Char Char Char Char Char Char Char1"/>
    <w:basedOn w:val="1"/>
    <w:semiHidden/>
    <w:qFormat/>
    <w:uiPriority w:val="0"/>
    <w:pPr>
      <w:widowControl/>
      <w:tabs>
        <w:tab w:val="clear" w:pos="480"/>
      </w:tabs>
      <w:spacing w:line="240" w:lineRule="auto"/>
      <w:jc w:val="left"/>
    </w:pPr>
    <w:rPr>
      <w:rFonts w:ascii="宋体" w:hAnsi="宋体" w:cs="宋体"/>
      <w:kern w:val="0"/>
      <w:sz w:val="21"/>
      <w:szCs w:val="21"/>
    </w:rPr>
  </w:style>
  <w:style w:type="paragraph" w:customStyle="1" w:styleId="1225">
    <w:name w:val="Char Char Знак Знак1"/>
    <w:basedOn w:val="1"/>
    <w:semiHidden/>
    <w:qFormat/>
    <w:uiPriority w:val="0"/>
    <w:pPr>
      <w:widowControl/>
      <w:tabs>
        <w:tab w:val="clear" w:pos="480"/>
      </w:tabs>
      <w:spacing w:after="160" w:line="240" w:lineRule="exact"/>
      <w:jc w:val="left"/>
    </w:pPr>
    <w:rPr>
      <w:rFonts w:ascii="宋体" w:hAnsi="宋体" w:cs="宋体"/>
      <w:b/>
      <w:kern w:val="0"/>
      <w:lang w:eastAsia="en-US"/>
    </w:rPr>
  </w:style>
  <w:style w:type="paragraph" w:customStyle="1" w:styleId="1226">
    <w:name w:val="Char11"/>
    <w:basedOn w:val="1"/>
    <w:semiHidden/>
    <w:qFormat/>
    <w:uiPriority w:val="0"/>
    <w:pPr>
      <w:widowControl/>
      <w:tabs>
        <w:tab w:val="clear" w:pos="480"/>
      </w:tabs>
      <w:spacing w:beforeLines="50"/>
      <w:ind w:firstLine="560"/>
      <w:jc w:val="left"/>
    </w:pPr>
    <w:rPr>
      <w:rFonts w:ascii="宋体" w:hAnsi="宋体" w:cs="宋体"/>
      <w:kern w:val="0"/>
      <w:szCs w:val="28"/>
    </w:rPr>
  </w:style>
  <w:style w:type="paragraph" w:customStyle="1" w:styleId="1227">
    <w:name w:val="表芯"/>
    <w:basedOn w:val="1"/>
    <w:next w:val="1"/>
    <w:qFormat/>
    <w:uiPriority w:val="0"/>
    <w:pPr>
      <w:keepNext/>
      <w:widowControl/>
      <w:tabs>
        <w:tab w:val="clear" w:pos="480"/>
      </w:tabs>
      <w:adjustRightInd w:val="0"/>
      <w:spacing w:before="20" w:line="0" w:lineRule="atLeast"/>
      <w:jc w:val="center"/>
      <w:textAlignment w:val="baseline"/>
    </w:pPr>
    <w:rPr>
      <w:rFonts w:ascii="宋体" w:hAnsi="宋体" w:cs="宋体"/>
      <w:kern w:val="21"/>
      <w:sz w:val="21"/>
    </w:rPr>
  </w:style>
  <w:style w:type="paragraph" w:customStyle="1" w:styleId="1228">
    <w:name w:val="样式 标题 1 + 左侧:  1 字符 右侧:  1 字符"/>
    <w:basedOn w:val="2"/>
    <w:qFormat/>
    <w:uiPriority w:val="0"/>
    <w:pPr>
      <w:widowControl/>
      <w:numPr>
        <w:numId w:val="0"/>
      </w:numPr>
      <w:tabs>
        <w:tab w:val="clear" w:pos="480"/>
      </w:tabs>
      <w:spacing w:beforeLines="50" w:afterLines="50"/>
      <w:ind w:left="240" w:leftChars="100" w:right="240" w:rightChars="100"/>
      <w:jc w:val="left"/>
    </w:pPr>
    <w:rPr>
      <w:rFonts w:ascii="Arial" w:hAnsi="Arial" w:eastAsia="宋体" w:cs="宋体"/>
      <w:bCs w:val="0"/>
      <w:sz w:val="24"/>
      <w:szCs w:val="28"/>
    </w:rPr>
  </w:style>
  <w:style w:type="paragraph" w:customStyle="1" w:styleId="1229">
    <w:name w:val="样式 标题 2 + 左侧:  1 字符 右侧:  1 字符"/>
    <w:basedOn w:val="3"/>
    <w:qFormat/>
    <w:uiPriority w:val="0"/>
    <w:pPr>
      <w:widowControl/>
      <w:numPr>
        <w:ilvl w:val="0"/>
        <w:numId w:val="0"/>
      </w:numPr>
      <w:tabs>
        <w:tab w:val="clear" w:pos="480"/>
        <w:tab w:val="clear" w:pos="630"/>
      </w:tabs>
      <w:spacing w:before="0" w:after="0"/>
      <w:ind w:left="240" w:leftChars="100" w:right="240" w:rightChars="100"/>
      <w:jc w:val="left"/>
    </w:pPr>
    <w:rPr>
      <w:rFonts w:ascii="Arial" w:hAnsi="Arial" w:cs="宋体"/>
      <w:b w:val="0"/>
      <w:bCs w:val="0"/>
      <w:kern w:val="0"/>
      <w:sz w:val="24"/>
      <w:szCs w:val="28"/>
    </w:rPr>
  </w:style>
  <w:style w:type="paragraph" w:customStyle="1" w:styleId="1230">
    <w:name w:val="样式 正文缩进 + 四号 首行缩进:  1.1 厘米"/>
    <w:basedOn w:val="20"/>
    <w:qFormat/>
    <w:uiPriority w:val="0"/>
    <w:pPr>
      <w:widowControl/>
      <w:tabs>
        <w:tab w:val="clear" w:pos="480"/>
      </w:tabs>
      <w:adjustRightInd w:val="0"/>
      <w:snapToGrid w:val="0"/>
      <w:spacing w:line="300" w:lineRule="auto"/>
      <w:ind w:left="240" w:leftChars="100" w:right="240" w:rightChars="100" w:firstLine="624" w:firstLineChars="0"/>
      <w:jc w:val="left"/>
    </w:pPr>
    <w:rPr>
      <w:rFonts w:ascii="Arial" w:hAnsi="Arial" w:cs="宋体"/>
      <w:kern w:val="0"/>
    </w:rPr>
  </w:style>
  <w:style w:type="paragraph" w:customStyle="1" w:styleId="1231">
    <w:name w:val="样式 样式 正文缩进 + 四号 首行缩进:  1.1 厘米 + 左侧:  1 字符 右侧:  1 字符"/>
    <w:basedOn w:val="1"/>
    <w:qFormat/>
    <w:uiPriority w:val="0"/>
    <w:pPr>
      <w:widowControl/>
      <w:tabs>
        <w:tab w:val="clear" w:pos="480"/>
      </w:tabs>
      <w:adjustRightInd w:val="0"/>
      <w:snapToGrid w:val="0"/>
      <w:ind w:left="240" w:leftChars="100" w:right="240" w:rightChars="100" w:firstLine="397"/>
      <w:jc w:val="left"/>
    </w:pPr>
    <w:rPr>
      <w:rFonts w:ascii="Arial" w:hAnsi="Arial" w:cs="宋体"/>
      <w:kern w:val="0"/>
      <w:szCs w:val="20"/>
    </w:rPr>
  </w:style>
  <w:style w:type="paragraph" w:customStyle="1" w:styleId="1232">
    <w:name w:val="样式 样式 样式 正文缩进 + 四号 首行缩进:  1.1 厘米 + 左侧:  1 字符 右侧:  1 字符 + 左侧:  1 ..."/>
    <w:basedOn w:val="1231"/>
    <w:qFormat/>
    <w:uiPriority w:val="0"/>
    <w:pPr>
      <w:ind w:firstLine="510"/>
    </w:pPr>
  </w:style>
  <w:style w:type="paragraph" w:customStyle="1" w:styleId="1233">
    <w:name w:val="样式 样式 样式 样式 正文缩进 + 四号 首行缩进:  1.1 厘米 + 左侧:  1 字符 右侧:  1 字符 + 左侧: ..."/>
    <w:basedOn w:val="1232"/>
    <w:qFormat/>
    <w:uiPriority w:val="0"/>
    <w:pPr>
      <w:ind w:left="425" w:leftChars="177" w:firstLine="725" w:firstLineChars="302"/>
    </w:pPr>
    <w:rPr>
      <w:szCs w:val="24"/>
    </w:rPr>
  </w:style>
  <w:style w:type="paragraph" w:customStyle="1" w:styleId="1234">
    <w:name w:val="样式 标题 3 + 左侧:  1 字符 右侧:  1 字符"/>
    <w:basedOn w:val="4"/>
    <w:qFormat/>
    <w:uiPriority w:val="0"/>
    <w:pPr>
      <w:widowControl/>
      <w:numPr>
        <w:ilvl w:val="0"/>
        <w:numId w:val="0"/>
      </w:numPr>
      <w:tabs>
        <w:tab w:val="clear" w:pos="480"/>
        <w:tab w:val="clear" w:pos="840"/>
      </w:tabs>
      <w:spacing w:before="0" w:after="0" w:line="360" w:lineRule="auto"/>
      <w:ind w:left="100" w:leftChars="100" w:right="100" w:rightChars="100"/>
      <w:jc w:val="left"/>
    </w:pPr>
    <w:rPr>
      <w:rFonts w:ascii="Arial" w:hAnsi="Arial" w:eastAsia="宋体" w:cs="宋体"/>
      <w:b w:val="0"/>
      <w:bCs w:val="0"/>
      <w:kern w:val="0"/>
      <w:sz w:val="24"/>
      <w:szCs w:val="28"/>
    </w:rPr>
  </w:style>
  <w:style w:type="paragraph" w:customStyle="1" w:styleId="1235">
    <w:name w:val="样式 样式 标题 2 + 左侧:  1 字符 右侧:  1 字符 + (西文) 黑体"/>
    <w:basedOn w:val="1229"/>
    <w:qFormat/>
    <w:uiPriority w:val="0"/>
    <w:pPr/>
  </w:style>
  <w:style w:type="paragraph" w:customStyle="1" w:styleId="1236">
    <w:name w:val="样式 样式 标题 2 + 左侧:  1 字符 右侧:  1 字符 + (西文) 黑体1"/>
    <w:basedOn w:val="1229"/>
    <w:qFormat/>
    <w:uiPriority w:val="0"/>
    <w:pPr/>
  </w:style>
  <w:style w:type="character" w:customStyle="1" w:styleId="1237">
    <w:name w:val="样式 标题 2 + 左侧:  1 字符 右侧:  1 字符 Char"/>
    <w:qFormat/>
    <w:uiPriority w:val="0"/>
    <w:rPr>
      <w:rFonts w:ascii="Arial" w:hAnsi="Arial" w:eastAsia="宋体" w:cs="宋体"/>
      <w:bCs/>
      <w:kern w:val="2"/>
      <w:sz w:val="28"/>
      <w:szCs w:val="28"/>
      <w:lang w:val="en-US" w:eastAsia="zh-CN" w:bidi="ar-SA"/>
    </w:rPr>
  </w:style>
  <w:style w:type="character" w:customStyle="1" w:styleId="1238">
    <w:name w:val="样式 样式 标题 2 + 左侧:  1 字符 右侧:  1 字符 + (西文) 黑体1 Char"/>
    <w:qFormat/>
    <w:uiPriority w:val="0"/>
    <w:rPr>
      <w:rFonts w:ascii="Arial" w:hAnsi="Arial" w:eastAsia="宋体" w:cs="宋体"/>
      <w:kern w:val="2"/>
      <w:sz w:val="28"/>
      <w:szCs w:val="28"/>
      <w:lang w:val="en-US" w:eastAsia="zh-CN" w:bidi="ar-SA"/>
    </w:rPr>
  </w:style>
  <w:style w:type="paragraph" w:customStyle="1" w:styleId="1239">
    <w:name w:val="样式 样式 标题 1 + 左侧:  1 字符 右侧:  1 字符 + 宋体"/>
    <w:basedOn w:val="1228"/>
    <w:qFormat/>
    <w:uiPriority w:val="0"/>
    <w:pPr/>
    <w:rPr>
      <w:bCs/>
    </w:rPr>
  </w:style>
  <w:style w:type="character" w:customStyle="1" w:styleId="1240">
    <w:name w:val="样式 标题 1 + 左侧:  1 字符 右侧:  1 字符 Char"/>
    <w:qFormat/>
    <w:uiPriority w:val="0"/>
    <w:rPr>
      <w:rFonts w:ascii="Arial" w:hAnsi="Arial" w:eastAsia="宋体" w:cs="宋体"/>
      <w:b/>
      <w:bCs/>
      <w:kern w:val="44"/>
      <w:sz w:val="28"/>
      <w:szCs w:val="28"/>
      <w:lang w:val="en-US" w:eastAsia="zh-CN" w:bidi="ar-SA"/>
    </w:rPr>
  </w:style>
  <w:style w:type="character" w:customStyle="1" w:styleId="1241">
    <w:name w:val="样式 样式 标题 1 + 左侧:  1 字符 右侧:  1 字符 + 宋体 Char"/>
    <w:qFormat/>
    <w:uiPriority w:val="0"/>
    <w:rPr>
      <w:rFonts w:ascii="Arial" w:hAnsi="Arial" w:eastAsia="宋体" w:cs="宋体"/>
      <w:kern w:val="44"/>
      <w:sz w:val="28"/>
      <w:szCs w:val="28"/>
      <w:lang w:val="en-US" w:eastAsia="zh-CN" w:bidi="ar-SA"/>
    </w:rPr>
  </w:style>
  <w:style w:type="character" w:customStyle="1" w:styleId="1242">
    <w:name w:val="样式1 Char"/>
    <w:link w:val="194"/>
    <w:qFormat/>
    <w:uiPriority w:val="0"/>
    <w:rPr>
      <w:rFonts w:eastAsia="楷体_GB2312"/>
      <w:kern w:val="2"/>
      <w:sz w:val="28"/>
      <w:szCs w:val="24"/>
      <w:lang w:val="en-US" w:eastAsia="zh-CN" w:bidi="ar-SA"/>
    </w:rPr>
  </w:style>
  <w:style w:type="paragraph" w:customStyle="1" w:styleId="1243">
    <w:name w:val="样式 样式 标题 3 + 左侧:  1 字符 右侧:  1 字符 + 宋体 左侧:  1 字符 右侧:  1 字符"/>
    <w:basedOn w:val="1234"/>
    <w:qFormat/>
    <w:uiPriority w:val="0"/>
    <w:pPr>
      <w:ind w:left="240" w:right="240"/>
    </w:pPr>
  </w:style>
  <w:style w:type="paragraph" w:customStyle="1" w:styleId="1244">
    <w:name w:val="样式 样式 标题 1 + 左侧:  1 字符 右侧:  1 字符 + 宋体 非加粗 左侧:  1 字符 右侧:  1 字符"/>
    <w:basedOn w:val="1228"/>
    <w:qFormat/>
    <w:uiPriority w:val="0"/>
    <w:pPr/>
  </w:style>
  <w:style w:type="paragraph" w:customStyle="1" w:styleId="1245">
    <w:name w:val="样式 样式 样式 标题 2 + 左侧:  1 字符 右侧:  1 字符 + (西文) 黑体1 + 宋体 加粗"/>
    <w:basedOn w:val="1236"/>
    <w:qFormat/>
    <w:uiPriority w:val="0"/>
    <w:pPr/>
    <w:rPr>
      <w:bCs/>
    </w:rPr>
  </w:style>
  <w:style w:type="paragraph" w:customStyle="1" w:styleId="1246">
    <w:name w:val="样式 标题 4 +"/>
    <w:basedOn w:val="5"/>
    <w:qFormat/>
    <w:uiPriority w:val="0"/>
    <w:pPr>
      <w:widowControl/>
      <w:numPr>
        <w:ilvl w:val="0"/>
        <w:numId w:val="0"/>
      </w:numPr>
      <w:tabs>
        <w:tab w:val="clear" w:pos="480"/>
      </w:tabs>
      <w:adjustRightInd w:val="0"/>
      <w:spacing w:before="0" w:after="0"/>
      <w:ind w:left="240" w:leftChars="100" w:right="240" w:rightChars="100"/>
      <w:jc w:val="left"/>
    </w:pPr>
    <w:rPr>
      <w:rFonts w:ascii="宋体" w:eastAsia="宋体" w:cs="宋体"/>
      <w:b w:val="0"/>
      <w:bCs w:val="0"/>
      <w:kern w:val="0"/>
      <w:sz w:val="24"/>
      <w:szCs w:val="24"/>
    </w:rPr>
  </w:style>
  <w:style w:type="paragraph" w:customStyle="1" w:styleId="1247">
    <w:name w:val="样式 样式 样式 标题 2 + 左侧:  1 字符 右侧:  1 字符 + (西文) 黑体1 + (西文) 黑体"/>
    <w:basedOn w:val="1236"/>
    <w:qFormat/>
    <w:uiPriority w:val="0"/>
    <w:pPr/>
  </w:style>
  <w:style w:type="paragraph" w:customStyle="1" w:styleId="1248">
    <w:name w:val="样式 样式 样式 样式 标题 2 + 左侧:  1 字符 右侧:  1 字符 + (西文) 黑体1 + (西文) 黑体 + 加粗"/>
    <w:basedOn w:val="1247"/>
    <w:qFormat/>
    <w:uiPriority w:val="0"/>
    <w:pPr>
      <w:adjustRightInd w:val="0"/>
    </w:pPr>
    <w:rPr>
      <w:bCs/>
    </w:rPr>
  </w:style>
  <w:style w:type="paragraph" w:customStyle="1" w:styleId="1249">
    <w:name w:val="样式 正文首行缩进 + 首行缩进:  1 字符"/>
    <w:basedOn w:val="86"/>
    <w:qFormat/>
    <w:uiPriority w:val="0"/>
    <w:pPr>
      <w:widowControl/>
      <w:adjustRightInd w:val="0"/>
      <w:snapToGrid w:val="0"/>
      <w:spacing w:after="0" w:line="360" w:lineRule="auto"/>
      <w:ind w:left="240" w:leftChars="100" w:right="240" w:rightChars="100" w:firstLine="480" w:firstLineChars="200"/>
      <w:jc w:val="left"/>
    </w:pPr>
    <w:rPr>
      <w:rFonts w:ascii="Arial" w:hAnsi="Arial" w:cs="宋体"/>
      <w:kern w:val="0"/>
      <w:sz w:val="24"/>
    </w:rPr>
  </w:style>
  <w:style w:type="paragraph" w:customStyle="1" w:styleId="1250">
    <w:name w:val="样式 正文缩进 + (西文) Arial 小四"/>
    <w:basedOn w:val="20"/>
    <w:link w:val="1251"/>
    <w:qFormat/>
    <w:uiPriority w:val="0"/>
    <w:pPr>
      <w:widowControl/>
      <w:tabs>
        <w:tab w:val="clear" w:pos="480"/>
      </w:tabs>
      <w:snapToGrid w:val="0"/>
      <w:ind w:firstLine="0" w:firstLineChars="0"/>
      <w:jc w:val="left"/>
    </w:pPr>
    <w:rPr>
      <w:rFonts w:ascii="宋体" w:hAnsi="宋体"/>
      <w:kern w:val="0"/>
      <w:sz w:val="28"/>
      <w:lang w:val="zh-CN"/>
    </w:rPr>
  </w:style>
  <w:style w:type="character" w:customStyle="1" w:styleId="1251">
    <w:name w:val="样式 正文缩进 + (西文) Arial 小四 Char"/>
    <w:link w:val="1250"/>
    <w:qFormat/>
    <w:uiPriority w:val="0"/>
    <w:rPr>
      <w:rFonts w:ascii="宋体" w:hAnsi="宋体" w:eastAsia="宋体"/>
      <w:sz w:val="28"/>
      <w:szCs w:val="24"/>
      <w:lang w:bidi="ar-SA"/>
    </w:rPr>
  </w:style>
  <w:style w:type="paragraph" w:customStyle="1" w:styleId="1252">
    <w:name w:val="正文段落"/>
    <w:basedOn w:val="1"/>
    <w:link w:val="3349"/>
    <w:qFormat/>
    <w:uiPriority w:val="0"/>
    <w:pPr>
      <w:widowControl/>
      <w:tabs>
        <w:tab w:val="clear" w:pos="480"/>
      </w:tabs>
      <w:spacing w:line="240" w:lineRule="auto"/>
      <w:ind w:firstLine="560"/>
      <w:jc w:val="left"/>
    </w:pPr>
    <w:rPr>
      <w:rFonts w:ascii="宋体" w:hAnsi="宋体" w:cs="宋体"/>
      <w:kern w:val="0"/>
    </w:rPr>
  </w:style>
  <w:style w:type="paragraph" w:customStyle="1" w:styleId="1253">
    <w:name w:val="w样小4正文"/>
    <w:basedOn w:val="1"/>
    <w:semiHidden/>
    <w:qFormat/>
    <w:uiPriority w:val="0"/>
    <w:pPr>
      <w:widowControl/>
      <w:tabs>
        <w:tab w:val="clear" w:pos="480"/>
      </w:tabs>
      <w:adjustRightInd w:val="0"/>
      <w:ind w:firstLine="480"/>
      <w:jc w:val="left"/>
    </w:pPr>
    <w:rPr>
      <w:rFonts w:ascii="宋体" w:hAnsi="宋体" w:cs="宋体"/>
      <w:kern w:val="0"/>
    </w:rPr>
  </w:style>
  <w:style w:type="paragraph" w:customStyle="1" w:styleId="1254">
    <w:name w:val="样式 标题 41.1.1.1标题 4.1.1.1.1标题 4 Char款四级标题，黑粗，小四，序号H4h4 sub...1"/>
    <w:basedOn w:val="5"/>
    <w:qFormat/>
    <w:uiPriority w:val="0"/>
    <w:pPr>
      <w:widowControl/>
      <w:numPr>
        <w:ilvl w:val="0"/>
        <w:numId w:val="0"/>
      </w:numPr>
      <w:tabs>
        <w:tab w:val="clear" w:pos="480"/>
      </w:tabs>
      <w:adjustRightInd w:val="0"/>
      <w:spacing w:before="120" w:after="120"/>
      <w:ind w:left="560" w:leftChars="100" w:right="100" w:rightChars="100"/>
      <w:jc w:val="left"/>
      <w:textAlignment w:val="baseline"/>
    </w:pPr>
    <w:rPr>
      <w:rFonts w:ascii="Arial" w:hAnsi="Arial" w:eastAsia="宋体" w:cs="宋体"/>
      <w:b w:val="0"/>
      <w:kern w:val="0"/>
      <w:sz w:val="24"/>
    </w:rPr>
  </w:style>
  <w:style w:type="paragraph" w:customStyle="1" w:styleId="1255">
    <w:name w:val="Char Char2 Char"/>
    <w:basedOn w:val="1"/>
    <w:semiHidden/>
    <w:qFormat/>
    <w:uiPriority w:val="0"/>
    <w:pPr>
      <w:tabs>
        <w:tab w:val="clear" w:pos="480"/>
      </w:tabs>
      <w:spacing w:line="240" w:lineRule="auto"/>
    </w:pPr>
    <w:rPr>
      <w:sz w:val="21"/>
      <w:szCs w:val="21"/>
    </w:rPr>
  </w:style>
  <w:style w:type="paragraph" w:customStyle="1" w:styleId="1256">
    <w:name w:val="样式 样式 标题 1w-标题 1 + Times New Roman 加粗 + 非加粗"/>
    <w:basedOn w:val="1"/>
    <w:qFormat/>
    <w:uiPriority w:val="0"/>
    <w:pPr>
      <w:keepNext/>
      <w:keepLines/>
      <w:tabs>
        <w:tab w:val="left" w:pos="0"/>
        <w:tab w:val="left" w:pos="360"/>
        <w:tab w:val="left" w:pos="525"/>
        <w:tab w:val="left" w:pos="644"/>
        <w:tab w:val="clear" w:pos="480"/>
      </w:tabs>
      <w:adjustRightInd w:val="0"/>
      <w:snapToGrid w:val="0"/>
      <w:jc w:val="left"/>
      <w:outlineLvl w:val="1"/>
    </w:pPr>
    <w:rPr>
      <w:rFonts w:eastAsia="黑体" w:cs="宋体"/>
      <w:kern w:val="0"/>
      <w:sz w:val="28"/>
      <w:szCs w:val="20"/>
    </w:rPr>
  </w:style>
  <w:style w:type="character" w:customStyle="1" w:styleId="1257">
    <w:name w:val="w 标题 3 Char Char"/>
    <w:semiHidden/>
    <w:qFormat/>
    <w:uiPriority w:val="0"/>
    <w:rPr>
      <w:rFonts w:ascii="黑体" w:eastAsia="黑体"/>
      <w:kern w:val="2"/>
      <w:sz w:val="24"/>
      <w:szCs w:val="24"/>
      <w:lang w:val="en-US" w:eastAsia="zh-CN" w:bidi="ar-SA"/>
    </w:rPr>
  </w:style>
  <w:style w:type="character" w:customStyle="1" w:styleId="1258">
    <w:name w:val="w 标题 2 Char Char"/>
    <w:semiHidden/>
    <w:qFormat/>
    <w:uiPriority w:val="0"/>
    <w:rPr>
      <w:rFonts w:ascii="黑体" w:eastAsia="黑体"/>
      <w:sz w:val="28"/>
      <w:szCs w:val="28"/>
      <w:lang w:val="en-US" w:eastAsia="zh-CN" w:bidi="ar-SA"/>
    </w:rPr>
  </w:style>
  <w:style w:type="character" w:customStyle="1" w:styleId="1259">
    <w:name w:val="w-标题 1 Char Char"/>
    <w:semiHidden/>
    <w:qFormat/>
    <w:uiPriority w:val="0"/>
    <w:rPr>
      <w:rFonts w:ascii="黑体" w:eastAsia="黑体"/>
      <w:kern w:val="44"/>
      <w:sz w:val="28"/>
      <w:szCs w:val="28"/>
      <w:lang w:val="en-US" w:eastAsia="zh-CN" w:bidi="ar-SA"/>
    </w:rPr>
  </w:style>
  <w:style w:type="character" w:customStyle="1" w:styleId="1260">
    <w:name w:val="w 标题 4 Char Char"/>
    <w:semiHidden/>
    <w:qFormat/>
    <w:uiPriority w:val="0"/>
    <w:rPr>
      <w:rFonts w:ascii="黑体" w:eastAsia="黑体"/>
      <w:kern w:val="2"/>
      <w:sz w:val="24"/>
      <w:szCs w:val="24"/>
      <w:lang w:val="en-US" w:eastAsia="zh-CN" w:bidi="ar-SA"/>
    </w:rPr>
  </w:style>
  <w:style w:type="paragraph" w:customStyle="1" w:styleId="1261">
    <w:name w:val="一级缩进"/>
    <w:basedOn w:val="1"/>
    <w:qFormat/>
    <w:uiPriority w:val="0"/>
    <w:pPr>
      <w:tabs>
        <w:tab w:val="left" w:pos="852"/>
        <w:tab w:val="clear" w:pos="480"/>
      </w:tabs>
      <w:adjustRightInd w:val="0"/>
      <w:ind w:left="852" w:hanging="312"/>
      <w:textAlignment w:val="baseline"/>
    </w:pPr>
    <w:rPr>
      <w:kern w:val="0"/>
    </w:rPr>
  </w:style>
  <w:style w:type="character" w:customStyle="1" w:styleId="1262">
    <w:name w:val="pt91"/>
    <w:semiHidden/>
    <w:qFormat/>
    <w:uiPriority w:val="0"/>
    <w:rPr>
      <w:sz w:val="18"/>
      <w:szCs w:val="18"/>
    </w:rPr>
  </w:style>
  <w:style w:type="character" w:customStyle="1" w:styleId="1263">
    <w:name w:val="font"/>
    <w:basedOn w:val="133"/>
    <w:semiHidden/>
    <w:qFormat/>
    <w:uiPriority w:val="0"/>
  </w:style>
  <w:style w:type="paragraph" w:customStyle="1" w:styleId="1264">
    <w:name w:val="我的样式（表格内容）"/>
    <w:basedOn w:val="1"/>
    <w:next w:val="1"/>
    <w:qFormat/>
    <w:uiPriority w:val="0"/>
    <w:pPr>
      <w:tabs>
        <w:tab w:val="clear" w:pos="480"/>
      </w:tabs>
      <w:jc w:val="center"/>
    </w:pPr>
    <w:rPr>
      <w:sz w:val="21"/>
    </w:rPr>
  </w:style>
  <w:style w:type="paragraph" w:customStyle="1" w:styleId="1265">
    <w:name w:val="样式 行距: 1.5 倍行距 左  0.8 字符 首行缩进:  2 字符"/>
    <w:basedOn w:val="1"/>
    <w:qFormat/>
    <w:uiPriority w:val="0"/>
    <w:pPr>
      <w:tabs>
        <w:tab w:val="clear" w:pos="480"/>
      </w:tabs>
      <w:adjustRightInd w:val="0"/>
      <w:snapToGrid w:val="0"/>
      <w:ind w:firstLine="560"/>
    </w:pPr>
    <w:rPr>
      <w:rFonts w:eastAsia="仿宋_GB2312"/>
      <w:snapToGrid w:val="0"/>
      <w:kern w:val="0"/>
      <w:sz w:val="28"/>
      <w:szCs w:val="20"/>
    </w:rPr>
  </w:style>
  <w:style w:type="paragraph" w:customStyle="1" w:styleId="1266">
    <w:name w:val="样式 标题 2 + 段前: 0.3 行"/>
    <w:basedOn w:val="3"/>
    <w:next w:val="1"/>
    <w:qFormat/>
    <w:uiPriority w:val="0"/>
    <w:pPr>
      <w:widowControl/>
      <w:numPr>
        <w:ilvl w:val="0"/>
        <w:numId w:val="0"/>
      </w:numPr>
      <w:tabs>
        <w:tab w:val="clear" w:pos="480"/>
        <w:tab w:val="clear" w:pos="630"/>
      </w:tabs>
      <w:adjustRightInd w:val="0"/>
      <w:spacing w:beforeLines="10" w:afterLines="10"/>
    </w:pPr>
    <w:rPr>
      <w:rFonts w:ascii="Arial Unicode MS" w:hAnsi="Arial Unicode MS"/>
      <w:b w:val="0"/>
      <w:color w:val="3366FF"/>
      <w:sz w:val="28"/>
      <w:szCs w:val="20"/>
    </w:rPr>
  </w:style>
  <w:style w:type="paragraph" w:customStyle="1" w:styleId="1267">
    <w:name w:val="招标标题"/>
    <w:basedOn w:val="1"/>
    <w:next w:val="1"/>
    <w:qFormat/>
    <w:uiPriority w:val="0"/>
    <w:pPr>
      <w:tabs>
        <w:tab w:val="clear" w:pos="480"/>
      </w:tabs>
      <w:spacing w:line="460" w:lineRule="exact"/>
      <w:jc w:val="center"/>
    </w:pPr>
    <w:rPr>
      <w:spacing w:val="1"/>
      <w:kern w:val="0"/>
      <w:szCs w:val="20"/>
    </w:rPr>
  </w:style>
  <w:style w:type="paragraph" w:customStyle="1" w:styleId="1268">
    <w:name w:val="篇号及标题"/>
    <w:qFormat/>
    <w:uiPriority w:val="0"/>
    <w:pPr>
      <w:spacing w:line="360" w:lineRule="auto"/>
      <w:ind w:firstLine="200" w:firstLineChars="200"/>
      <w:jc w:val="center"/>
    </w:pPr>
    <w:rPr>
      <w:rFonts w:ascii="宋体" w:hAnsi="Times New Roman" w:eastAsia="宋体" w:cs="Times New Roman"/>
      <w:kern w:val="2"/>
      <w:sz w:val="44"/>
      <w:szCs w:val="24"/>
      <w:lang w:val="en-US" w:eastAsia="zh-CN" w:bidi="ar-SA"/>
    </w:rPr>
  </w:style>
  <w:style w:type="paragraph" w:customStyle="1" w:styleId="1269">
    <w:name w:val="目次 附件名"/>
    <w:basedOn w:val="59"/>
    <w:qFormat/>
    <w:uiPriority w:val="0"/>
    <w:pPr>
      <w:tabs>
        <w:tab w:val="left" w:pos="360"/>
        <w:tab w:val="right" w:leader="dot" w:pos="9072"/>
      </w:tabs>
      <w:adjustRightInd w:val="0"/>
      <w:snapToGrid w:val="0"/>
    </w:pPr>
    <w:rPr>
      <w:rFonts w:ascii="宋体"/>
      <w:bCs w:val="0"/>
    </w:rPr>
  </w:style>
  <w:style w:type="paragraph" w:customStyle="1" w:styleId="1270">
    <w:name w:val="页眉，无横线"/>
    <w:basedOn w:val="57"/>
    <w:qFormat/>
    <w:uiPriority w:val="0"/>
    <w:pPr>
      <w:pBdr>
        <w:bottom w:val="none" w:color="auto" w:sz="0" w:space="0"/>
      </w:pBdr>
      <w:tabs>
        <w:tab w:val="clear" w:pos="480"/>
      </w:tabs>
      <w:adjustRightInd w:val="0"/>
      <w:spacing w:line="240" w:lineRule="auto"/>
      <w:ind w:firstLine="567"/>
      <w:jc w:val="both"/>
    </w:pPr>
    <w:rPr>
      <w:rFonts w:ascii="宋体" w:hAnsi="Calibri"/>
      <w:kern w:val="0"/>
      <w:szCs w:val="20"/>
    </w:rPr>
  </w:style>
  <w:style w:type="paragraph" w:customStyle="1" w:styleId="1271">
    <w:name w:val="编制人员情况"/>
    <w:basedOn w:val="1"/>
    <w:semiHidden/>
    <w:qFormat/>
    <w:uiPriority w:val="0"/>
    <w:pPr>
      <w:tabs>
        <w:tab w:val="left" w:pos="600"/>
        <w:tab w:val="left" w:pos="3700"/>
        <w:tab w:val="left" w:pos="6900"/>
        <w:tab w:val="clear" w:pos="480"/>
      </w:tabs>
      <w:adjustRightInd w:val="0"/>
      <w:snapToGrid w:val="0"/>
      <w:spacing w:after="120"/>
      <w:ind w:left="420" w:firstLine="180"/>
    </w:pPr>
    <w:rPr>
      <w:rFonts w:ascii="宋体" w:cs="宋体"/>
      <w:sz w:val="32"/>
      <w:szCs w:val="20"/>
    </w:rPr>
  </w:style>
  <w:style w:type="paragraph" w:customStyle="1" w:styleId="1272">
    <w:name w:val="附件标题"/>
    <w:qFormat/>
    <w:uiPriority w:val="0"/>
    <w:pPr>
      <w:spacing w:line="360" w:lineRule="auto"/>
      <w:ind w:firstLine="200" w:firstLineChars="200"/>
      <w:jc w:val="center"/>
    </w:pPr>
    <w:rPr>
      <w:rFonts w:ascii="宋体" w:hAnsi="Times New Roman" w:eastAsia="黑体" w:cs="Times New Roman"/>
      <w:kern w:val="2"/>
      <w:sz w:val="24"/>
      <w:szCs w:val="24"/>
      <w:lang w:val="en-US" w:eastAsia="zh-CN" w:bidi="ar-SA"/>
    </w:rPr>
  </w:style>
  <w:style w:type="paragraph" w:customStyle="1" w:styleId="1273">
    <w:name w:val="样式 标题 3 + (西文) 宋体 (中文) 宋体"/>
    <w:basedOn w:val="4"/>
    <w:qFormat/>
    <w:uiPriority w:val="0"/>
    <w:pPr>
      <w:numPr>
        <w:numId w:val="0"/>
      </w:numPr>
      <w:tabs>
        <w:tab w:val="left" w:pos="720"/>
        <w:tab w:val="left" w:pos="1000"/>
        <w:tab w:val="clear" w:pos="480"/>
        <w:tab w:val="clear" w:pos="840"/>
      </w:tabs>
      <w:adjustRightInd w:val="0"/>
      <w:snapToGrid w:val="0"/>
      <w:spacing w:before="0" w:after="0" w:line="360" w:lineRule="auto"/>
      <w:ind w:left="720" w:hanging="720"/>
    </w:pPr>
    <w:rPr>
      <w:rFonts w:ascii="黑体" w:hAnsi="宋体" w:eastAsia="黑体"/>
      <w:b w:val="0"/>
      <w:bCs w:val="0"/>
      <w:sz w:val="24"/>
      <w:szCs w:val="24"/>
    </w:rPr>
  </w:style>
  <w:style w:type="paragraph" w:customStyle="1" w:styleId="1274">
    <w:name w:val="Char Char Char1 Char Char Char Char"/>
    <w:basedOn w:val="1"/>
    <w:semiHidden/>
    <w:qFormat/>
    <w:uiPriority w:val="0"/>
    <w:pPr>
      <w:tabs>
        <w:tab w:val="clear" w:pos="480"/>
      </w:tabs>
      <w:spacing w:line="240" w:lineRule="auto"/>
    </w:pPr>
    <w:rPr>
      <w:sz w:val="21"/>
    </w:rPr>
  </w:style>
  <w:style w:type="paragraph" w:customStyle="1" w:styleId="1275">
    <w:name w:val="标题11"/>
    <w:basedOn w:val="2"/>
    <w:semiHidden/>
    <w:qFormat/>
    <w:uiPriority w:val="0"/>
    <w:pPr>
      <w:numPr>
        <w:numId w:val="0"/>
      </w:numPr>
      <w:tabs>
        <w:tab w:val="right" w:leader="middleDot" w:pos="8190"/>
        <w:tab w:val="clear" w:pos="480"/>
      </w:tabs>
      <w:adjustRightInd w:val="0"/>
      <w:snapToGrid w:val="0"/>
      <w:spacing w:beforeLines="50" w:afterLines="50"/>
      <w:ind w:left="-3" w:leftChars="-3" w:hanging="6" w:hangingChars="2"/>
    </w:pPr>
    <w:rPr>
      <w:rFonts w:ascii="宋体" w:hAnsi="宋体" w:eastAsia="宋体"/>
      <w:bCs w:val="0"/>
      <w:kern w:val="2"/>
      <w:sz w:val="28"/>
      <w:szCs w:val="28"/>
    </w:rPr>
  </w:style>
  <w:style w:type="paragraph" w:customStyle="1" w:styleId="1276">
    <w:name w:val="标题33"/>
    <w:basedOn w:val="4"/>
    <w:semiHidden/>
    <w:qFormat/>
    <w:uiPriority w:val="0"/>
    <w:pPr>
      <w:numPr>
        <w:ilvl w:val="0"/>
        <w:numId w:val="0"/>
      </w:numPr>
      <w:tabs>
        <w:tab w:val="clear" w:pos="480"/>
        <w:tab w:val="clear" w:pos="840"/>
      </w:tabs>
      <w:adjustRightInd w:val="0"/>
      <w:snapToGrid w:val="0"/>
      <w:spacing w:before="0" w:after="0" w:line="360" w:lineRule="auto"/>
    </w:pPr>
    <w:rPr>
      <w:rFonts w:ascii="Arial" w:hAnsi="Arial" w:eastAsia="黑体"/>
      <w:b w:val="0"/>
      <w:bCs w:val="0"/>
      <w:sz w:val="28"/>
      <w:szCs w:val="20"/>
    </w:rPr>
  </w:style>
  <w:style w:type="paragraph" w:customStyle="1" w:styleId="1277">
    <w:name w:val="标题44"/>
    <w:basedOn w:val="5"/>
    <w:semiHidden/>
    <w:qFormat/>
    <w:uiPriority w:val="0"/>
    <w:pPr>
      <w:numPr>
        <w:ilvl w:val="0"/>
        <w:numId w:val="0"/>
      </w:numPr>
      <w:tabs>
        <w:tab w:val="left" w:pos="564"/>
        <w:tab w:val="clear" w:pos="480"/>
      </w:tabs>
      <w:spacing w:beforeLines="35" w:afterLines="25" w:line="240" w:lineRule="auto"/>
      <w:ind w:left="564" w:hanging="564"/>
    </w:pPr>
    <w:rPr>
      <w:rFonts w:ascii="Times New Roman" w:hAnsi="Times New Roman" w:eastAsia="宋体"/>
      <w:bCs w:val="0"/>
      <w:kern w:val="0"/>
      <w:sz w:val="24"/>
      <w:szCs w:val="20"/>
    </w:rPr>
  </w:style>
  <w:style w:type="paragraph" w:customStyle="1" w:styleId="1278">
    <w:name w:val="标题22"/>
    <w:basedOn w:val="3"/>
    <w:semiHidden/>
    <w:qFormat/>
    <w:uiPriority w:val="0"/>
    <w:pPr>
      <w:numPr>
        <w:ilvl w:val="0"/>
        <w:numId w:val="0"/>
      </w:numPr>
      <w:tabs>
        <w:tab w:val="clear" w:pos="480"/>
        <w:tab w:val="clear" w:pos="630"/>
      </w:tabs>
      <w:adjustRightInd w:val="0"/>
      <w:snapToGrid w:val="0"/>
      <w:spacing w:before="0" w:after="0"/>
      <w:ind w:firstLine="538" w:firstLineChars="192"/>
    </w:pPr>
    <w:rPr>
      <w:rFonts w:ascii="宋体" w:hAnsi="宋体"/>
      <w:bCs w:val="0"/>
      <w:color w:val="000000"/>
      <w:sz w:val="28"/>
      <w:szCs w:val="20"/>
    </w:rPr>
  </w:style>
  <w:style w:type="paragraph" w:customStyle="1" w:styleId="1279">
    <w:name w:val="图正文"/>
    <w:basedOn w:val="1"/>
    <w:qFormat/>
    <w:uiPriority w:val="0"/>
    <w:pPr>
      <w:tabs>
        <w:tab w:val="clear" w:pos="480"/>
      </w:tabs>
      <w:spacing w:line="300" w:lineRule="auto"/>
      <w:jc w:val="center"/>
    </w:pPr>
    <w:rPr>
      <w:rFonts w:ascii="宋体" w:hAnsi="宋体"/>
    </w:rPr>
  </w:style>
  <w:style w:type="paragraph" w:customStyle="1" w:styleId="1280">
    <w:name w:val="表头-五级标题"/>
    <w:basedOn w:val="1"/>
    <w:qFormat/>
    <w:uiPriority w:val="0"/>
    <w:pPr>
      <w:tabs>
        <w:tab w:val="clear" w:pos="480"/>
      </w:tabs>
      <w:snapToGrid w:val="0"/>
      <w:spacing w:beforeLines="50" w:line="300" w:lineRule="auto"/>
      <w:jc w:val="center"/>
      <w:outlineLvl w:val="4"/>
    </w:pPr>
    <w:rPr>
      <w:rFonts w:ascii="宋体" w:hAnsi="宋体"/>
    </w:rPr>
  </w:style>
  <w:style w:type="character" w:customStyle="1" w:styleId="1281">
    <w:name w:val="图表名 Char"/>
    <w:qFormat/>
    <w:uiPriority w:val="0"/>
    <w:rPr>
      <w:rFonts w:ascii="宋体" w:hAnsi="宋体" w:eastAsia="黑体" w:cs="宋体"/>
      <w:bCs/>
      <w:color w:val="000000"/>
      <w:kern w:val="2"/>
      <w:sz w:val="24"/>
      <w:lang w:val="zh-CN" w:eastAsia="zh-CN" w:bidi="ar-SA"/>
    </w:rPr>
  </w:style>
  <w:style w:type="paragraph" w:customStyle="1" w:styleId="1282">
    <w:name w:val="样式 样式 主标 + 段前: 1 行 段后: 1 行 + 首行缩进:  2 字符 段前: 1 行 段后: 1 行"/>
    <w:basedOn w:val="1"/>
    <w:qFormat/>
    <w:uiPriority w:val="0"/>
    <w:pPr>
      <w:tabs>
        <w:tab w:val="clear" w:pos="480"/>
      </w:tabs>
      <w:adjustRightInd w:val="0"/>
      <w:snapToGrid w:val="0"/>
      <w:spacing w:beforeLines="100" w:afterLines="100" w:line="300" w:lineRule="auto"/>
      <w:outlineLvl w:val="0"/>
    </w:pPr>
    <w:rPr>
      <w:rFonts w:ascii="黑体" w:eastAsia="黑体"/>
      <w:iCs/>
      <w:sz w:val="28"/>
      <w:szCs w:val="20"/>
    </w:rPr>
  </w:style>
  <w:style w:type="paragraph" w:customStyle="1" w:styleId="1283">
    <w:name w:val="样式 样式 报告标 + 段前: 1 行 段后: 1 行1 + 段前: 1 行 段后: 1 行"/>
    <w:basedOn w:val="1"/>
    <w:qFormat/>
    <w:uiPriority w:val="0"/>
    <w:pPr>
      <w:tabs>
        <w:tab w:val="clear" w:pos="480"/>
      </w:tabs>
      <w:adjustRightInd w:val="0"/>
      <w:snapToGrid w:val="0"/>
      <w:spacing w:beforeLines="100" w:afterLines="100" w:line="300" w:lineRule="auto"/>
      <w:outlineLvl w:val="0"/>
    </w:pPr>
    <w:rPr>
      <w:rFonts w:ascii="黑体" w:eastAsia="黑体"/>
      <w:bCs/>
      <w:iCs/>
      <w:snapToGrid w:val="0"/>
      <w:sz w:val="28"/>
      <w:szCs w:val="28"/>
    </w:rPr>
  </w:style>
  <w:style w:type="paragraph" w:customStyle="1" w:styleId="1284">
    <w:name w:val="样式 宋体 四号 首行缩进:  0.99 厘米 行距: 多倍行距 1.25 字行"/>
    <w:basedOn w:val="1"/>
    <w:qFormat/>
    <w:uiPriority w:val="0"/>
    <w:pPr>
      <w:tabs>
        <w:tab w:val="clear" w:pos="480"/>
      </w:tabs>
      <w:adjustRightInd w:val="0"/>
      <w:snapToGrid w:val="0"/>
      <w:spacing w:line="300" w:lineRule="auto"/>
      <w:ind w:firstLine="561"/>
    </w:pPr>
    <w:rPr>
      <w:rFonts w:hAnsi="宋体"/>
      <w:iCs/>
      <w:sz w:val="28"/>
      <w:szCs w:val="28"/>
    </w:rPr>
  </w:style>
  <w:style w:type="paragraph" w:customStyle="1" w:styleId="1285">
    <w:name w:val="样式 报告标 + 段前: 1 行 段后: 1 行1"/>
    <w:basedOn w:val="1"/>
    <w:qFormat/>
    <w:uiPriority w:val="0"/>
    <w:pPr>
      <w:tabs>
        <w:tab w:val="clear" w:pos="480"/>
      </w:tabs>
      <w:adjustRightInd w:val="0"/>
      <w:snapToGrid w:val="0"/>
      <w:spacing w:beforeLines="100" w:afterLines="100" w:line="300" w:lineRule="auto"/>
    </w:pPr>
    <w:rPr>
      <w:rFonts w:eastAsia="黑体"/>
      <w:b/>
      <w:iCs/>
      <w:sz w:val="28"/>
      <w:szCs w:val="28"/>
    </w:rPr>
  </w:style>
  <w:style w:type="paragraph" w:customStyle="1" w:styleId="1286">
    <w:name w:val="样式 样式 左 首行缩进:  2 字符 行距: 多倍行距 1.15 字行 + 首行缩进:  2 字符"/>
    <w:basedOn w:val="1287"/>
    <w:qFormat/>
    <w:uiPriority w:val="0"/>
    <w:pPr>
      <w:snapToGrid/>
    </w:pPr>
  </w:style>
  <w:style w:type="paragraph" w:customStyle="1" w:styleId="1287">
    <w:name w:val="样式 左 首行缩进:  2 字符 行距: 多倍行距 1.15 字行"/>
    <w:basedOn w:val="1"/>
    <w:qFormat/>
    <w:uiPriority w:val="0"/>
    <w:pPr>
      <w:tabs>
        <w:tab w:val="clear" w:pos="480"/>
      </w:tabs>
      <w:adjustRightInd w:val="0"/>
      <w:snapToGrid w:val="0"/>
      <w:spacing w:line="300" w:lineRule="auto"/>
      <w:jc w:val="left"/>
    </w:pPr>
    <w:rPr>
      <w:iCs/>
      <w:sz w:val="28"/>
      <w:szCs w:val="20"/>
    </w:rPr>
  </w:style>
  <w:style w:type="paragraph" w:customStyle="1" w:styleId="1288">
    <w:name w:val="目录11"/>
    <w:basedOn w:val="2"/>
    <w:qFormat/>
    <w:uiPriority w:val="0"/>
    <w:pPr>
      <w:numPr>
        <w:numId w:val="0"/>
      </w:numPr>
      <w:tabs>
        <w:tab w:val="clear" w:pos="480"/>
      </w:tabs>
      <w:adjustRightInd w:val="0"/>
      <w:snapToGrid w:val="0"/>
      <w:spacing w:beforeLines="50" w:afterLines="50" w:line="300" w:lineRule="auto"/>
      <w:outlineLvl w:val="9"/>
    </w:pPr>
    <w:rPr>
      <w:rFonts w:ascii="黑体" w:hAnsi="黑体" w:eastAsia="宋体"/>
      <w:bCs w:val="0"/>
      <w:sz w:val="28"/>
      <w:szCs w:val="28"/>
    </w:rPr>
  </w:style>
  <w:style w:type="paragraph" w:customStyle="1" w:styleId="1289">
    <w:name w:val="图名-六级标题"/>
    <w:basedOn w:val="1"/>
    <w:qFormat/>
    <w:uiPriority w:val="0"/>
    <w:pPr>
      <w:tabs>
        <w:tab w:val="clear" w:pos="480"/>
      </w:tabs>
      <w:snapToGrid w:val="0"/>
      <w:spacing w:beforeLines="50" w:line="300" w:lineRule="auto"/>
      <w:jc w:val="center"/>
      <w:outlineLvl w:val="5"/>
    </w:pPr>
    <w:rPr>
      <w:rFonts w:eastAsia="黑体"/>
      <w:iCs/>
    </w:rPr>
  </w:style>
  <w:style w:type="paragraph" w:customStyle="1" w:styleId="1290">
    <w:name w:val="样式 目录 3 + 首行缩进:  2 字符"/>
    <w:basedOn w:val="44"/>
    <w:qFormat/>
    <w:uiPriority w:val="0"/>
    <w:pPr>
      <w:tabs>
        <w:tab w:val="right" w:leader="dot" w:pos="9060"/>
      </w:tabs>
      <w:spacing w:line="240" w:lineRule="auto"/>
      <w:ind w:left="420" w:firstLine="400"/>
    </w:pPr>
    <w:rPr>
      <w:iCs w:val="0"/>
      <w:sz w:val="28"/>
      <w:szCs w:val="28"/>
    </w:rPr>
  </w:style>
  <w:style w:type="paragraph" w:customStyle="1" w:styleId="1291">
    <w:name w:val="样式 目录 3 + 首行缩进:  2 字符1"/>
    <w:basedOn w:val="44"/>
    <w:qFormat/>
    <w:uiPriority w:val="0"/>
    <w:pPr>
      <w:tabs>
        <w:tab w:val="right" w:leader="dot" w:pos="9060"/>
      </w:tabs>
      <w:spacing w:line="240" w:lineRule="auto"/>
      <w:ind w:left="561"/>
    </w:pPr>
    <w:rPr>
      <w:iCs w:val="0"/>
      <w:sz w:val="28"/>
      <w:szCs w:val="28"/>
    </w:rPr>
  </w:style>
  <w:style w:type="paragraph" w:customStyle="1" w:styleId="1292">
    <w:name w:val="样式 目录 3 + 首行缩进:  2 字符2"/>
    <w:basedOn w:val="44"/>
    <w:qFormat/>
    <w:uiPriority w:val="0"/>
    <w:pPr>
      <w:tabs>
        <w:tab w:val="right" w:leader="dot" w:pos="9060"/>
      </w:tabs>
      <w:spacing w:line="240" w:lineRule="auto"/>
      <w:ind w:left="561"/>
    </w:pPr>
    <w:rPr>
      <w:iCs w:val="0"/>
      <w:sz w:val="28"/>
      <w:szCs w:val="28"/>
    </w:rPr>
  </w:style>
  <w:style w:type="paragraph" w:customStyle="1" w:styleId="1293">
    <w:name w:val="图内容"/>
    <w:qFormat/>
    <w:uiPriority w:val="0"/>
    <w:pPr>
      <w:widowControl w:val="0"/>
      <w:adjustRightInd w:val="0"/>
      <w:spacing w:line="360" w:lineRule="auto"/>
      <w:ind w:firstLine="200" w:firstLineChars="200"/>
      <w:jc w:val="center"/>
      <w:textAlignment w:val="baseline"/>
    </w:pPr>
    <w:rPr>
      <w:rFonts w:ascii="Times New Roman" w:hAnsi="Times New Roman" w:eastAsia="仿宋体" w:cs="Times New Roman"/>
      <w:kern w:val="2"/>
      <w:sz w:val="24"/>
      <w:szCs w:val="24"/>
      <w:lang w:val="en-US" w:eastAsia="zh-CN" w:bidi="ar-SA"/>
    </w:rPr>
  </w:style>
  <w:style w:type="character" w:customStyle="1" w:styleId="1294">
    <w:name w:val="个人答复风格"/>
    <w:qFormat/>
    <w:uiPriority w:val="0"/>
    <w:rPr>
      <w:rFonts w:ascii="Arial" w:hAnsi="Arial" w:eastAsia="宋体" w:cs="Arial"/>
      <w:color w:val="auto"/>
      <w:sz w:val="20"/>
    </w:rPr>
  </w:style>
  <w:style w:type="paragraph" w:customStyle="1" w:styleId="1295">
    <w:name w:val="表中字"/>
    <w:basedOn w:val="1"/>
    <w:semiHidden/>
    <w:qFormat/>
    <w:uiPriority w:val="0"/>
    <w:pPr>
      <w:tabs>
        <w:tab w:val="left" w:pos="5375"/>
        <w:tab w:val="clear" w:pos="480"/>
      </w:tabs>
      <w:spacing w:line="240" w:lineRule="atLeast"/>
      <w:jc w:val="center"/>
    </w:pPr>
    <w:rPr>
      <w:rFonts w:ascii="宋体" w:hAnsi="宋体"/>
      <w:color w:val="000000"/>
    </w:rPr>
  </w:style>
  <w:style w:type="character" w:customStyle="1" w:styleId="1296">
    <w:name w:val="表头 Char1"/>
    <w:link w:val="170"/>
    <w:qFormat/>
    <w:uiPriority w:val="0"/>
    <w:rPr>
      <w:bCs/>
      <w:snapToGrid w:val="0"/>
      <w:color w:val="000000"/>
      <w:kern w:val="2"/>
      <w:sz w:val="21"/>
      <w:szCs w:val="21"/>
      <w:lang w:val="en-US" w:eastAsia="zh-CN" w:bidi="ar-SA"/>
    </w:rPr>
  </w:style>
  <w:style w:type="paragraph" w:customStyle="1" w:styleId="1297">
    <w:name w:val="表中字左"/>
    <w:basedOn w:val="1295"/>
    <w:semiHidden/>
    <w:qFormat/>
    <w:uiPriority w:val="0"/>
    <w:pPr>
      <w:jc w:val="left"/>
    </w:pPr>
  </w:style>
  <w:style w:type="paragraph" w:customStyle="1" w:styleId="1298">
    <w:name w:val="王东军"/>
    <w:basedOn w:val="1"/>
    <w:link w:val="1299"/>
    <w:qFormat/>
    <w:uiPriority w:val="0"/>
    <w:pPr>
      <w:tabs>
        <w:tab w:val="left" w:pos="3000"/>
        <w:tab w:val="left" w:pos="3420"/>
        <w:tab w:val="left" w:pos="4320"/>
        <w:tab w:val="left" w:pos="6660"/>
        <w:tab w:val="clear" w:pos="480"/>
      </w:tabs>
      <w:spacing w:line="500" w:lineRule="exact"/>
      <w:ind w:firstLine="560"/>
      <w:jc w:val="left"/>
    </w:pPr>
    <w:rPr>
      <w:rFonts w:ascii="宋体"/>
      <w:snapToGrid w:val="0"/>
      <w:color w:val="000000"/>
      <w:kern w:val="0"/>
      <w:sz w:val="28"/>
      <w:szCs w:val="28"/>
      <w:lang w:val="zh-CN"/>
    </w:rPr>
  </w:style>
  <w:style w:type="character" w:customStyle="1" w:styleId="1299">
    <w:name w:val="王东军 Char"/>
    <w:link w:val="1298"/>
    <w:qFormat/>
    <w:uiPriority w:val="0"/>
    <w:rPr>
      <w:rFonts w:ascii="宋体" w:eastAsia="宋体"/>
      <w:snapToGrid w:val="0"/>
      <w:color w:val="000000"/>
      <w:sz w:val="28"/>
      <w:szCs w:val="28"/>
      <w:lang w:bidi="ar-SA"/>
    </w:rPr>
  </w:style>
  <w:style w:type="paragraph" w:customStyle="1" w:styleId="1300">
    <w:name w:val="标题3新新"/>
    <w:basedOn w:val="4"/>
    <w:link w:val="1301"/>
    <w:semiHidden/>
    <w:qFormat/>
    <w:uiPriority w:val="0"/>
    <w:pPr>
      <w:numPr>
        <w:ilvl w:val="0"/>
        <w:numId w:val="0"/>
      </w:numPr>
      <w:tabs>
        <w:tab w:val="clear" w:pos="480"/>
        <w:tab w:val="clear" w:pos="840"/>
      </w:tabs>
      <w:spacing w:before="0" w:after="0" w:line="500" w:lineRule="exact"/>
      <w:jc w:val="left"/>
    </w:pPr>
    <w:rPr>
      <w:rFonts w:ascii="宋体" w:hAnsi="宋体" w:eastAsia="宋体"/>
      <w:bCs w:val="0"/>
      <w:color w:val="000000"/>
      <w:kern w:val="0"/>
      <w:szCs w:val="20"/>
    </w:rPr>
  </w:style>
  <w:style w:type="character" w:customStyle="1" w:styleId="1301">
    <w:name w:val="标题3新新 Char"/>
    <w:link w:val="1300"/>
    <w:qFormat/>
    <w:uiPriority w:val="0"/>
    <w:rPr>
      <w:rFonts w:ascii="宋体" w:hAnsi="宋体" w:eastAsia="宋体"/>
      <w:b/>
      <w:color w:val="000000"/>
      <w:sz w:val="30"/>
      <w:lang w:bidi="ar-SA"/>
    </w:rPr>
  </w:style>
  <w:style w:type="character" w:customStyle="1" w:styleId="1302">
    <w:name w:val="fontcontent"/>
    <w:basedOn w:val="133"/>
    <w:semiHidden/>
    <w:qFormat/>
    <w:uiPriority w:val="0"/>
  </w:style>
  <w:style w:type="paragraph" w:customStyle="1" w:styleId="1303">
    <w:name w:val="正文小四"/>
    <w:basedOn w:val="1"/>
    <w:next w:val="1"/>
    <w:link w:val="2292"/>
    <w:semiHidden/>
    <w:qFormat/>
    <w:uiPriority w:val="0"/>
    <w:pPr>
      <w:tabs>
        <w:tab w:val="clear" w:pos="480"/>
      </w:tabs>
      <w:adjustRightInd w:val="0"/>
      <w:snapToGrid w:val="0"/>
      <w:ind w:firstLine="560"/>
    </w:pPr>
    <w:rPr>
      <w:rFonts w:ascii="宋体" w:hAnsi="宋体"/>
      <w:szCs w:val="28"/>
    </w:rPr>
  </w:style>
  <w:style w:type="character" w:customStyle="1" w:styleId="1304">
    <w:name w:val="表标题  Char"/>
    <w:link w:val="745"/>
    <w:qFormat/>
    <w:uiPriority w:val="0"/>
    <w:rPr>
      <w:rFonts w:eastAsia="宋体"/>
      <w:b/>
      <w:spacing w:val="2"/>
      <w:sz w:val="28"/>
      <w:lang w:val="en-US" w:eastAsia="zh-CN" w:bidi="ar-SA"/>
    </w:rPr>
  </w:style>
  <w:style w:type="character" w:customStyle="1" w:styleId="1305">
    <w:name w:val="电镀正文 Char"/>
    <w:link w:val="444"/>
    <w:qFormat/>
    <w:uiPriority w:val="0"/>
    <w:rPr>
      <w:rFonts w:eastAsia="宋体"/>
      <w:kern w:val="2"/>
      <w:sz w:val="24"/>
      <w:szCs w:val="24"/>
      <w:lang w:val="en-US" w:eastAsia="zh-CN" w:bidi="ar-SA"/>
    </w:rPr>
  </w:style>
  <w:style w:type="character" w:customStyle="1" w:styleId="1306">
    <w:name w:val="电镀表 Char"/>
    <w:link w:val="727"/>
    <w:qFormat/>
    <w:uiPriority w:val="0"/>
    <w:rPr>
      <w:rFonts w:eastAsia="宋体"/>
      <w:sz w:val="21"/>
      <w:szCs w:val="21"/>
      <w:lang w:val="en-US" w:eastAsia="zh-CN" w:bidi="ar-SA"/>
    </w:rPr>
  </w:style>
  <w:style w:type="paragraph" w:customStyle="1" w:styleId="1307">
    <w:name w:val="文本框文字"/>
    <w:qFormat/>
    <w:uiPriority w:val="0"/>
    <w:pPr>
      <w:spacing w:line="360" w:lineRule="auto"/>
      <w:ind w:firstLine="200" w:firstLineChars="200"/>
      <w:jc w:val="center"/>
    </w:pPr>
    <w:rPr>
      <w:rFonts w:ascii="Times New Roman" w:hAnsi="Times New Roman" w:eastAsia="宋体" w:cs="Times New Roman"/>
      <w:kern w:val="2"/>
      <w:sz w:val="24"/>
      <w:szCs w:val="24"/>
      <w:lang w:val="en-US" w:eastAsia="zh-CN" w:bidi="ar-SA"/>
    </w:rPr>
  </w:style>
  <w:style w:type="paragraph" w:customStyle="1" w:styleId="1308">
    <w:name w:val="封面文字"/>
    <w:qFormat/>
    <w:uiPriority w:val="0"/>
    <w:pPr>
      <w:spacing w:line="360" w:lineRule="auto"/>
      <w:ind w:firstLine="200" w:firstLineChars="200"/>
      <w:jc w:val="both"/>
    </w:pPr>
    <w:rPr>
      <w:rFonts w:ascii="Times New Roman" w:hAnsi="Times New Roman" w:eastAsia="宋体" w:cs="Times New Roman"/>
      <w:kern w:val="2"/>
      <w:sz w:val="28"/>
      <w:szCs w:val="24"/>
      <w:lang w:val="en-US" w:eastAsia="zh-CN" w:bidi="ar-SA"/>
    </w:rPr>
  </w:style>
  <w:style w:type="paragraph" w:customStyle="1" w:styleId="1309">
    <w:name w:val="正文标题"/>
    <w:basedOn w:val="1"/>
    <w:link w:val="2710"/>
    <w:qFormat/>
    <w:uiPriority w:val="0"/>
    <w:pPr>
      <w:tabs>
        <w:tab w:val="clear" w:pos="480"/>
      </w:tabs>
      <w:spacing w:line="324" w:lineRule="auto"/>
      <w:jc w:val="center"/>
    </w:pPr>
    <w:rPr>
      <w:rFonts w:ascii="华文楷体" w:hAnsi="华文楷体" w:eastAsia="华文楷体"/>
      <w:b/>
      <w:color w:val="000000"/>
      <w:kern w:val="0"/>
      <w:sz w:val="36"/>
      <w:szCs w:val="36"/>
      <w:u w:color="000000"/>
    </w:rPr>
  </w:style>
  <w:style w:type="paragraph" w:customStyle="1" w:styleId="1310">
    <w:name w:val="qptext"/>
    <w:basedOn w:val="1"/>
    <w:semiHidden/>
    <w:qFormat/>
    <w:uiPriority w:val="0"/>
    <w:pPr>
      <w:tabs>
        <w:tab w:val="left" w:pos="0"/>
        <w:tab w:val="clear" w:pos="480"/>
      </w:tabs>
      <w:adjustRightInd w:val="0"/>
      <w:spacing w:line="400" w:lineRule="atLeast"/>
      <w:textAlignment w:val="baseline"/>
    </w:pPr>
    <w:rPr>
      <w:spacing w:val="6"/>
      <w:kern w:val="0"/>
      <w:szCs w:val="20"/>
    </w:rPr>
  </w:style>
  <w:style w:type="paragraph" w:customStyle="1" w:styleId="1311">
    <w:name w:val="正文并立"/>
    <w:basedOn w:val="1"/>
    <w:qFormat/>
    <w:uiPriority w:val="0"/>
    <w:pPr>
      <w:tabs>
        <w:tab w:val="clear" w:pos="480"/>
      </w:tabs>
      <w:adjustRightInd w:val="0"/>
      <w:spacing w:line="408" w:lineRule="atLeast"/>
      <w:ind w:firstLine="601"/>
      <w:textAlignment w:val="baseline"/>
    </w:pPr>
    <w:rPr>
      <w:kern w:val="0"/>
      <w:sz w:val="28"/>
      <w:szCs w:val="20"/>
    </w:rPr>
  </w:style>
  <w:style w:type="character" w:customStyle="1" w:styleId="1312">
    <w:name w:val="海南化工城正文 Char"/>
    <w:link w:val="788"/>
    <w:qFormat/>
    <w:uiPriority w:val="0"/>
    <w:rPr>
      <w:rFonts w:ascii="宋体" w:hAnsi="宋体"/>
      <w:sz w:val="24"/>
      <w:lang w:val="zh-CN"/>
    </w:rPr>
  </w:style>
  <w:style w:type="paragraph" w:customStyle="1" w:styleId="1313">
    <w:name w:val="东方化工城表"/>
    <w:basedOn w:val="1"/>
    <w:qFormat/>
    <w:uiPriority w:val="0"/>
    <w:pPr>
      <w:tabs>
        <w:tab w:val="left" w:pos="0"/>
        <w:tab w:val="clear" w:pos="480"/>
      </w:tabs>
      <w:adjustRightInd w:val="0"/>
      <w:snapToGrid w:val="0"/>
      <w:spacing w:line="0" w:lineRule="atLeast"/>
      <w:jc w:val="center"/>
      <w:textAlignment w:val="baseline"/>
    </w:pPr>
    <w:rPr>
      <w:kern w:val="0"/>
      <w:sz w:val="21"/>
      <w:szCs w:val="21"/>
    </w:rPr>
  </w:style>
  <w:style w:type="paragraph" w:customStyle="1" w:styleId="1314">
    <w:name w:val="化工城表"/>
    <w:basedOn w:val="1"/>
    <w:qFormat/>
    <w:uiPriority w:val="0"/>
    <w:pPr>
      <w:tabs>
        <w:tab w:val="clear" w:pos="480"/>
      </w:tabs>
      <w:autoSpaceDE w:val="0"/>
      <w:autoSpaceDN w:val="0"/>
      <w:adjustRightInd w:val="0"/>
      <w:spacing w:line="0" w:lineRule="atLeast"/>
      <w:jc w:val="center"/>
      <w:textAlignment w:val="center"/>
    </w:pPr>
    <w:rPr>
      <w:rFonts w:ascii="仿宋_GB2312" w:hAnsi="宋体" w:cs="Arial Unicode MS"/>
      <w:kern w:val="0"/>
      <w:sz w:val="21"/>
      <w:szCs w:val="20"/>
    </w:rPr>
  </w:style>
  <w:style w:type="character" w:customStyle="1" w:styleId="1315">
    <w:name w:val="c"/>
    <w:basedOn w:val="133"/>
    <w:semiHidden/>
    <w:qFormat/>
    <w:uiPriority w:val="0"/>
  </w:style>
  <w:style w:type="paragraph" w:customStyle="1" w:styleId="1316">
    <w:name w:val="Char Char1 Char Char"/>
    <w:basedOn w:val="1"/>
    <w:semiHidden/>
    <w:qFormat/>
    <w:uiPriority w:val="0"/>
    <w:pPr>
      <w:tabs>
        <w:tab w:val="clear" w:pos="480"/>
      </w:tabs>
      <w:spacing w:line="240" w:lineRule="auto"/>
    </w:pPr>
    <w:rPr>
      <w:sz w:val="21"/>
    </w:rPr>
  </w:style>
  <w:style w:type="paragraph" w:customStyle="1" w:styleId="1317">
    <w:name w:val="wtext"/>
    <w:basedOn w:val="1"/>
    <w:semiHidden/>
    <w:qFormat/>
    <w:uiPriority w:val="0"/>
    <w:pPr>
      <w:widowControl/>
      <w:tabs>
        <w:tab w:val="clear" w:pos="480"/>
      </w:tabs>
      <w:spacing w:before="100" w:beforeAutospacing="1" w:after="100" w:afterAutospacing="1" w:line="240" w:lineRule="auto"/>
      <w:ind w:firstLine="480"/>
      <w:jc w:val="left"/>
    </w:pPr>
    <w:rPr>
      <w:rFonts w:ascii="ˎ̥" w:hAnsi="ˎ̥" w:cs="宋体"/>
      <w:color w:val="000000"/>
      <w:kern w:val="0"/>
      <w:sz w:val="22"/>
      <w:szCs w:val="22"/>
    </w:rPr>
  </w:style>
  <w:style w:type="paragraph" w:customStyle="1" w:styleId="1318">
    <w:name w:val="Char Char Char Char Char Char Char Char Char Char Char"/>
    <w:basedOn w:val="1"/>
    <w:semiHidden/>
    <w:qFormat/>
    <w:uiPriority w:val="0"/>
    <w:pPr>
      <w:widowControl/>
      <w:tabs>
        <w:tab w:val="clear" w:pos="480"/>
      </w:tabs>
      <w:spacing w:after="160" w:line="240" w:lineRule="exact"/>
      <w:jc w:val="left"/>
    </w:pPr>
    <w:rPr>
      <w:rFonts w:ascii="Verdana" w:hAnsi="Verdana" w:eastAsia="仿宋_GB2312"/>
      <w:kern w:val="0"/>
      <w:szCs w:val="20"/>
      <w:lang w:eastAsia="en-US"/>
    </w:rPr>
  </w:style>
  <w:style w:type="paragraph" w:customStyle="1" w:styleId="1319">
    <w:name w:val="样式23"/>
    <w:basedOn w:val="182"/>
    <w:qFormat/>
    <w:uiPriority w:val="0"/>
    <w:pPr>
      <w:topLinePunct w:val="0"/>
      <w:autoSpaceDE/>
      <w:autoSpaceDN/>
      <w:spacing w:line="240" w:lineRule="atLeast"/>
    </w:pPr>
    <w:rPr>
      <w:rFonts w:ascii="CG Times (W1)" w:hAnsi="CG Times (W1)"/>
      <w:kern w:val="0"/>
      <w:sz w:val="20"/>
      <w:szCs w:val="21"/>
    </w:rPr>
  </w:style>
  <w:style w:type="paragraph" w:customStyle="1" w:styleId="1320">
    <w:name w:val="标题 1号"/>
    <w:basedOn w:val="2"/>
    <w:next w:val="2"/>
    <w:semiHidden/>
    <w:qFormat/>
    <w:uiPriority w:val="0"/>
    <w:pPr>
      <w:numPr>
        <w:numId w:val="0"/>
      </w:numPr>
      <w:tabs>
        <w:tab w:val="clear" w:pos="480"/>
      </w:tabs>
      <w:autoSpaceDE w:val="0"/>
      <w:autoSpaceDN w:val="0"/>
      <w:adjustRightInd w:val="0"/>
      <w:snapToGrid w:val="0"/>
      <w:spacing w:beforeLines="50" w:afterLines="50" w:line="578" w:lineRule="auto"/>
    </w:pPr>
    <w:rPr>
      <w:rFonts w:ascii="Times New Roman" w:eastAsia="宋体" w:cs="宋体"/>
      <w:sz w:val="44"/>
      <w:szCs w:val="20"/>
    </w:rPr>
  </w:style>
  <w:style w:type="paragraph" w:customStyle="1" w:styleId="1321">
    <w:name w:val="Char1 Char Char Char11"/>
    <w:basedOn w:val="1"/>
    <w:semiHidden/>
    <w:qFormat/>
    <w:uiPriority w:val="0"/>
    <w:pPr>
      <w:widowControl/>
      <w:tabs>
        <w:tab w:val="clear" w:pos="480"/>
      </w:tabs>
      <w:spacing w:after="160" w:line="240" w:lineRule="exact"/>
      <w:jc w:val="left"/>
    </w:pPr>
    <w:rPr>
      <w:rFonts w:ascii="Verdana" w:hAnsi="Verdana" w:eastAsia="仿宋_GB2312"/>
      <w:kern w:val="0"/>
      <w:szCs w:val="20"/>
      <w:lang w:eastAsia="en-US"/>
    </w:rPr>
  </w:style>
  <w:style w:type="character" w:customStyle="1" w:styleId="1322">
    <w:name w:val="ht1"/>
    <w:semiHidden/>
    <w:qFormat/>
    <w:uiPriority w:val="0"/>
    <w:rPr>
      <w:rFonts w:ascii="黑体" w:eastAsia="黑体"/>
      <w:b/>
      <w:bCs/>
    </w:rPr>
  </w:style>
  <w:style w:type="paragraph" w:customStyle="1" w:styleId="1323">
    <w:name w:val="默认段落字体 Para Char Char Char Char Char Char Char"/>
    <w:basedOn w:val="1"/>
    <w:qFormat/>
    <w:uiPriority w:val="0"/>
    <w:pPr>
      <w:tabs>
        <w:tab w:val="clear" w:pos="480"/>
      </w:tabs>
      <w:adjustRightInd w:val="0"/>
      <w:ind w:left="200" w:hanging="200" w:hangingChars="200"/>
      <w:textAlignment w:val="baseline"/>
    </w:pPr>
    <w:rPr>
      <w:kern w:val="0"/>
      <w:szCs w:val="20"/>
    </w:rPr>
  </w:style>
  <w:style w:type="paragraph" w:customStyle="1" w:styleId="1324">
    <w:name w:val="B标题"/>
    <w:basedOn w:val="1"/>
    <w:link w:val="1325"/>
    <w:semiHidden/>
    <w:qFormat/>
    <w:uiPriority w:val="0"/>
    <w:pPr>
      <w:tabs>
        <w:tab w:val="clear" w:pos="480"/>
      </w:tabs>
      <w:spacing w:line="240" w:lineRule="auto"/>
      <w:jc w:val="center"/>
    </w:pPr>
    <w:rPr>
      <w:rFonts w:ascii="黑体" w:hAnsi="宋体" w:eastAsia="黑体"/>
      <w:kern w:val="0"/>
      <w:lang w:val="zh-CN"/>
    </w:rPr>
  </w:style>
  <w:style w:type="character" w:customStyle="1" w:styleId="1325">
    <w:name w:val="B标题 Char"/>
    <w:link w:val="1324"/>
    <w:qFormat/>
    <w:uiPriority w:val="0"/>
    <w:rPr>
      <w:rFonts w:ascii="黑体" w:hAnsi="宋体" w:eastAsia="黑体"/>
      <w:sz w:val="24"/>
      <w:szCs w:val="24"/>
      <w:lang w:bidi="ar-SA"/>
    </w:rPr>
  </w:style>
  <w:style w:type="character" w:customStyle="1" w:styleId="1326">
    <w:name w:val="内容 Char"/>
    <w:link w:val="833"/>
    <w:semiHidden/>
    <w:qFormat/>
    <w:uiPriority w:val="0"/>
    <w:rPr>
      <w:rFonts w:ascii="Arial" w:hAnsi="Arial" w:eastAsia="宋体"/>
      <w:bCs/>
      <w:color w:val="000000"/>
      <w:sz w:val="24"/>
      <w:szCs w:val="24"/>
      <w:lang w:bidi="ar-SA"/>
    </w:rPr>
  </w:style>
  <w:style w:type="paragraph" w:customStyle="1" w:styleId="1327">
    <w:name w:val="Char1 Char Char Char1 Char Char Char"/>
    <w:basedOn w:val="1"/>
    <w:semiHidden/>
    <w:qFormat/>
    <w:uiPriority w:val="0"/>
    <w:pPr>
      <w:tabs>
        <w:tab w:val="clear" w:pos="480"/>
      </w:tabs>
    </w:pPr>
    <w:rPr>
      <w:rFonts w:ascii="宋体" w:hAnsi="宋体" w:cs="宋体"/>
    </w:rPr>
  </w:style>
  <w:style w:type="paragraph" w:customStyle="1" w:styleId="1328">
    <w:name w:val="新丰正文"/>
    <w:basedOn w:val="20"/>
    <w:qFormat/>
    <w:uiPriority w:val="0"/>
    <w:pPr>
      <w:tabs>
        <w:tab w:val="clear" w:pos="480"/>
      </w:tabs>
      <w:spacing w:line="324" w:lineRule="auto"/>
      <w:ind w:firstLine="200"/>
    </w:pPr>
    <w:rPr>
      <w:rFonts w:ascii="宋体" w:hAnsi="宋体"/>
      <w:kern w:val="0"/>
    </w:rPr>
  </w:style>
  <w:style w:type="character" w:customStyle="1" w:styleId="1329">
    <w:name w:val="正文1 Char"/>
    <w:link w:val="181"/>
    <w:qFormat/>
    <w:uiPriority w:val="0"/>
    <w:rPr>
      <w:rFonts w:eastAsia="楷体_GB2312"/>
      <w:kern w:val="2"/>
      <w:sz w:val="24"/>
      <w:lang w:val="en-US" w:eastAsia="zh-CN" w:bidi="ar-SA"/>
    </w:rPr>
  </w:style>
  <w:style w:type="paragraph" w:customStyle="1" w:styleId="1330">
    <w:name w:val="表格 33"/>
    <w:basedOn w:val="1"/>
    <w:semiHidden/>
    <w:qFormat/>
    <w:uiPriority w:val="0"/>
    <w:pPr>
      <w:tabs>
        <w:tab w:val="clear" w:pos="480"/>
      </w:tabs>
      <w:autoSpaceDE w:val="0"/>
      <w:autoSpaceDN w:val="0"/>
      <w:adjustRightInd w:val="0"/>
      <w:spacing w:line="240" w:lineRule="auto"/>
      <w:jc w:val="center"/>
      <w:textAlignment w:val="baseline"/>
    </w:pPr>
    <w:rPr>
      <w:rFonts w:eastAsia="楷体"/>
      <w:kern w:val="0"/>
      <w:sz w:val="21"/>
      <w:szCs w:val="20"/>
    </w:rPr>
  </w:style>
  <w:style w:type="paragraph" w:customStyle="1" w:styleId="1331">
    <w:name w:val="ST20_5"/>
    <w:semiHidden/>
    <w:qFormat/>
    <w:uiPriority w:val="0"/>
    <w:pPr>
      <w:widowControl w:val="0"/>
      <w:autoSpaceDE w:val="0"/>
      <w:autoSpaceDN w:val="0"/>
      <w:adjustRightInd w:val="0"/>
      <w:spacing w:line="360" w:lineRule="auto"/>
      <w:ind w:firstLine="200" w:firstLineChars="200"/>
      <w:jc w:val="both"/>
    </w:pPr>
    <w:rPr>
      <w:rFonts w:ascii="宋体" w:hAnsi="Tms Rmn" w:eastAsia="宋体" w:cs="Times New Roman"/>
      <w:kern w:val="2"/>
      <w:sz w:val="21"/>
      <w:szCs w:val="24"/>
      <w:lang w:val="en-US" w:eastAsia="zh-CN" w:bidi="ar-SA"/>
    </w:rPr>
  </w:style>
  <w:style w:type="paragraph" w:customStyle="1" w:styleId="1332">
    <w:name w:val="样式 正文文本缩进 + 宋体 五号 黑色 全部大写 居中 首行缩进:  0 厘米 段前: 0 磅 行距: 单倍行距"/>
    <w:basedOn w:val="34"/>
    <w:qFormat/>
    <w:uiPriority w:val="0"/>
    <w:pPr>
      <w:tabs>
        <w:tab w:val="clear" w:pos="480"/>
      </w:tabs>
      <w:adjustRightInd w:val="0"/>
      <w:spacing w:line="240" w:lineRule="auto"/>
      <w:ind w:firstLine="0" w:firstLineChars="0"/>
      <w:jc w:val="center"/>
      <w:textAlignment w:val="baseline"/>
    </w:pPr>
    <w:rPr>
      <w:rFonts w:ascii="宋体" w:hAnsi="宋体" w:cs="宋体"/>
      <w:color w:val="000000"/>
      <w:kern w:val="28"/>
      <w:sz w:val="21"/>
      <w:szCs w:val="21"/>
    </w:rPr>
  </w:style>
  <w:style w:type="paragraph" w:customStyle="1" w:styleId="1333">
    <w:name w:val="样式 正文缩进 + 居中 首行缩进:  0 厘米 段前: 0 磅 行距: 单倍行距"/>
    <w:basedOn w:val="20"/>
    <w:qFormat/>
    <w:uiPriority w:val="0"/>
    <w:pPr>
      <w:tabs>
        <w:tab w:val="clear" w:pos="480"/>
      </w:tabs>
      <w:adjustRightInd w:val="0"/>
      <w:spacing w:line="240" w:lineRule="auto"/>
      <w:ind w:firstLine="0" w:firstLineChars="0"/>
      <w:jc w:val="center"/>
      <w:textAlignment w:val="baseline"/>
    </w:pPr>
    <w:rPr>
      <w:rFonts w:cs="宋体"/>
      <w:kern w:val="28"/>
    </w:rPr>
  </w:style>
  <w:style w:type="paragraph" w:customStyle="1" w:styleId="1334">
    <w:name w:val="样式 标题 3 + (西文) Times New Roman (中文) 宋体 非加粗 段前: 0 磅 行距: 固定值 2..."/>
    <w:basedOn w:val="4"/>
    <w:qFormat/>
    <w:uiPriority w:val="0"/>
    <w:pPr>
      <w:keepLines w:val="0"/>
      <w:numPr>
        <w:ilvl w:val="0"/>
        <w:numId w:val="0"/>
      </w:numPr>
      <w:tabs>
        <w:tab w:val="clear" w:pos="480"/>
        <w:tab w:val="clear" w:pos="840"/>
      </w:tabs>
      <w:autoSpaceDE w:val="0"/>
      <w:autoSpaceDN w:val="0"/>
      <w:adjustRightInd w:val="0"/>
      <w:spacing w:before="0" w:after="120" w:line="460" w:lineRule="exact"/>
      <w:jc w:val="left"/>
      <w:textAlignment w:val="baseline"/>
    </w:pPr>
    <w:rPr>
      <w:rFonts w:ascii="Times New Roman" w:eastAsia="宋体" w:cs="宋体"/>
      <w:b w:val="0"/>
      <w:bCs w:val="0"/>
      <w:kern w:val="0"/>
      <w:sz w:val="24"/>
      <w:szCs w:val="24"/>
    </w:rPr>
  </w:style>
  <w:style w:type="paragraph" w:customStyle="1" w:styleId="1335">
    <w:name w:val="川岛插图"/>
    <w:basedOn w:val="1"/>
    <w:qFormat/>
    <w:uiPriority w:val="0"/>
    <w:pPr>
      <w:tabs>
        <w:tab w:val="clear" w:pos="480"/>
      </w:tabs>
      <w:ind w:firstLine="480"/>
      <w:jc w:val="center"/>
    </w:pPr>
    <w:rPr>
      <w:color w:val="000000"/>
      <w:szCs w:val="20"/>
    </w:rPr>
  </w:style>
  <w:style w:type="character" w:customStyle="1" w:styleId="1336">
    <w:name w:val="标题 1 Char Char Char"/>
    <w:semiHidden/>
    <w:qFormat/>
    <w:uiPriority w:val="0"/>
    <w:rPr>
      <w:rFonts w:eastAsia="仿宋_GB2312"/>
      <w:b/>
      <w:kern w:val="28"/>
      <w:sz w:val="30"/>
      <w:lang w:val="en-US" w:eastAsia="zh-CN" w:bidi="ar-SA"/>
    </w:rPr>
  </w:style>
  <w:style w:type="paragraph" w:customStyle="1" w:styleId="1337">
    <w:name w:val="样式 标题 2标题 2 Char Char + 宋体1"/>
    <w:basedOn w:val="3"/>
    <w:qFormat/>
    <w:uiPriority w:val="0"/>
    <w:pPr>
      <w:keepLines w:val="0"/>
      <w:widowControl/>
      <w:numPr>
        <w:ilvl w:val="0"/>
        <w:numId w:val="0"/>
      </w:numPr>
      <w:tabs>
        <w:tab w:val="right" w:pos="8640"/>
        <w:tab w:val="clear" w:pos="480"/>
        <w:tab w:val="clear" w:pos="630"/>
      </w:tabs>
      <w:overflowPunct w:val="0"/>
      <w:autoSpaceDE w:val="0"/>
      <w:autoSpaceDN w:val="0"/>
      <w:adjustRightInd w:val="0"/>
      <w:spacing w:before="120" w:line="440" w:lineRule="exact"/>
      <w:jc w:val="left"/>
      <w:textAlignment w:val="baseline"/>
    </w:pPr>
    <w:rPr>
      <w:rFonts w:ascii="宋体" w:hAnsi="宋体"/>
      <w:bCs w:val="0"/>
      <w:kern w:val="28"/>
      <w:sz w:val="24"/>
      <w:szCs w:val="24"/>
    </w:rPr>
  </w:style>
  <w:style w:type="paragraph" w:customStyle="1" w:styleId="1338">
    <w:name w:val="样式 标题 3 + 宋体1"/>
    <w:basedOn w:val="4"/>
    <w:qFormat/>
    <w:uiPriority w:val="0"/>
    <w:pPr>
      <w:numPr>
        <w:ilvl w:val="0"/>
        <w:numId w:val="0"/>
      </w:numPr>
      <w:tabs>
        <w:tab w:val="left" w:pos="1050"/>
        <w:tab w:val="clear" w:pos="480"/>
        <w:tab w:val="clear" w:pos="840"/>
      </w:tabs>
      <w:adjustRightInd w:val="0"/>
      <w:spacing w:after="120" w:line="416" w:lineRule="atLeast"/>
      <w:textAlignment w:val="baseline"/>
    </w:pPr>
    <w:rPr>
      <w:rFonts w:ascii="宋体" w:hAnsi="宋体" w:eastAsia="宋体"/>
      <w:b w:val="0"/>
      <w:bCs w:val="0"/>
      <w:kern w:val="28"/>
      <w:sz w:val="24"/>
      <w:szCs w:val="24"/>
    </w:rPr>
  </w:style>
  <w:style w:type="character" w:customStyle="1" w:styleId="1339">
    <w:name w:val="样式 标题 3 + 宋体1 Char"/>
    <w:qFormat/>
    <w:uiPriority w:val="0"/>
    <w:rPr>
      <w:rFonts w:ascii="宋体" w:hAnsi="宋体" w:eastAsia="宋体"/>
      <w:kern w:val="28"/>
      <w:sz w:val="28"/>
      <w:lang w:val="en-US" w:eastAsia="zh-CN" w:bidi="ar-SA"/>
    </w:rPr>
  </w:style>
  <w:style w:type="character" w:customStyle="1" w:styleId="1340">
    <w:name w:val="报告 Char Char"/>
    <w:qFormat/>
    <w:uiPriority w:val="0"/>
    <w:rPr>
      <w:rFonts w:eastAsia="宋体"/>
      <w:kern w:val="2"/>
      <w:sz w:val="24"/>
      <w:szCs w:val="24"/>
      <w:lang w:val="en-US" w:eastAsia="zh-CN" w:bidi="ar-SA"/>
    </w:rPr>
  </w:style>
  <w:style w:type="paragraph" w:customStyle="1" w:styleId="1341">
    <w:name w:val="样式 标题 1 + 宋体"/>
    <w:basedOn w:val="2"/>
    <w:qFormat/>
    <w:uiPriority w:val="0"/>
    <w:pPr>
      <w:keepLines w:val="0"/>
      <w:widowControl/>
      <w:numPr>
        <w:numId w:val="0"/>
      </w:numPr>
      <w:tabs>
        <w:tab w:val="left" w:pos="0"/>
        <w:tab w:val="left" w:pos="1319"/>
        <w:tab w:val="right" w:pos="8640"/>
        <w:tab w:val="clear" w:pos="480"/>
      </w:tabs>
      <w:overflowPunct w:val="0"/>
      <w:autoSpaceDE w:val="0"/>
      <w:autoSpaceDN w:val="0"/>
      <w:adjustRightInd w:val="0"/>
      <w:spacing w:beforeLines="50" w:afterLines="50" w:line="440" w:lineRule="exact"/>
      <w:ind w:left="432" w:hanging="432"/>
      <w:jc w:val="left"/>
      <w:textAlignment w:val="baseline"/>
    </w:pPr>
    <w:rPr>
      <w:rFonts w:ascii="宋体" w:hAnsi="宋体" w:eastAsia="宋体"/>
      <w:kern w:val="28"/>
      <w:sz w:val="30"/>
      <w:szCs w:val="20"/>
    </w:rPr>
  </w:style>
  <w:style w:type="paragraph" w:customStyle="1" w:styleId="1342">
    <w:name w:val="样式 标题 1 + 宋体1"/>
    <w:basedOn w:val="2"/>
    <w:qFormat/>
    <w:uiPriority w:val="0"/>
    <w:pPr>
      <w:keepLines w:val="0"/>
      <w:widowControl/>
      <w:numPr>
        <w:numId w:val="0"/>
      </w:numPr>
      <w:tabs>
        <w:tab w:val="left" w:pos="425"/>
        <w:tab w:val="left" w:pos="1260"/>
        <w:tab w:val="right" w:pos="8640"/>
        <w:tab w:val="clear" w:pos="480"/>
      </w:tabs>
      <w:overflowPunct w:val="0"/>
      <w:autoSpaceDE w:val="0"/>
      <w:autoSpaceDN w:val="0"/>
      <w:adjustRightInd w:val="0"/>
      <w:spacing w:beforeLines="50" w:afterLines="50" w:line="440" w:lineRule="exact"/>
      <w:jc w:val="left"/>
      <w:textAlignment w:val="baseline"/>
    </w:pPr>
    <w:rPr>
      <w:rFonts w:ascii="宋体" w:hAnsi="宋体" w:eastAsia="宋体"/>
      <w:kern w:val="28"/>
      <w:sz w:val="30"/>
      <w:szCs w:val="20"/>
    </w:rPr>
  </w:style>
  <w:style w:type="paragraph" w:customStyle="1" w:styleId="1343">
    <w:name w:val="样式 标题 4 + 宋体 小四 非加粗"/>
    <w:basedOn w:val="5"/>
    <w:qFormat/>
    <w:uiPriority w:val="0"/>
    <w:pPr>
      <w:numPr>
        <w:ilvl w:val="0"/>
        <w:numId w:val="0"/>
      </w:numPr>
      <w:tabs>
        <w:tab w:val="left" w:pos="1680"/>
        <w:tab w:val="clear" w:pos="480"/>
      </w:tabs>
      <w:adjustRightInd w:val="0"/>
      <w:spacing w:before="160" w:after="170" w:line="240" w:lineRule="auto"/>
      <w:ind w:left="1680" w:leftChars="100" w:right="100" w:rightChars="100" w:hanging="420"/>
      <w:jc w:val="left"/>
      <w:textAlignment w:val="baseline"/>
    </w:pPr>
    <w:rPr>
      <w:rFonts w:ascii="宋体" w:eastAsia="宋体"/>
      <w:b w:val="0"/>
      <w:bCs w:val="0"/>
      <w:kern w:val="0"/>
      <w:sz w:val="24"/>
      <w:szCs w:val="20"/>
    </w:rPr>
  </w:style>
  <w:style w:type="paragraph" w:customStyle="1" w:styleId="1344">
    <w:name w:val="样式 样式 样式 表格 + 段前: 0.2 行 段后: 0.2 行 + 居中 段前: 0.2 行 段后: 0.2 行 + 自动设置"/>
    <w:basedOn w:val="1"/>
    <w:qFormat/>
    <w:uiPriority w:val="0"/>
    <w:pPr>
      <w:tabs>
        <w:tab w:val="clear" w:pos="480"/>
      </w:tabs>
      <w:spacing w:beforeLines="20" w:afterLines="20" w:line="240" w:lineRule="auto"/>
      <w:jc w:val="center"/>
      <w:textAlignment w:val="center"/>
    </w:pPr>
    <w:rPr>
      <w:rFonts w:cs="宋体"/>
      <w:kern w:val="11"/>
    </w:rPr>
  </w:style>
  <w:style w:type="paragraph" w:customStyle="1" w:styleId="1345">
    <w:name w:val="样式 样式 表格 + 段前: 0.2 行 段后: 0.2 行 + 居中 段前: 0.2 行 段后: 0.2 行"/>
    <w:basedOn w:val="1"/>
    <w:qFormat/>
    <w:uiPriority w:val="0"/>
    <w:pPr>
      <w:tabs>
        <w:tab w:val="clear" w:pos="480"/>
      </w:tabs>
      <w:spacing w:beforeLines="20" w:afterLines="20" w:line="240" w:lineRule="auto"/>
      <w:textAlignment w:val="center"/>
    </w:pPr>
    <w:rPr>
      <w:rFonts w:cs="宋体"/>
      <w:color w:val="FF0000"/>
      <w:kern w:val="11"/>
    </w:rPr>
  </w:style>
  <w:style w:type="paragraph" w:customStyle="1" w:styleId="1346">
    <w:name w:val="样式 表头 + (西文) 宋体 (中文) 宋体 首行缩进:  0.85 厘米"/>
    <w:basedOn w:val="170"/>
    <w:qFormat/>
    <w:uiPriority w:val="0"/>
    <w:pPr>
      <w:widowControl w:val="0"/>
      <w:spacing w:afterLines="50" w:line="460" w:lineRule="exact"/>
      <w:ind w:firstLine="200" w:firstLineChars="200"/>
    </w:pPr>
    <w:rPr>
      <w:bCs w:val="0"/>
      <w:snapToGrid/>
      <w:color w:val="auto"/>
      <w:sz w:val="24"/>
      <w:szCs w:val="24"/>
    </w:rPr>
  </w:style>
  <w:style w:type="paragraph" w:customStyle="1" w:styleId="1347">
    <w:name w:val="流程图文字"/>
    <w:basedOn w:val="1"/>
    <w:qFormat/>
    <w:uiPriority w:val="0"/>
    <w:pPr>
      <w:tabs>
        <w:tab w:val="clear" w:pos="480"/>
      </w:tabs>
      <w:ind w:firstLine="425"/>
      <w:jc w:val="center"/>
    </w:pPr>
    <w:rPr>
      <w:rFonts w:eastAsia="楷体_GB2312"/>
      <w:szCs w:val="20"/>
    </w:rPr>
  </w:style>
  <w:style w:type="paragraph" w:customStyle="1" w:styleId="1348">
    <w:name w:val="样式 标题 2 + (西文) 宋体 (中文) 宋体 四号 加粗 首行缩进:  0.99 厘米 行距: 1.5 倍行距"/>
    <w:basedOn w:val="3"/>
    <w:qFormat/>
    <w:uiPriority w:val="0"/>
    <w:pPr>
      <w:keepLines w:val="0"/>
      <w:widowControl/>
      <w:numPr>
        <w:ilvl w:val="0"/>
        <w:numId w:val="0"/>
      </w:numPr>
      <w:tabs>
        <w:tab w:val="right" w:pos="8640"/>
        <w:tab w:val="clear" w:pos="480"/>
        <w:tab w:val="clear" w:pos="630"/>
      </w:tabs>
      <w:overflowPunct w:val="0"/>
      <w:autoSpaceDE w:val="0"/>
      <w:autoSpaceDN w:val="0"/>
      <w:adjustRightInd w:val="0"/>
      <w:spacing w:before="120"/>
      <w:jc w:val="left"/>
      <w:textAlignment w:val="baseline"/>
    </w:pPr>
    <w:rPr>
      <w:rFonts w:ascii="宋体" w:hAnsi="宋体" w:cs="宋体"/>
      <w:kern w:val="28"/>
      <w:sz w:val="28"/>
      <w:szCs w:val="20"/>
    </w:rPr>
  </w:style>
  <w:style w:type="paragraph" w:customStyle="1" w:styleId="1349">
    <w:name w:val="样式 标题 3 + (西文) 宋体 (中文) 宋体 行距: 1.5 倍行距"/>
    <w:basedOn w:val="4"/>
    <w:qFormat/>
    <w:uiPriority w:val="0"/>
    <w:pPr>
      <w:numPr>
        <w:ilvl w:val="0"/>
        <w:numId w:val="0"/>
      </w:numPr>
      <w:tabs>
        <w:tab w:val="clear" w:pos="480"/>
        <w:tab w:val="clear" w:pos="840"/>
      </w:tabs>
      <w:adjustRightInd w:val="0"/>
      <w:spacing w:after="120" w:line="360" w:lineRule="auto"/>
      <w:textAlignment w:val="baseline"/>
    </w:pPr>
    <w:rPr>
      <w:rFonts w:ascii="宋体" w:hAnsi="宋体" w:eastAsia="宋体" w:cs="宋体"/>
      <w:bCs w:val="0"/>
      <w:kern w:val="28"/>
      <w:sz w:val="24"/>
      <w:szCs w:val="24"/>
    </w:rPr>
  </w:style>
  <w:style w:type="paragraph" w:customStyle="1" w:styleId="1350">
    <w:name w:val="武生正文"/>
    <w:basedOn w:val="1"/>
    <w:next w:val="1"/>
    <w:qFormat/>
    <w:uiPriority w:val="0"/>
    <w:pPr>
      <w:tabs>
        <w:tab w:val="clear" w:pos="480"/>
      </w:tabs>
      <w:ind w:firstLine="240" w:firstLineChars="100"/>
    </w:pPr>
    <w:rPr>
      <w:rFonts w:ascii="宋体" w:hAnsi="宋体"/>
      <w:lang w:eastAsia="zh-TW"/>
    </w:rPr>
  </w:style>
  <w:style w:type="paragraph" w:customStyle="1" w:styleId="1351">
    <w:name w:val="武生标题1"/>
    <w:basedOn w:val="2"/>
    <w:next w:val="33"/>
    <w:qFormat/>
    <w:uiPriority w:val="0"/>
    <w:pPr>
      <w:numPr>
        <w:numId w:val="0"/>
      </w:numPr>
      <w:tabs>
        <w:tab w:val="clear" w:pos="480"/>
      </w:tabs>
      <w:spacing w:beforeLines="50" w:afterLines="50" w:line="240" w:lineRule="auto"/>
    </w:pPr>
    <w:rPr>
      <w:rFonts w:ascii="宋体" w:hAnsi="宋体" w:eastAsia="宋体"/>
      <w:snapToGrid w:val="0"/>
      <w:kern w:val="0"/>
      <w:sz w:val="28"/>
    </w:rPr>
  </w:style>
  <w:style w:type="character" w:customStyle="1" w:styleId="1352">
    <w:name w:val="ll1"/>
    <w:basedOn w:val="133"/>
    <w:semiHidden/>
    <w:qFormat/>
    <w:uiPriority w:val="0"/>
  </w:style>
  <w:style w:type="paragraph" w:customStyle="1" w:styleId="1353">
    <w:name w:val="宏福3A"/>
    <w:basedOn w:val="1"/>
    <w:qFormat/>
    <w:uiPriority w:val="0"/>
    <w:pPr>
      <w:keepNext/>
      <w:keepLines/>
      <w:tabs>
        <w:tab w:val="clear" w:pos="480"/>
      </w:tabs>
      <w:snapToGrid w:val="0"/>
      <w:spacing w:before="240" w:line="240" w:lineRule="auto"/>
      <w:outlineLvl w:val="2"/>
    </w:pPr>
    <w:rPr>
      <w:sz w:val="28"/>
      <w:szCs w:val="28"/>
    </w:rPr>
  </w:style>
  <w:style w:type="character" w:customStyle="1" w:styleId="1354">
    <w:name w:val="正文(首行缩进) Char"/>
    <w:link w:val="638"/>
    <w:qFormat/>
    <w:uiPriority w:val="0"/>
    <w:rPr>
      <w:rFonts w:ascii="宋体" w:hAnsi="宋体" w:eastAsia="宋体"/>
      <w:snapToGrid w:val="0"/>
      <w:sz w:val="24"/>
      <w:szCs w:val="24"/>
      <w:lang w:val="en-US" w:eastAsia="zh-CN" w:bidi="ar-SA"/>
    </w:rPr>
  </w:style>
  <w:style w:type="paragraph" w:customStyle="1" w:styleId="1355">
    <w:name w:val="框图1"/>
    <w:basedOn w:val="1"/>
    <w:qFormat/>
    <w:uiPriority w:val="0"/>
    <w:pPr>
      <w:tabs>
        <w:tab w:val="clear" w:pos="480"/>
      </w:tabs>
      <w:adjustRightInd w:val="0"/>
      <w:spacing w:line="20" w:lineRule="atLeast"/>
      <w:jc w:val="center"/>
      <w:textAlignment w:val="baseline"/>
    </w:pPr>
    <w:rPr>
      <w:rFonts w:ascii="宋体"/>
      <w:kern w:val="18"/>
      <w:sz w:val="18"/>
      <w:szCs w:val="20"/>
    </w:rPr>
  </w:style>
  <w:style w:type="paragraph" w:customStyle="1" w:styleId="1356">
    <w:name w:val="插图"/>
    <w:basedOn w:val="1"/>
    <w:next w:val="1"/>
    <w:qFormat/>
    <w:uiPriority w:val="0"/>
    <w:pPr>
      <w:keepLines/>
      <w:tabs>
        <w:tab w:val="clear" w:pos="480"/>
      </w:tabs>
      <w:adjustRightInd w:val="0"/>
      <w:spacing w:before="360" w:after="300" w:line="567" w:lineRule="atLeast"/>
      <w:jc w:val="center"/>
      <w:textAlignment w:val="baseline"/>
    </w:pPr>
    <w:rPr>
      <w:kern w:val="0"/>
      <w:szCs w:val="20"/>
    </w:rPr>
  </w:style>
  <w:style w:type="character" w:customStyle="1" w:styleId="1357">
    <w:name w:val="style141"/>
    <w:semiHidden/>
    <w:qFormat/>
    <w:uiPriority w:val="0"/>
    <w:rPr>
      <w:color w:val="FF0000"/>
    </w:rPr>
  </w:style>
  <w:style w:type="paragraph" w:customStyle="1" w:styleId="1358">
    <w:name w:val="样式 标题 3标题 3 Char Char Char标题 3 Char Char Char Char Char Char标..."/>
    <w:basedOn w:val="4"/>
    <w:link w:val="2794"/>
    <w:qFormat/>
    <w:uiPriority w:val="0"/>
    <w:pPr>
      <w:numPr>
        <w:ilvl w:val="0"/>
        <w:numId w:val="0"/>
      </w:numPr>
      <w:tabs>
        <w:tab w:val="clear" w:pos="480"/>
        <w:tab w:val="clear" w:pos="840"/>
      </w:tabs>
      <w:spacing w:before="0" w:after="0" w:line="360" w:lineRule="auto"/>
    </w:pPr>
    <w:rPr>
      <w:rFonts w:ascii="Plotter" w:hAnsi="Plotter" w:eastAsia="宋体"/>
      <w:sz w:val="24"/>
      <w:szCs w:val="20"/>
    </w:rPr>
  </w:style>
  <w:style w:type="paragraph" w:customStyle="1" w:styleId="1359">
    <w:name w:val="p9"/>
    <w:basedOn w:val="1"/>
    <w:semiHidden/>
    <w:qFormat/>
    <w:uiPriority w:val="0"/>
    <w:pPr>
      <w:widowControl/>
      <w:tabs>
        <w:tab w:val="clear" w:pos="480"/>
      </w:tabs>
      <w:spacing w:before="100" w:beforeAutospacing="1" w:after="100" w:afterAutospacing="1" w:line="300" w:lineRule="atLeast"/>
      <w:jc w:val="left"/>
    </w:pPr>
    <w:rPr>
      <w:rFonts w:ascii="宋体" w:hAnsi="宋体" w:cs="宋体"/>
      <w:kern w:val="0"/>
      <w:sz w:val="18"/>
      <w:szCs w:val="18"/>
    </w:rPr>
  </w:style>
  <w:style w:type="paragraph" w:customStyle="1" w:styleId="1360">
    <w:name w:val="注："/>
    <w:next w:val="1"/>
    <w:qFormat/>
    <w:uiPriority w:val="0"/>
    <w:pPr>
      <w:widowControl w:val="0"/>
      <w:autoSpaceDE w:val="0"/>
      <w:autoSpaceDN w:val="0"/>
      <w:spacing w:line="360" w:lineRule="auto"/>
      <w:ind w:left="840" w:hanging="420" w:firstLineChars="200"/>
      <w:jc w:val="both"/>
    </w:pPr>
    <w:rPr>
      <w:rFonts w:ascii="宋体" w:hAnsi="Times New Roman" w:eastAsia="宋体" w:cs="Times New Roman"/>
      <w:kern w:val="2"/>
      <w:sz w:val="18"/>
      <w:szCs w:val="24"/>
      <w:lang w:val="en-US" w:eastAsia="zh-CN" w:bidi="ar-SA"/>
    </w:rPr>
  </w:style>
  <w:style w:type="character" w:customStyle="1" w:styleId="1361">
    <w:name w:val="google-src-text"/>
    <w:basedOn w:val="133"/>
    <w:semiHidden/>
    <w:qFormat/>
    <w:uiPriority w:val="0"/>
  </w:style>
  <w:style w:type="paragraph" w:customStyle="1" w:styleId="1362">
    <w:name w:val="圖一"/>
    <w:basedOn w:val="21"/>
    <w:qFormat/>
    <w:uiPriority w:val="0"/>
    <w:pPr>
      <w:widowControl w:val="0"/>
      <w:adjustRightInd/>
      <w:snapToGrid/>
      <w:spacing w:before="240" w:after="0" w:line="500" w:lineRule="exact"/>
      <w:ind w:firstLine="510" w:firstLineChars="0"/>
    </w:pPr>
    <w:rPr>
      <w:rFonts w:ascii="Times New Roman" w:hAnsi="Times New Roman" w:eastAsia="DFKai-SB" w:cs="Times New Roman"/>
      <w:b/>
      <w:bCs/>
      <w:color w:val="auto"/>
      <w:kern w:val="0"/>
      <w:sz w:val="30"/>
      <w:lang w:eastAsia="zh-TW"/>
    </w:rPr>
  </w:style>
  <w:style w:type="paragraph" w:customStyle="1" w:styleId="1363">
    <w:name w:val="樣式3"/>
    <w:basedOn w:val="1"/>
    <w:qFormat/>
    <w:uiPriority w:val="0"/>
    <w:pPr>
      <w:tabs>
        <w:tab w:val="clear" w:pos="480"/>
      </w:tabs>
      <w:spacing w:before="120" w:after="120" w:line="500" w:lineRule="exact"/>
      <w:ind w:left="227" w:firstLine="567"/>
    </w:pPr>
    <w:rPr>
      <w:rFonts w:eastAsia="DFKai-SB"/>
      <w:sz w:val="28"/>
      <w:szCs w:val="20"/>
      <w:lang w:eastAsia="zh-TW"/>
    </w:rPr>
  </w:style>
  <w:style w:type="paragraph" w:customStyle="1" w:styleId="1364">
    <w:name w:val="页脚1"/>
    <w:basedOn w:val="1"/>
    <w:qFormat/>
    <w:uiPriority w:val="0"/>
    <w:pPr>
      <w:tabs>
        <w:tab w:val="clear" w:pos="480"/>
      </w:tabs>
      <w:adjustRightInd w:val="0"/>
      <w:spacing w:line="312" w:lineRule="auto"/>
      <w:ind w:firstLine="510"/>
      <w:jc w:val="center"/>
      <w:textAlignment w:val="baseline"/>
    </w:pPr>
    <w:rPr>
      <w:b/>
      <w:i/>
      <w:kern w:val="0"/>
      <w:szCs w:val="20"/>
      <w:u w:val="single"/>
    </w:rPr>
  </w:style>
  <w:style w:type="paragraph" w:customStyle="1" w:styleId="1365">
    <w:name w:val="横页眉"/>
    <w:basedOn w:val="1"/>
    <w:next w:val="57"/>
    <w:qFormat/>
    <w:uiPriority w:val="0"/>
    <w:pPr>
      <w:pBdr>
        <w:bottom w:val="double" w:color="auto" w:sz="6" w:space="1"/>
      </w:pBdr>
      <w:tabs>
        <w:tab w:val="center" w:pos="6623"/>
        <w:tab w:val="right" w:pos="13245"/>
        <w:tab w:val="clear" w:pos="480"/>
      </w:tabs>
      <w:adjustRightInd w:val="0"/>
      <w:spacing w:line="312" w:lineRule="auto"/>
      <w:ind w:firstLine="510"/>
      <w:textAlignment w:val="baseline"/>
    </w:pPr>
    <w:rPr>
      <w:kern w:val="0"/>
      <w:szCs w:val="20"/>
    </w:rPr>
  </w:style>
  <w:style w:type="paragraph" w:customStyle="1" w:styleId="1366">
    <w:name w:val="表标题2"/>
    <w:basedOn w:val="1"/>
    <w:semiHidden/>
    <w:qFormat/>
    <w:uiPriority w:val="0"/>
    <w:pPr>
      <w:keepNext/>
      <w:widowControl/>
      <w:tabs>
        <w:tab w:val="clear" w:pos="480"/>
      </w:tabs>
      <w:autoSpaceDE w:val="0"/>
      <w:autoSpaceDN w:val="0"/>
      <w:adjustRightInd w:val="0"/>
      <w:spacing w:before="180" w:after="120" w:line="408" w:lineRule="atLeast"/>
      <w:ind w:firstLine="510"/>
      <w:jc w:val="center"/>
      <w:textAlignment w:val="baseline"/>
    </w:pPr>
    <w:rPr>
      <w:b/>
      <w:spacing w:val="2"/>
      <w:kern w:val="0"/>
      <w:sz w:val="28"/>
      <w:szCs w:val="20"/>
    </w:rPr>
  </w:style>
  <w:style w:type="paragraph" w:customStyle="1" w:styleId="1367">
    <w:name w:val="篇名"/>
    <w:basedOn w:val="1"/>
    <w:next w:val="1"/>
    <w:qFormat/>
    <w:uiPriority w:val="0"/>
    <w:pPr>
      <w:tabs>
        <w:tab w:val="clear" w:pos="480"/>
      </w:tabs>
      <w:adjustRightInd w:val="0"/>
      <w:snapToGrid w:val="0"/>
      <w:spacing w:before="120" w:after="240" w:line="400" w:lineRule="exact"/>
      <w:ind w:firstLine="567"/>
      <w:jc w:val="center"/>
      <w:textAlignment w:val="baseline"/>
    </w:pPr>
    <w:rPr>
      <w:rFonts w:ascii="黑体" w:hAnsi="Courier New" w:eastAsia="黑体"/>
      <w:kern w:val="0"/>
      <w:sz w:val="32"/>
      <w:szCs w:val="20"/>
    </w:rPr>
  </w:style>
  <w:style w:type="paragraph" w:customStyle="1" w:styleId="1368">
    <w:name w:val="方程"/>
    <w:basedOn w:val="1"/>
    <w:qFormat/>
    <w:uiPriority w:val="0"/>
    <w:pPr>
      <w:widowControl/>
      <w:tabs>
        <w:tab w:val="clear" w:pos="480"/>
      </w:tabs>
      <w:overflowPunct w:val="0"/>
      <w:adjustRightInd w:val="0"/>
      <w:spacing w:before="60" w:after="60" w:line="400" w:lineRule="atLeast"/>
      <w:ind w:right="238"/>
      <w:jc w:val="center"/>
      <w:textAlignment w:val="bottom"/>
    </w:pPr>
    <w:rPr>
      <w:kern w:val="0"/>
      <w:sz w:val="28"/>
      <w:szCs w:val="20"/>
    </w:rPr>
  </w:style>
  <w:style w:type="paragraph" w:customStyle="1" w:styleId="1369">
    <w:name w:val="表标题1"/>
    <w:basedOn w:val="1"/>
    <w:semiHidden/>
    <w:qFormat/>
    <w:uiPriority w:val="0"/>
    <w:pPr>
      <w:keepNext/>
      <w:widowControl/>
      <w:tabs>
        <w:tab w:val="clear" w:pos="480"/>
      </w:tabs>
      <w:autoSpaceDE w:val="0"/>
      <w:autoSpaceDN w:val="0"/>
      <w:adjustRightInd w:val="0"/>
      <w:spacing w:before="180" w:after="120" w:line="408" w:lineRule="atLeast"/>
      <w:ind w:firstLine="510"/>
      <w:jc w:val="center"/>
      <w:textAlignment w:val="baseline"/>
    </w:pPr>
    <w:rPr>
      <w:b/>
      <w:spacing w:val="2"/>
      <w:kern w:val="0"/>
      <w:sz w:val="28"/>
      <w:szCs w:val="20"/>
    </w:rPr>
  </w:style>
  <w:style w:type="character" w:customStyle="1" w:styleId="1370">
    <w:name w:val="font9pt"/>
    <w:basedOn w:val="133"/>
    <w:semiHidden/>
    <w:qFormat/>
    <w:uiPriority w:val="0"/>
  </w:style>
  <w:style w:type="paragraph" w:customStyle="1" w:styleId="1371">
    <w:name w:val="表居中（中文）"/>
    <w:basedOn w:val="1"/>
    <w:qFormat/>
    <w:uiPriority w:val="0"/>
    <w:pPr>
      <w:tabs>
        <w:tab w:val="clear" w:pos="480"/>
      </w:tabs>
      <w:adjustRightInd w:val="0"/>
      <w:spacing w:line="380" w:lineRule="atLeast"/>
      <w:jc w:val="center"/>
      <w:textAlignment w:val="baseline"/>
    </w:pPr>
    <w:rPr>
      <w:rFonts w:eastAsia="楷体_GB2312"/>
      <w:kern w:val="0"/>
      <w:sz w:val="21"/>
      <w:szCs w:val="20"/>
    </w:rPr>
  </w:style>
  <w:style w:type="character" w:customStyle="1" w:styleId="1372">
    <w:name w:val="标题 3 Char Char Char Char Char Char Char Char Char Char Char Char Char Char Char Char"/>
    <w:semiHidden/>
    <w:qFormat/>
    <w:uiPriority w:val="0"/>
    <w:rPr>
      <w:rFonts w:ascii="宋体" w:hAnsi="宋体" w:eastAsia="宋体"/>
      <w:b/>
      <w:bCs/>
      <w:sz w:val="32"/>
      <w:szCs w:val="32"/>
      <w:lang w:val="en-US" w:eastAsia="zh-CN" w:bidi="ar-SA"/>
    </w:rPr>
  </w:style>
  <w:style w:type="paragraph" w:customStyle="1" w:styleId="1373">
    <w:name w:val="样式 图表标题 + 加粗 段前: 0.5 行 段后: 0.5 行"/>
    <w:basedOn w:val="1"/>
    <w:qFormat/>
    <w:uiPriority w:val="0"/>
    <w:pPr>
      <w:tabs>
        <w:tab w:val="clear" w:pos="480"/>
      </w:tabs>
      <w:spacing w:beforeLines="50" w:afterLines="50" w:line="440" w:lineRule="exact"/>
      <w:jc w:val="center"/>
    </w:pPr>
    <w:rPr>
      <w:rFonts w:cs="宋体"/>
      <w:b/>
      <w:bCs/>
      <w:szCs w:val="20"/>
    </w:rPr>
  </w:style>
  <w:style w:type="paragraph" w:customStyle="1" w:styleId="1374">
    <w:name w:val="油库表"/>
    <w:basedOn w:val="165"/>
    <w:qFormat/>
    <w:uiPriority w:val="0"/>
    <w:pPr>
      <w:spacing w:beforeLines="25" w:afterLines="25" w:line="240" w:lineRule="auto"/>
      <w:jc w:val="center"/>
      <w:textAlignment w:val="baseline"/>
    </w:pPr>
    <w:rPr>
      <w:rFonts w:eastAsia="宋体"/>
      <w:spacing w:val="10"/>
      <w:kern w:val="0"/>
      <w:sz w:val="21"/>
    </w:rPr>
  </w:style>
  <w:style w:type="character" w:customStyle="1" w:styleId="1375">
    <w:name w:val="wenzi"/>
    <w:basedOn w:val="133"/>
    <w:semiHidden/>
    <w:qFormat/>
    <w:uiPriority w:val="0"/>
  </w:style>
  <w:style w:type="paragraph" w:customStyle="1" w:styleId="1376">
    <w:name w:val="自动更正"/>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77">
    <w:name w:val="上次保存者"/>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78">
    <w:name w:val="上次打印时间"/>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79">
    <w:name w:val="临书仓促，不尽欲言。"/>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0">
    <w:name w:val="主题:"/>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1">
    <w:name w:val="久不通函，至以为念。"/>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2">
    <w:name w:val="亲启"/>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3">
    <w:name w:val="作者"/>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4">
    <w:name w:val="作者、页码、日期"/>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5">
    <w:name w:val="先生/女士："/>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6">
    <w:name w:val="关于:"/>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7">
    <w:name w:val="分手多日，近况如何？"/>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8">
    <w:name w:val="刘晓腾"/>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9">
    <w:name w:val="创建日期"/>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0">
    <w:name w:val="前上一函，谅达雅鉴，迄今未闻复音。"/>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1">
    <w:name w:val="匆此先复，余容后禀。"/>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2">
    <w:name w:val="参考:"/>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3">
    <w:name w:val="叩请金安！"/>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4">
    <w:name w:val="奉恳之事，乞速复为荷。"/>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5">
    <w:name w:val="奉读大示，心折殊深。"/>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6">
    <w:name w:val="尊意如何，请即示知。"/>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7">
    <w:name w:val="惠书敬悉，迟复为歉。"/>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8">
    <w:name w:val="敬启者："/>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9">
    <w:name w:val="文件名"/>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0">
    <w:name w:val="文件名和路径"/>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1">
    <w:name w:val="机密、页码、日期"/>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2">
    <w:name w:val="知尊恙复发，心甚念之。"/>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3">
    <w:name w:val="第 X 页 共 Y 页"/>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4">
    <w:name w:val="答复:"/>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5">
    <w:name w:val="纸短情长，再祈珍重！"/>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6">
    <w:name w:val="请勿折叠！"/>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7">
    <w:name w:val="近来寒暑不常，希自珍慰。"/>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8">
    <w:name w:val="音问久疏，唯愿一切康适。"/>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9">
    <w:name w:val="顺颂商祺！"/>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10">
    <w:name w:val="input"/>
    <w:basedOn w:val="1"/>
    <w:semiHidden/>
    <w:qFormat/>
    <w:uiPriority w:val="0"/>
    <w:pPr>
      <w:widowControl/>
      <w:pBdr>
        <w:top w:val="single" w:color="EFEFEF" w:sz="6" w:space="0"/>
        <w:left w:val="single" w:color="EFEFEF" w:sz="6" w:space="0"/>
      </w:pBdr>
      <w:shd w:val="clear" w:color="auto" w:fill="FFFFFF"/>
      <w:tabs>
        <w:tab w:val="clear" w:pos="480"/>
      </w:tabs>
      <w:spacing w:before="100" w:beforeAutospacing="1" w:after="100" w:afterAutospacing="1" w:line="240" w:lineRule="auto"/>
      <w:jc w:val="left"/>
    </w:pPr>
    <w:rPr>
      <w:rFonts w:ascii="Arial Unicode MS" w:hAnsi="Arial Unicode MS" w:eastAsia="Arial Unicode MS" w:cs="Arial Unicode MS"/>
      <w:color w:val="999999"/>
      <w:kern w:val="0"/>
      <w:sz w:val="18"/>
      <w:szCs w:val="18"/>
    </w:rPr>
  </w:style>
  <w:style w:type="paragraph" w:customStyle="1" w:styleId="1411">
    <w:name w:val="inputaa"/>
    <w:basedOn w:val="1"/>
    <w:semiHidden/>
    <w:qFormat/>
    <w:uiPriority w:val="0"/>
    <w:pPr>
      <w:widowControl/>
      <w:pBdr>
        <w:top w:val="threeDEmboss" w:color="FFFFFF" w:sz="6" w:space="0"/>
        <w:left w:val="threeDEmboss" w:color="FFFFFF" w:sz="6" w:space="0"/>
        <w:bottom w:val="threeDEmboss" w:color="auto" w:sz="6" w:space="0"/>
        <w:right w:val="threeDEmboss" w:color="auto" w:sz="6" w:space="0"/>
      </w:pBdr>
      <w:shd w:val="clear" w:color="auto" w:fill="CCCCCC"/>
      <w:tabs>
        <w:tab w:val="clear" w:pos="480"/>
      </w:tabs>
      <w:spacing w:before="100" w:beforeAutospacing="1" w:after="100" w:afterAutospacing="1" w:line="240" w:lineRule="auto"/>
      <w:jc w:val="left"/>
    </w:pPr>
    <w:rPr>
      <w:rFonts w:eastAsia="Arial Unicode MS" w:cs="Arial Unicode MS"/>
      <w:kern w:val="0"/>
      <w:sz w:val="18"/>
      <w:szCs w:val="18"/>
    </w:rPr>
  </w:style>
  <w:style w:type="paragraph" w:customStyle="1" w:styleId="1412">
    <w:name w:val="out"/>
    <w:basedOn w:val="1"/>
    <w:semiHidden/>
    <w:qFormat/>
    <w:uiPriority w:val="0"/>
    <w:pPr>
      <w:widowControl/>
      <w:pBdr>
        <w:top w:val="single" w:color="EFEFEF" w:sz="6" w:space="0"/>
        <w:left w:val="single" w:color="EFEFEF" w:sz="6" w:space="0"/>
      </w:pBdr>
      <w:shd w:val="clear" w:color="auto" w:fill="FFFFFF"/>
      <w:tabs>
        <w:tab w:val="clear" w:pos="480"/>
      </w:tabs>
      <w:spacing w:before="100" w:beforeAutospacing="1" w:after="100" w:afterAutospacing="1" w:line="240" w:lineRule="auto"/>
      <w:jc w:val="left"/>
    </w:pPr>
    <w:rPr>
      <w:rFonts w:ascii="Arial Unicode MS" w:hAnsi="Arial Unicode MS" w:eastAsia="Arial Unicode MS" w:cs="Arial Unicode MS"/>
      <w:color w:val="000000"/>
      <w:kern w:val="0"/>
      <w:sz w:val="18"/>
      <w:szCs w:val="18"/>
    </w:rPr>
  </w:style>
  <w:style w:type="paragraph" w:customStyle="1" w:styleId="1413">
    <w:name w:val="over"/>
    <w:basedOn w:val="1"/>
    <w:semiHidden/>
    <w:qFormat/>
    <w:uiPriority w:val="0"/>
    <w:pPr>
      <w:widowControl/>
      <w:pBdr>
        <w:top w:val="single" w:color="EFEFEF" w:sz="6" w:space="0"/>
        <w:left w:val="single" w:color="EFEFEF" w:sz="6" w:space="0"/>
      </w:pBdr>
      <w:shd w:val="clear" w:color="auto" w:fill="EFEFEF"/>
      <w:tabs>
        <w:tab w:val="clear" w:pos="480"/>
      </w:tabs>
      <w:spacing w:before="100" w:beforeAutospacing="1" w:after="100" w:afterAutospacing="1" w:line="240" w:lineRule="auto"/>
      <w:jc w:val="left"/>
    </w:pPr>
    <w:rPr>
      <w:rFonts w:ascii="Arial Unicode MS" w:hAnsi="Arial Unicode MS" w:eastAsia="Arial Unicode MS" w:cs="Arial Unicode MS"/>
      <w:color w:val="000000"/>
      <w:kern w:val="0"/>
      <w:sz w:val="18"/>
      <w:szCs w:val="18"/>
    </w:rPr>
  </w:style>
  <w:style w:type="paragraph" w:customStyle="1" w:styleId="1414">
    <w:name w:val="td"/>
    <w:basedOn w:val="1"/>
    <w:semiHidden/>
    <w:qFormat/>
    <w:uiPriority w:val="0"/>
    <w:pPr>
      <w:widowControl/>
      <w:tabs>
        <w:tab w:val="clear" w:pos="480"/>
      </w:tabs>
      <w:spacing w:before="100" w:beforeAutospacing="1" w:after="100" w:afterAutospacing="1"/>
      <w:jc w:val="left"/>
    </w:pPr>
    <w:rPr>
      <w:rFonts w:eastAsia="Arial Unicode MS" w:cs="Arial Unicode MS"/>
      <w:kern w:val="0"/>
      <w:sz w:val="18"/>
      <w:szCs w:val="18"/>
    </w:rPr>
  </w:style>
  <w:style w:type="paragraph" w:customStyle="1" w:styleId="1415">
    <w:name w:val="tdh"/>
    <w:basedOn w:val="1"/>
    <w:semiHidden/>
    <w:qFormat/>
    <w:uiPriority w:val="0"/>
    <w:pPr>
      <w:widowControl/>
      <w:tabs>
        <w:tab w:val="clear" w:pos="480"/>
      </w:tabs>
      <w:spacing w:before="100" w:beforeAutospacing="1" w:after="100" w:afterAutospacing="1"/>
      <w:jc w:val="left"/>
    </w:pPr>
    <w:rPr>
      <w:rFonts w:eastAsia="Arial Unicode MS" w:cs="Arial Unicode MS"/>
      <w:spacing w:val="30"/>
      <w:kern w:val="0"/>
      <w:sz w:val="18"/>
      <w:szCs w:val="18"/>
    </w:rPr>
  </w:style>
  <w:style w:type="paragraph" w:customStyle="1" w:styleId="1416">
    <w:name w:val="tnone"/>
    <w:basedOn w:val="1"/>
    <w:semiHidden/>
    <w:qFormat/>
    <w:uiPriority w:val="0"/>
    <w:pPr>
      <w:widowControl/>
      <w:tabs>
        <w:tab w:val="clear" w:pos="480"/>
      </w:tabs>
      <w:spacing w:before="100" w:beforeAutospacing="1" w:after="100" w:afterAutospacing="1" w:line="240" w:lineRule="auto"/>
      <w:jc w:val="left"/>
    </w:pPr>
    <w:rPr>
      <w:rFonts w:ascii="Arial Unicode MS" w:hAnsi="Arial Unicode MS" w:eastAsia="Arial Unicode MS" w:cs="Arial Unicode MS"/>
      <w:kern w:val="0"/>
    </w:rPr>
  </w:style>
  <w:style w:type="paragraph" w:customStyle="1" w:styleId="1417">
    <w:name w:val="tover"/>
    <w:basedOn w:val="1"/>
    <w:semiHidden/>
    <w:qFormat/>
    <w:uiPriority w:val="0"/>
    <w:pPr>
      <w:widowControl/>
      <w:shd w:val="clear" w:color="auto" w:fill="EFEFEF"/>
      <w:tabs>
        <w:tab w:val="clear" w:pos="480"/>
      </w:tabs>
      <w:spacing w:before="100" w:beforeAutospacing="1" w:after="100" w:afterAutospacing="1" w:line="240" w:lineRule="auto"/>
      <w:jc w:val="left"/>
    </w:pPr>
    <w:rPr>
      <w:rFonts w:ascii="Arial Unicode MS" w:hAnsi="Arial Unicode MS" w:eastAsia="Arial Unicode MS" w:cs="Arial Unicode MS"/>
      <w:kern w:val="0"/>
    </w:rPr>
  </w:style>
  <w:style w:type="paragraph" w:customStyle="1" w:styleId="1418">
    <w:name w:val="tout"/>
    <w:basedOn w:val="1"/>
    <w:semiHidden/>
    <w:qFormat/>
    <w:uiPriority w:val="0"/>
    <w:pPr>
      <w:widowControl/>
      <w:shd w:val="clear" w:color="auto" w:fill="FFFFFF"/>
      <w:tabs>
        <w:tab w:val="clear" w:pos="480"/>
      </w:tabs>
      <w:spacing w:before="100" w:beforeAutospacing="1" w:after="100" w:afterAutospacing="1" w:line="240" w:lineRule="auto"/>
      <w:jc w:val="left"/>
    </w:pPr>
    <w:rPr>
      <w:rFonts w:ascii="Arial Unicode MS" w:hAnsi="Arial Unicode MS" w:eastAsia="Arial Unicode MS" w:cs="Arial Unicode MS"/>
      <w:kern w:val="0"/>
    </w:rPr>
  </w:style>
  <w:style w:type="paragraph" w:customStyle="1" w:styleId="1419">
    <w:name w:val="pad"/>
    <w:basedOn w:val="1"/>
    <w:semiHidden/>
    <w:qFormat/>
    <w:uiPriority w:val="0"/>
    <w:pPr>
      <w:widowControl/>
      <w:tabs>
        <w:tab w:val="clear" w:pos="480"/>
      </w:tabs>
      <w:spacing w:before="100" w:beforeAutospacing="1" w:after="100" w:afterAutospacing="1" w:line="240" w:lineRule="auto"/>
      <w:jc w:val="left"/>
    </w:pPr>
    <w:rPr>
      <w:rFonts w:ascii="Arial Unicode MS" w:hAnsi="Arial Unicode MS" w:eastAsia="Arial Unicode MS" w:cs="Arial Unicode MS"/>
      <w:kern w:val="0"/>
    </w:rPr>
  </w:style>
  <w:style w:type="paragraph" w:customStyle="1" w:styleId="1420">
    <w:name w:val="textfield"/>
    <w:basedOn w:val="1"/>
    <w:semiHidden/>
    <w:qFormat/>
    <w:uiPriority w:val="0"/>
    <w:pPr>
      <w:widowControl/>
      <w:pBdr>
        <w:top w:val="single" w:color="000000" w:sz="6" w:space="0"/>
        <w:left w:val="single" w:color="000000" w:sz="6" w:space="0"/>
        <w:bottom w:val="single" w:color="000000" w:sz="6" w:space="0"/>
        <w:right w:val="single" w:color="000000" w:sz="6" w:space="0"/>
      </w:pBdr>
      <w:shd w:val="clear" w:color="auto" w:fill="FFFFFF"/>
      <w:tabs>
        <w:tab w:val="clear" w:pos="480"/>
      </w:tabs>
      <w:spacing w:before="100" w:beforeAutospacing="1" w:after="100" w:afterAutospacing="1" w:line="240" w:lineRule="auto"/>
      <w:jc w:val="left"/>
    </w:pPr>
    <w:rPr>
      <w:rFonts w:eastAsia="Arial Unicode MS" w:cs="Arial Unicode MS"/>
      <w:color w:val="00152B"/>
      <w:kern w:val="0"/>
      <w:sz w:val="18"/>
      <w:szCs w:val="18"/>
    </w:rPr>
  </w:style>
  <w:style w:type="paragraph" w:customStyle="1" w:styleId="1421">
    <w:name w:val="hangju1"/>
    <w:basedOn w:val="1"/>
    <w:semiHidden/>
    <w:qFormat/>
    <w:uiPriority w:val="0"/>
    <w:pPr>
      <w:widowControl/>
      <w:tabs>
        <w:tab w:val="clear" w:pos="480"/>
      </w:tabs>
      <w:spacing w:before="100" w:beforeAutospacing="1" w:after="100" w:afterAutospacing="1" w:line="255" w:lineRule="atLeast"/>
      <w:jc w:val="left"/>
    </w:pPr>
    <w:rPr>
      <w:rFonts w:ascii="Arial Unicode MS" w:hAnsi="Arial Unicode MS" w:eastAsia="Arial Unicode MS" w:cs="Arial Unicode MS"/>
      <w:kern w:val="0"/>
    </w:rPr>
  </w:style>
  <w:style w:type="paragraph" w:customStyle="1" w:styleId="1422">
    <w:name w:val="表标题 Char Char"/>
    <w:basedOn w:val="1"/>
    <w:semiHidden/>
    <w:qFormat/>
    <w:uiPriority w:val="0"/>
    <w:pPr>
      <w:tabs>
        <w:tab w:val="clear" w:pos="480"/>
      </w:tabs>
      <w:adjustRightInd w:val="0"/>
      <w:snapToGrid w:val="0"/>
      <w:spacing w:before="40" w:afterLines="50" w:line="400" w:lineRule="atLeast"/>
      <w:jc w:val="center"/>
    </w:pPr>
    <w:rPr>
      <w:b/>
      <w:bCs/>
    </w:rPr>
  </w:style>
  <w:style w:type="character" w:customStyle="1" w:styleId="1423">
    <w:name w:val="表标题 Char Char Char"/>
    <w:semiHidden/>
    <w:qFormat/>
    <w:uiPriority w:val="0"/>
    <w:rPr>
      <w:rFonts w:eastAsia="宋体"/>
      <w:b/>
      <w:bCs/>
      <w:kern w:val="2"/>
      <w:sz w:val="24"/>
      <w:szCs w:val="24"/>
      <w:lang w:val="en-US" w:eastAsia="zh-CN" w:bidi="ar-SA"/>
    </w:rPr>
  </w:style>
  <w:style w:type="paragraph" w:customStyle="1" w:styleId="1424">
    <w:name w:val="表第一列"/>
    <w:basedOn w:val="86"/>
    <w:semiHidden/>
    <w:qFormat/>
    <w:uiPriority w:val="0"/>
    <w:pPr>
      <w:keepNext/>
      <w:keepLines/>
      <w:tabs>
        <w:tab w:val="left" w:pos="1727"/>
        <w:tab w:val="left" w:pos="1884"/>
        <w:tab w:val="left" w:pos="2940"/>
      </w:tabs>
      <w:adjustRightInd w:val="0"/>
      <w:snapToGrid w:val="0"/>
      <w:spacing w:after="0" w:line="0" w:lineRule="atLeast"/>
      <w:ind w:firstLine="0" w:firstLineChars="0"/>
      <w:jc w:val="center"/>
    </w:pPr>
    <w:rPr>
      <w:rFonts w:ascii="宋体" w:hAnsi="宋体"/>
      <w:color w:val="000000"/>
      <w:spacing w:val="-4"/>
      <w:kern w:val="0"/>
      <w:szCs w:val="20"/>
    </w:rPr>
  </w:style>
  <w:style w:type="character" w:customStyle="1" w:styleId="1425">
    <w:name w:val="c121"/>
    <w:semiHidden/>
    <w:qFormat/>
    <w:uiPriority w:val="0"/>
    <w:rPr>
      <w:color w:val="666666"/>
      <w:spacing w:val="405"/>
      <w:sz w:val="18"/>
      <w:szCs w:val="18"/>
      <w:u w:val="none"/>
    </w:rPr>
  </w:style>
  <w:style w:type="paragraph" w:customStyle="1" w:styleId="1426">
    <w:name w:val="文本"/>
    <w:basedOn w:val="1"/>
    <w:link w:val="1561"/>
    <w:qFormat/>
    <w:uiPriority w:val="0"/>
    <w:pPr>
      <w:tabs>
        <w:tab w:val="clear" w:pos="480"/>
      </w:tabs>
      <w:adjustRightInd w:val="0"/>
      <w:spacing w:line="240" w:lineRule="auto"/>
      <w:jc w:val="left"/>
      <w:textAlignment w:val="baseline"/>
    </w:pPr>
    <w:rPr>
      <w:rFonts w:ascii="宋体"/>
      <w:kern w:val="0"/>
      <w:sz w:val="28"/>
      <w:szCs w:val="20"/>
      <w:lang w:val="zh-CN"/>
    </w:rPr>
  </w:style>
  <w:style w:type="paragraph" w:customStyle="1" w:styleId="1427">
    <w:name w:val="编号正文"/>
    <w:basedOn w:val="20"/>
    <w:semiHidden/>
    <w:qFormat/>
    <w:uiPriority w:val="0"/>
    <w:pPr>
      <w:tabs>
        <w:tab w:val="clear" w:pos="480"/>
      </w:tabs>
      <w:ind w:firstLine="480"/>
    </w:pPr>
    <w:rPr>
      <w:kern w:val="0"/>
    </w:rPr>
  </w:style>
  <w:style w:type="paragraph" w:customStyle="1" w:styleId="1428">
    <w:name w:val="表格文字（居中）"/>
    <w:basedOn w:val="1"/>
    <w:semiHidden/>
    <w:qFormat/>
    <w:uiPriority w:val="0"/>
    <w:pPr>
      <w:tabs>
        <w:tab w:val="clear" w:pos="480"/>
      </w:tabs>
      <w:spacing w:line="240" w:lineRule="auto"/>
      <w:jc w:val="center"/>
    </w:pPr>
    <w:rPr>
      <w:sz w:val="21"/>
      <w:szCs w:val="21"/>
    </w:rPr>
  </w:style>
  <w:style w:type="paragraph" w:customStyle="1" w:styleId="1429">
    <w:name w:val="湛江沥青正文"/>
    <w:basedOn w:val="1"/>
    <w:qFormat/>
    <w:uiPriority w:val="0"/>
    <w:pPr>
      <w:tabs>
        <w:tab w:val="clear" w:pos="480"/>
      </w:tabs>
      <w:ind w:firstLine="480"/>
    </w:pPr>
    <w:rPr>
      <w:rFonts w:ascii="宋体" w:hAnsi="宋体"/>
    </w:rPr>
  </w:style>
  <w:style w:type="paragraph" w:customStyle="1" w:styleId="1430">
    <w:name w:val="小注"/>
    <w:basedOn w:val="1"/>
    <w:next w:val="1"/>
    <w:qFormat/>
    <w:uiPriority w:val="0"/>
    <w:pPr>
      <w:tabs>
        <w:tab w:val="clear" w:pos="480"/>
      </w:tabs>
      <w:adjustRightInd w:val="0"/>
      <w:snapToGrid w:val="0"/>
      <w:spacing w:after="360" w:line="360" w:lineRule="atLeast"/>
    </w:pPr>
    <w:rPr>
      <w:rFonts w:ascii="宋体"/>
      <w:spacing w:val="14"/>
      <w:sz w:val="21"/>
      <w:szCs w:val="20"/>
    </w:rPr>
  </w:style>
  <w:style w:type="paragraph" w:customStyle="1" w:styleId="1431">
    <w:name w:val="题1"/>
    <w:basedOn w:val="1"/>
    <w:qFormat/>
    <w:uiPriority w:val="0"/>
    <w:pPr>
      <w:tabs>
        <w:tab w:val="left" w:pos="964"/>
        <w:tab w:val="clear" w:pos="480"/>
      </w:tabs>
      <w:spacing w:before="120" w:after="120" w:line="240" w:lineRule="auto"/>
    </w:pPr>
    <w:rPr>
      <w:b/>
      <w:sz w:val="32"/>
      <w:szCs w:val="20"/>
    </w:rPr>
  </w:style>
  <w:style w:type="paragraph" w:customStyle="1" w:styleId="1432">
    <w:name w:val="样式 题注 + 居中"/>
    <w:basedOn w:val="21"/>
    <w:qFormat/>
    <w:uiPriority w:val="0"/>
    <w:pPr>
      <w:widowControl w:val="0"/>
      <w:tabs>
        <w:tab w:val="left" w:pos="0"/>
      </w:tabs>
      <w:adjustRightInd/>
      <w:snapToGrid/>
      <w:spacing w:before="0" w:after="0" w:line="324" w:lineRule="auto"/>
      <w:ind w:firstLine="0" w:firstLineChars="0"/>
      <w:jc w:val="both"/>
    </w:pPr>
    <w:rPr>
      <w:rFonts w:cs="Times New Roman"/>
      <w:b/>
      <w:bCs/>
      <w:kern w:val="0"/>
      <w:sz w:val="21"/>
      <w:szCs w:val="24"/>
    </w:rPr>
  </w:style>
  <w:style w:type="paragraph" w:customStyle="1" w:styleId="1433">
    <w:name w:val="样式 题注2 + 首行缩进:  2 字符"/>
    <w:basedOn w:val="815"/>
    <w:qFormat/>
    <w:uiPriority w:val="0"/>
    <w:pPr>
      <w:numPr>
        <w:ilvl w:val="0"/>
        <w:numId w:val="19"/>
      </w:numPr>
      <w:tabs>
        <w:tab w:val="clear" w:pos="720"/>
      </w:tabs>
      <w:ind w:left="0" w:firstLine="420"/>
      <w:jc w:val="center"/>
    </w:pPr>
    <w:rPr>
      <w:b/>
      <w:bCs/>
      <w:color w:val="000000"/>
      <w:szCs w:val="24"/>
    </w:rPr>
  </w:style>
  <w:style w:type="character" w:customStyle="1" w:styleId="1434">
    <w:name w:val="码头正文 Char"/>
    <w:qFormat/>
    <w:uiPriority w:val="0"/>
    <w:rPr>
      <w:rFonts w:hAnsi="宋体" w:eastAsia="宋体"/>
      <w:bCs/>
      <w:sz w:val="24"/>
      <w:szCs w:val="24"/>
      <w:u w:color="000000"/>
      <w:lang w:val="en-US" w:eastAsia="zh-CN" w:bidi="ar-SA"/>
    </w:rPr>
  </w:style>
  <w:style w:type="paragraph" w:customStyle="1" w:styleId="1435">
    <w:name w:val="样式 报告书正文 + 首行缩进:  2 字符"/>
    <w:basedOn w:val="1"/>
    <w:qFormat/>
    <w:uiPriority w:val="0"/>
    <w:pPr>
      <w:tabs>
        <w:tab w:val="clear" w:pos="480"/>
      </w:tabs>
      <w:ind w:firstLine="504"/>
    </w:pPr>
    <w:rPr>
      <w:rFonts w:ascii="宋体" w:hAnsi="宋体"/>
      <w:color w:val="000000"/>
      <w:spacing w:val="6"/>
      <w:szCs w:val="20"/>
    </w:rPr>
  </w:style>
  <w:style w:type="character" w:customStyle="1" w:styleId="1436">
    <w:name w:val="theinfocontent"/>
    <w:basedOn w:val="133"/>
    <w:semiHidden/>
    <w:qFormat/>
    <w:uiPriority w:val="0"/>
  </w:style>
  <w:style w:type="paragraph" w:customStyle="1" w:styleId="1437">
    <w:name w:val="湛宝正文"/>
    <w:basedOn w:val="1"/>
    <w:qFormat/>
    <w:uiPriority w:val="0"/>
    <w:pPr>
      <w:tabs>
        <w:tab w:val="clear" w:pos="480"/>
      </w:tabs>
      <w:jc w:val="left"/>
    </w:pPr>
    <w:rPr>
      <w:color w:val="000000"/>
    </w:rPr>
  </w:style>
  <w:style w:type="paragraph" w:customStyle="1" w:styleId="1438">
    <w:name w:val="目次、标准名称标题"/>
    <w:basedOn w:val="235"/>
    <w:next w:val="754"/>
    <w:qFormat/>
    <w:uiPriority w:val="0"/>
    <w:pPr>
      <w:tabs>
        <w:tab w:val="clear" w:pos="903"/>
      </w:tabs>
      <w:spacing w:line="460" w:lineRule="exact"/>
      <w:ind w:left="0" w:firstLine="0"/>
    </w:pPr>
    <w:rPr>
      <w:szCs w:val="20"/>
    </w:rPr>
  </w:style>
  <w:style w:type="paragraph" w:customStyle="1" w:styleId="1439">
    <w:name w:val="附录标识"/>
    <w:basedOn w:val="235"/>
    <w:qFormat/>
    <w:uiPriority w:val="0"/>
    <w:pPr>
      <w:tabs>
        <w:tab w:val="left" w:pos="6405"/>
        <w:tab w:val="clear" w:pos="903"/>
      </w:tabs>
      <w:spacing w:after="200" w:line="360" w:lineRule="auto"/>
      <w:ind w:left="0" w:firstLine="0"/>
    </w:pPr>
    <w:rPr>
      <w:sz w:val="21"/>
      <w:szCs w:val="20"/>
    </w:rPr>
  </w:style>
  <w:style w:type="paragraph" w:customStyle="1" w:styleId="1440">
    <w:name w:val="附录章标题"/>
    <w:next w:val="754"/>
    <w:qFormat/>
    <w:uiPriority w:val="0"/>
    <w:pPr>
      <w:wordWrap w:val="0"/>
      <w:overflowPunct w:val="0"/>
      <w:autoSpaceDE w:val="0"/>
      <w:spacing w:beforeLines="50" w:afterLines="50" w:line="360" w:lineRule="auto"/>
      <w:ind w:firstLine="200" w:firstLineChars="200"/>
      <w:jc w:val="both"/>
      <w:textAlignment w:val="baseline"/>
      <w:outlineLvl w:val="1"/>
    </w:pPr>
    <w:rPr>
      <w:rFonts w:ascii="黑体" w:hAnsi="Times New Roman" w:eastAsia="黑体" w:cs="Times New Roman"/>
      <w:kern w:val="21"/>
      <w:sz w:val="21"/>
      <w:szCs w:val="24"/>
      <w:lang w:val="en-US" w:eastAsia="zh-CN" w:bidi="ar-SA"/>
    </w:rPr>
  </w:style>
  <w:style w:type="paragraph" w:customStyle="1" w:styleId="1441">
    <w:name w:val="附录一级条标题"/>
    <w:basedOn w:val="1440"/>
    <w:next w:val="754"/>
    <w:qFormat/>
    <w:uiPriority w:val="0"/>
    <w:pPr>
      <w:tabs>
        <w:tab w:val="left" w:pos="828"/>
      </w:tabs>
      <w:autoSpaceDN w:val="0"/>
      <w:spacing w:beforeLines="0" w:afterLines="0"/>
      <w:ind w:left="828" w:hanging="240"/>
      <w:outlineLvl w:val="2"/>
    </w:pPr>
  </w:style>
  <w:style w:type="paragraph" w:customStyle="1" w:styleId="1442">
    <w:name w:val="附录二级条标题"/>
    <w:basedOn w:val="1441"/>
    <w:next w:val="754"/>
    <w:qFormat/>
    <w:uiPriority w:val="0"/>
    <w:pPr>
      <w:tabs>
        <w:tab w:val="left" w:pos="360"/>
        <w:tab w:val="clear" w:pos="828"/>
      </w:tabs>
      <w:ind w:left="360" w:hanging="360"/>
      <w:outlineLvl w:val="3"/>
    </w:pPr>
  </w:style>
  <w:style w:type="paragraph" w:customStyle="1" w:styleId="1443">
    <w:name w:val="附录三级条标题"/>
    <w:basedOn w:val="1442"/>
    <w:next w:val="754"/>
    <w:qFormat/>
    <w:uiPriority w:val="0"/>
    <w:pPr>
      <w:tabs>
        <w:tab w:val="left" w:pos="1068"/>
        <w:tab w:val="clear" w:pos="360"/>
      </w:tabs>
      <w:ind w:left="1068"/>
      <w:outlineLvl w:val="4"/>
    </w:pPr>
  </w:style>
  <w:style w:type="paragraph" w:customStyle="1" w:styleId="1444">
    <w:name w:val="附录四级条标题"/>
    <w:basedOn w:val="1443"/>
    <w:next w:val="754"/>
    <w:qFormat/>
    <w:uiPriority w:val="0"/>
    <w:pPr>
      <w:tabs>
        <w:tab w:val="left" w:pos="960"/>
        <w:tab w:val="clear" w:pos="1068"/>
      </w:tabs>
      <w:ind w:left="960"/>
      <w:outlineLvl w:val="5"/>
    </w:pPr>
  </w:style>
  <w:style w:type="paragraph" w:customStyle="1" w:styleId="1445">
    <w:name w:val="附录五级条标题"/>
    <w:basedOn w:val="1444"/>
    <w:next w:val="754"/>
    <w:qFormat/>
    <w:uiPriority w:val="0"/>
    <w:pPr>
      <w:tabs>
        <w:tab w:val="left" w:pos="435"/>
        <w:tab w:val="clear" w:pos="960"/>
      </w:tabs>
      <w:ind w:left="435" w:hanging="165"/>
      <w:outlineLvl w:val="6"/>
    </w:pPr>
  </w:style>
  <w:style w:type="paragraph" w:customStyle="1" w:styleId="1446">
    <w:name w:val="列项·"/>
    <w:qFormat/>
    <w:uiPriority w:val="0"/>
    <w:pPr>
      <w:tabs>
        <w:tab w:val="left" w:pos="840"/>
      </w:tabs>
      <w:spacing w:line="360" w:lineRule="auto"/>
      <w:ind w:left="840" w:leftChars="200" w:hanging="420" w:hangingChars="200"/>
      <w:jc w:val="both"/>
    </w:pPr>
    <w:rPr>
      <w:rFonts w:ascii="宋体" w:hAnsi="Times New Roman" w:eastAsia="宋体" w:cs="Times New Roman"/>
      <w:kern w:val="2"/>
      <w:sz w:val="21"/>
      <w:szCs w:val="24"/>
      <w:lang w:val="en-US" w:eastAsia="zh-CN" w:bidi="ar-SA"/>
    </w:rPr>
  </w:style>
  <w:style w:type="paragraph" w:customStyle="1" w:styleId="1447">
    <w:name w:val="三级无标题条"/>
    <w:basedOn w:val="1"/>
    <w:qFormat/>
    <w:uiPriority w:val="0"/>
    <w:pPr>
      <w:tabs>
        <w:tab w:val="clear" w:pos="480"/>
      </w:tabs>
      <w:spacing w:line="240" w:lineRule="auto"/>
    </w:pPr>
    <w:rPr>
      <w:sz w:val="21"/>
    </w:rPr>
  </w:style>
  <w:style w:type="paragraph" w:customStyle="1" w:styleId="1448">
    <w:name w:val="示例"/>
    <w:next w:val="754"/>
    <w:qFormat/>
    <w:uiPriority w:val="0"/>
    <w:pPr>
      <w:tabs>
        <w:tab w:val="left" w:pos="816"/>
      </w:tabs>
      <w:spacing w:line="360" w:lineRule="auto"/>
      <w:ind w:firstLine="419" w:firstLineChars="233"/>
      <w:jc w:val="both"/>
    </w:pPr>
    <w:rPr>
      <w:rFonts w:ascii="宋体" w:hAnsi="Times New Roman" w:eastAsia="宋体" w:cs="Times New Roman"/>
      <w:kern w:val="2"/>
      <w:sz w:val="18"/>
      <w:szCs w:val="24"/>
      <w:lang w:val="en-US" w:eastAsia="zh-CN" w:bidi="ar-SA"/>
    </w:rPr>
  </w:style>
  <w:style w:type="paragraph" w:customStyle="1" w:styleId="1449">
    <w:name w:val="四级无标题条"/>
    <w:basedOn w:val="1"/>
    <w:qFormat/>
    <w:uiPriority w:val="0"/>
    <w:pPr>
      <w:tabs>
        <w:tab w:val="left" w:pos="1365"/>
        <w:tab w:val="clear" w:pos="480"/>
      </w:tabs>
      <w:spacing w:line="240" w:lineRule="auto"/>
      <w:ind w:left="1365" w:hanging="720"/>
    </w:pPr>
    <w:rPr>
      <w:sz w:val="21"/>
    </w:rPr>
  </w:style>
  <w:style w:type="paragraph" w:customStyle="1" w:styleId="1450">
    <w:name w:val="五级无标题条"/>
    <w:basedOn w:val="1"/>
    <w:qFormat/>
    <w:uiPriority w:val="0"/>
    <w:pPr>
      <w:tabs>
        <w:tab w:val="clear" w:pos="480"/>
      </w:tabs>
      <w:spacing w:line="240" w:lineRule="auto"/>
    </w:pPr>
    <w:rPr>
      <w:sz w:val="21"/>
    </w:rPr>
  </w:style>
  <w:style w:type="paragraph" w:customStyle="1" w:styleId="1451">
    <w:name w:val="一级无标题条"/>
    <w:basedOn w:val="1"/>
    <w:qFormat/>
    <w:uiPriority w:val="0"/>
    <w:pPr>
      <w:tabs>
        <w:tab w:val="clear" w:pos="480"/>
      </w:tabs>
      <w:spacing w:line="240" w:lineRule="auto"/>
    </w:pPr>
    <w:rPr>
      <w:sz w:val="21"/>
    </w:rPr>
  </w:style>
  <w:style w:type="paragraph" w:customStyle="1" w:styleId="1452">
    <w:name w:val="正文表标题"/>
    <w:next w:val="754"/>
    <w:qFormat/>
    <w:uiPriority w:val="0"/>
    <w:pPr>
      <w:spacing w:line="360" w:lineRule="auto"/>
      <w:ind w:firstLine="200" w:firstLineChars="200"/>
      <w:jc w:val="center"/>
    </w:pPr>
    <w:rPr>
      <w:rFonts w:ascii="黑体" w:hAnsi="Times New Roman" w:eastAsia="黑体" w:cs="Times New Roman"/>
      <w:kern w:val="2"/>
      <w:sz w:val="21"/>
      <w:szCs w:val="24"/>
      <w:lang w:val="en-US" w:eastAsia="zh-CN" w:bidi="ar-SA"/>
    </w:rPr>
  </w:style>
  <w:style w:type="paragraph" w:customStyle="1" w:styleId="1453">
    <w:name w:val="正文图标题"/>
    <w:next w:val="754"/>
    <w:qFormat/>
    <w:uiPriority w:val="0"/>
    <w:pPr>
      <w:spacing w:line="360" w:lineRule="auto"/>
      <w:ind w:firstLine="200" w:firstLineChars="200"/>
      <w:jc w:val="center"/>
    </w:pPr>
    <w:rPr>
      <w:rFonts w:ascii="黑体" w:hAnsi="Times New Roman" w:eastAsia="黑体" w:cs="Times New Roman"/>
      <w:kern w:val="2"/>
      <w:sz w:val="21"/>
      <w:szCs w:val="24"/>
      <w:lang w:val="en-US" w:eastAsia="zh-CN" w:bidi="ar-SA"/>
    </w:rPr>
  </w:style>
  <w:style w:type="paragraph" w:customStyle="1" w:styleId="1454">
    <w:name w:val="注×："/>
    <w:qFormat/>
    <w:uiPriority w:val="0"/>
    <w:pPr>
      <w:widowControl w:val="0"/>
      <w:tabs>
        <w:tab w:val="left" w:pos="630"/>
        <w:tab w:val="left" w:pos="680"/>
      </w:tabs>
      <w:autoSpaceDE w:val="0"/>
      <w:autoSpaceDN w:val="0"/>
      <w:spacing w:line="360" w:lineRule="auto"/>
      <w:ind w:left="680" w:hanging="360" w:firstLineChars="200"/>
      <w:jc w:val="both"/>
    </w:pPr>
    <w:rPr>
      <w:rFonts w:ascii="宋体" w:hAnsi="Times New Roman" w:eastAsia="宋体" w:cs="Times New Roman"/>
      <w:kern w:val="2"/>
      <w:sz w:val="18"/>
      <w:szCs w:val="24"/>
      <w:lang w:val="en-US" w:eastAsia="zh-CN" w:bidi="ar-SA"/>
    </w:rPr>
  </w:style>
  <w:style w:type="paragraph" w:customStyle="1" w:styleId="1455">
    <w:name w:val="标准书脚_偶数页"/>
    <w:semiHidden/>
    <w:qFormat/>
    <w:uiPriority w:val="0"/>
    <w:pPr>
      <w:spacing w:before="120" w:line="360" w:lineRule="auto"/>
      <w:ind w:firstLine="200" w:firstLineChars="200"/>
      <w:jc w:val="both"/>
    </w:pPr>
    <w:rPr>
      <w:rFonts w:ascii="Times New Roman" w:hAnsi="Times New Roman" w:eastAsia="宋体" w:cs="Times New Roman"/>
      <w:kern w:val="2"/>
      <w:sz w:val="18"/>
      <w:szCs w:val="24"/>
      <w:lang w:val="en-US" w:eastAsia="zh-CN" w:bidi="ar-SA"/>
    </w:rPr>
  </w:style>
  <w:style w:type="paragraph" w:customStyle="1" w:styleId="1456">
    <w:name w:val="封面正文"/>
    <w:qFormat/>
    <w:uiPriority w:val="0"/>
    <w:pPr>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457">
    <w:name w:val="标准书眉_偶数页"/>
    <w:basedOn w:val="1458"/>
    <w:next w:val="1"/>
    <w:qFormat/>
    <w:uiPriority w:val="0"/>
    <w:pPr>
      <w:tabs>
        <w:tab w:val="center" w:pos="4154"/>
        <w:tab w:val="right" w:pos="8306"/>
      </w:tabs>
      <w:jc w:val="left"/>
    </w:pPr>
  </w:style>
  <w:style w:type="paragraph" w:customStyle="1" w:styleId="1458">
    <w:name w:val="标准书眉_奇数页"/>
    <w:next w:val="1"/>
    <w:semiHidden/>
    <w:qFormat/>
    <w:uiPriority w:val="0"/>
    <w:pPr>
      <w:tabs>
        <w:tab w:val="center" w:pos="4154"/>
        <w:tab w:val="right" w:pos="8306"/>
      </w:tabs>
      <w:spacing w:after="120" w:line="360" w:lineRule="auto"/>
      <w:ind w:firstLine="200" w:firstLineChars="200"/>
      <w:jc w:val="right"/>
    </w:pPr>
    <w:rPr>
      <w:rFonts w:ascii="Times New Roman" w:hAnsi="Times New Roman" w:eastAsia="宋体" w:cs="Times New Roman"/>
      <w:kern w:val="2"/>
      <w:sz w:val="21"/>
      <w:szCs w:val="24"/>
      <w:lang w:val="en-US" w:eastAsia="zh-CN" w:bidi="ar-SA"/>
    </w:rPr>
  </w:style>
  <w:style w:type="paragraph" w:customStyle="1" w:styleId="1459">
    <w:name w:val="样式 仿宋_GB2312 四号 段前: 7.8 磅 段后: 7.8 磅 行距: 1.5 倍行距"/>
    <w:basedOn w:val="1"/>
    <w:qFormat/>
    <w:uiPriority w:val="0"/>
    <w:pPr>
      <w:tabs>
        <w:tab w:val="clear" w:pos="480"/>
      </w:tabs>
      <w:spacing w:before="156" w:after="156"/>
      <w:ind w:firstLine="630" w:firstLineChars="225"/>
    </w:pPr>
    <w:rPr>
      <w:rFonts w:ascii="Arial" w:hAnsi="Arial"/>
      <w:szCs w:val="20"/>
    </w:rPr>
  </w:style>
  <w:style w:type="paragraph" w:customStyle="1" w:styleId="1460">
    <w:name w:val="样式 小四 首行缩进:  2 字符"/>
    <w:basedOn w:val="1"/>
    <w:qFormat/>
    <w:uiPriority w:val="0"/>
    <w:pPr>
      <w:tabs>
        <w:tab w:val="clear" w:pos="480"/>
      </w:tabs>
      <w:spacing w:before="120" w:after="120" w:line="312" w:lineRule="auto"/>
      <w:ind w:firstLine="482"/>
    </w:pPr>
    <w:rPr>
      <w:rFonts w:cs="宋体"/>
      <w:b/>
    </w:rPr>
  </w:style>
  <w:style w:type="paragraph" w:customStyle="1" w:styleId="1461">
    <w:name w:val="样式 首行缩进:  0.85 厘米"/>
    <w:basedOn w:val="1"/>
    <w:qFormat/>
    <w:uiPriority w:val="0"/>
    <w:pPr>
      <w:tabs>
        <w:tab w:val="clear" w:pos="480"/>
      </w:tabs>
      <w:spacing w:before="80" w:after="80" w:line="400" w:lineRule="exact"/>
      <w:ind w:firstLine="480"/>
    </w:pPr>
    <w:rPr>
      <w:color w:val="000000"/>
    </w:rPr>
  </w:style>
  <w:style w:type="character" w:customStyle="1" w:styleId="1462">
    <w:name w:val="黑体 Char"/>
    <w:qFormat/>
    <w:uiPriority w:val="0"/>
    <w:rPr>
      <w:rFonts w:eastAsia="宋体"/>
      <w:b/>
      <w:kern w:val="2"/>
      <w:sz w:val="24"/>
      <w:lang w:val="en-US" w:eastAsia="zh-CN" w:bidi="ar-SA"/>
    </w:rPr>
  </w:style>
  <w:style w:type="paragraph" w:customStyle="1" w:styleId="1463">
    <w:name w:val="题目"/>
    <w:basedOn w:val="1"/>
    <w:qFormat/>
    <w:uiPriority w:val="0"/>
    <w:pPr>
      <w:tabs>
        <w:tab w:val="clear" w:pos="480"/>
      </w:tabs>
      <w:spacing w:before="31" w:line="240" w:lineRule="auto"/>
      <w:jc w:val="center"/>
    </w:pPr>
    <w:rPr>
      <w:b/>
      <w:kern w:val="0"/>
      <w:sz w:val="44"/>
      <w:szCs w:val="20"/>
    </w:rPr>
  </w:style>
  <w:style w:type="paragraph" w:customStyle="1" w:styleId="1464">
    <w:name w:val="样式 四号 首行缩进:  1.01 厘米 行距: 固定值 30 磅"/>
    <w:basedOn w:val="1"/>
    <w:link w:val="1465"/>
    <w:qFormat/>
    <w:uiPriority w:val="0"/>
    <w:pPr>
      <w:tabs>
        <w:tab w:val="clear" w:pos="480"/>
      </w:tabs>
      <w:spacing w:line="600" w:lineRule="exact"/>
      <w:ind w:firstLine="570"/>
    </w:pPr>
    <w:rPr>
      <w:kern w:val="0"/>
      <w:sz w:val="28"/>
      <w:szCs w:val="20"/>
      <w:lang w:val="zh-CN"/>
    </w:rPr>
  </w:style>
  <w:style w:type="character" w:customStyle="1" w:styleId="1465">
    <w:name w:val="样式 四号 首行缩进:  1.01 厘米 行距: 固定值 30 磅 Char"/>
    <w:link w:val="1464"/>
    <w:qFormat/>
    <w:uiPriority w:val="0"/>
    <w:rPr>
      <w:rFonts w:eastAsia="宋体"/>
      <w:sz w:val="28"/>
      <w:lang w:bidi="ar-SA"/>
    </w:rPr>
  </w:style>
  <w:style w:type="paragraph" w:customStyle="1" w:styleId="1466">
    <w:name w:val="样式 标题 3标题 3 Char + 四号 段前: 5 磅 段后: 5 磅 行距: 固定值 30 磅"/>
    <w:basedOn w:val="4"/>
    <w:qFormat/>
    <w:uiPriority w:val="0"/>
    <w:pPr>
      <w:numPr>
        <w:ilvl w:val="0"/>
        <w:numId w:val="0"/>
      </w:numPr>
      <w:tabs>
        <w:tab w:val="clear" w:pos="480"/>
        <w:tab w:val="clear" w:pos="840"/>
      </w:tabs>
      <w:spacing w:after="120" w:line="600" w:lineRule="exact"/>
      <w:ind w:firstLine="200" w:firstLineChars="200"/>
    </w:pPr>
    <w:rPr>
      <w:rFonts w:ascii="Times New Roman" w:eastAsia="黑体" w:cs="宋体"/>
      <w:b w:val="0"/>
      <w:sz w:val="28"/>
      <w:szCs w:val="28"/>
    </w:rPr>
  </w:style>
  <w:style w:type="paragraph" w:customStyle="1" w:styleId="1467">
    <w:name w:val="样式 标题 2SeHead wsa2ChapterChapter TitleH2标题 2 Char Char Cha..."/>
    <w:basedOn w:val="3"/>
    <w:qFormat/>
    <w:uiPriority w:val="0"/>
    <w:pPr>
      <w:numPr>
        <w:ilvl w:val="0"/>
        <w:numId w:val="0"/>
      </w:numPr>
      <w:tabs>
        <w:tab w:val="clear" w:pos="480"/>
        <w:tab w:val="clear" w:pos="630"/>
      </w:tabs>
      <w:spacing w:before="240" w:after="240" w:line="600" w:lineRule="exact"/>
      <w:jc w:val="center"/>
    </w:pPr>
    <w:rPr>
      <w:rFonts w:eastAsia="楷体_GB2312" w:cs="宋体"/>
    </w:rPr>
  </w:style>
  <w:style w:type="character" w:customStyle="1" w:styleId="1468">
    <w:name w:val="Plain Text Char1 Char"/>
    <w:semiHidden/>
    <w:qFormat/>
    <w:uiPriority w:val="0"/>
    <w:rPr>
      <w:rFonts w:eastAsia="楷体_GB2312"/>
      <w:kern w:val="2"/>
      <w:sz w:val="28"/>
      <w:szCs w:val="28"/>
    </w:rPr>
  </w:style>
  <w:style w:type="paragraph" w:customStyle="1" w:styleId="1469">
    <w:name w:val="表蕊"/>
    <w:basedOn w:val="1"/>
    <w:qFormat/>
    <w:uiPriority w:val="0"/>
    <w:pPr>
      <w:tabs>
        <w:tab w:val="left" w:pos="5040"/>
        <w:tab w:val="clear" w:pos="480"/>
      </w:tabs>
      <w:adjustRightInd w:val="0"/>
      <w:spacing w:line="280" w:lineRule="atLeast"/>
      <w:ind w:left="-120" w:leftChars="-57"/>
      <w:jc w:val="left"/>
      <w:textAlignment w:val="baseline"/>
    </w:pPr>
    <w:rPr>
      <w:rFonts w:eastAsia="楷体_GB2312"/>
      <w:spacing w:val="-10"/>
      <w:kern w:val="0"/>
      <w:sz w:val="21"/>
      <w:szCs w:val="21"/>
    </w:rPr>
  </w:style>
  <w:style w:type="character" w:customStyle="1" w:styleId="1470">
    <w:name w:val="word2"/>
    <w:basedOn w:val="133"/>
    <w:semiHidden/>
    <w:qFormat/>
    <w:uiPriority w:val="0"/>
  </w:style>
  <w:style w:type="character" w:customStyle="1" w:styleId="1471">
    <w:name w:val="word"/>
    <w:basedOn w:val="133"/>
    <w:semiHidden/>
    <w:qFormat/>
    <w:uiPriority w:val="0"/>
  </w:style>
  <w:style w:type="paragraph" w:customStyle="1" w:styleId="1472">
    <w:name w:val="样式 标题 1 + 黑体 三号 居中 段前: 0 磅 段后: 0 磅 行距: 固定值 30 磅"/>
    <w:basedOn w:val="2"/>
    <w:qFormat/>
    <w:uiPriority w:val="0"/>
    <w:pPr>
      <w:numPr>
        <w:numId w:val="0"/>
      </w:numPr>
      <w:tabs>
        <w:tab w:val="clear" w:pos="480"/>
      </w:tabs>
      <w:spacing w:beforeLines="50" w:afterLines="50" w:line="600" w:lineRule="exact"/>
      <w:jc w:val="center"/>
    </w:pPr>
    <w:rPr>
      <w:rFonts w:ascii="黑体" w:eastAsia="黑体" w:cs="宋体"/>
      <w:b w:val="0"/>
      <w:sz w:val="32"/>
      <w:szCs w:val="32"/>
    </w:rPr>
  </w:style>
  <w:style w:type="paragraph" w:customStyle="1" w:styleId="1473">
    <w:name w:val="style2"/>
    <w:basedOn w:val="1"/>
    <w:semiHidden/>
    <w:qFormat/>
    <w:uiPriority w:val="0"/>
    <w:pPr>
      <w:widowControl/>
      <w:tabs>
        <w:tab w:val="clear" w:pos="480"/>
      </w:tabs>
      <w:spacing w:before="100" w:beforeAutospacing="1" w:after="100" w:afterAutospacing="1" w:line="300" w:lineRule="atLeast"/>
      <w:jc w:val="left"/>
    </w:pPr>
    <w:rPr>
      <w:rFonts w:ascii="宋体" w:hAnsi="宋体" w:cs="宋体"/>
      <w:kern w:val="0"/>
      <w:sz w:val="18"/>
      <w:szCs w:val="18"/>
    </w:rPr>
  </w:style>
  <w:style w:type="character" w:customStyle="1" w:styleId="1474">
    <w:name w:val="style21"/>
    <w:semiHidden/>
    <w:qFormat/>
    <w:uiPriority w:val="0"/>
    <w:rPr>
      <w:sz w:val="18"/>
      <w:szCs w:val="18"/>
    </w:rPr>
  </w:style>
  <w:style w:type="character" w:customStyle="1" w:styleId="1475">
    <w:name w:val="trans"/>
    <w:basedOn w:val="133"/>
    <w:semiHidden/>
    <w:qFormat/>
    <w:uiPriority w:val="0"/>
  </w:style>
  <w:style w:type="character" w:customStyle="1" w:styleId="1476">
    <w:name w:val="样式10 Char"/>
    <w:link w:val="630"/>
    <w:qFormat/>
    <w:uiPriority w:val="0"/>
    <w:rPr>
      <w:rFonts w:ascii="宋体" w:hAnsi="宋体" w:eastAsia="宋体"/>
      <w:b/>
      <w:bCs/>
      <w:sz w:val="24"/>
      <w:lang w:val="en-US" w:eastAsia="zh-CN" w:bidi="ar-SA"/>
    </w:rPr>
  </w:style>
  <w:style w:type="paragraph" w:customStyle="1" w:styleId="1477">
    <w:name w:val="样式 四号 首行缩进:  2 字符"/>
    <w:basedOn w:val="1"/>
    <w:link w:val="1478"/>
    <w:qFormat/>
    <w:uiPriority w:val="0"/>
    <w:pPr>
      <w:tabs>
        <w:tab w:val="clear" w:pos="480"/>
      </w:tabs>
    </w:pPr>
    <w:rPr>
      <w:kern w:val="0"/>
      <w:sz w:val="28"/>
      <w:szCs w:val="20"/>
      <w:lang w:val="zh-CN"/>
    </w:rPr>
  </w:style>
  <w:style w:type="character" w:customStyle="1" w:styleId="1478">
    <w:name w:val="样式 四号 首行缩进:  2 字符 Char"/>
    <w:link w:val="1477"/>
    <w:qFormat/>
    <w:uiPriority w:val="0"/>
    <w:rPr>
      <w:rFonts w:eastAsia="宋体"/>
      <w:sz w:val="28"/>
      <w:lang w:bidi="ar-SA"/>
    </w:rPr>
  </w:style>
  <w:style w:type="paragraph" w:customStyle="1" w:styleId="1479">
    <w:name w:val="样式 三级标题 + (西文) Times New Roman (中文) 宋体 首行缩进:  2 字符 段前: 0 磅 段..."/>
    <w:basedOn w:val="4"/>
    <w:qFormat/>
    <w:uiPriority w:val="0"/>
    <w:pPr>
      <w:numPr>
        <w:ilvl w:val="0"/>
        <w:numId w:val="0"/>
      </w:numPr>
      <w:tabs>
        <w:tab w:val="clear" w:pos="480"/>
        <w:tab w:val="clear" w:pos="840"/>
      </w:tabs>
      <w:spacing w:after="120" w:line="600" w:lineRule="exact"/>
    </w:pPr>
    <w:rPr>
      <w:rFonts w:ascii="宋体" w:eastAsia="宋体" w:cs="宋体"/>
      <w:sz w:val="28"/>
      <w:szCs w:val="20"/>
    </w:rPr>
  </w:style>
  <w:style w:type="paragraph" w:customStyle="1" w:styleId="1480">
    <w:name w:val="样式 样式 四号 + 首行缩进:  2 字符"/>
    <w:basedOn w:val="1"/>
    <w:link w:val="1481"/>
    <w:qFormat/>
    <w:uiPriority w:val="0"/>
    <w:pPr>
      <w:tabs>
        <w:tab w:val="clear" w:pos="480"/>
      </w:tabs>
      <w:ind w:firstLine="560"/>
    </w:pPr>
    <w:rPr>
      <w:kern w:val="0"/>
      <w:sz w:val="28"/>
      <w:szCs w:val="20"/>
      <w:lang w:val="zh-CN"/>
    </w:rPr>
  </w:style>
  <w:style w:type="character" w:customStyle="1" w:styleId="1481">
    <w:name w:val="样式 样式 四号 + 首行缩进:  2 字符 Char"/>
    <w:link w:val="1480"/>
    <w:qFormat/>
    <w:uiPriority w:val="0"/>
    <w:rPr>
      <w:rFonts w:eastAsia="宋体"/>
      <w:sz w:val="28"/>
      <w:lang w:bidi="ar-SA"/>
    </w:rPr>
  </w:style>
  <w:style w:type="paragraph" w:customStyle="1" w:styleId="1482">
    <w:name w:val="陈表格中内容"/>
    <w:basedOn w:val="1"/>
    <w:next w:val="1"/>
    <w:link w:val="1483"/>
    <w:qFormat/>
    <w:uiPriority w:val="0"/>
    <w:pPr>
      <w:tabs>
        <w:tab w:val="clear" w:pos="480"/>
      </w:tabs>
      <w:spacing w:line="288" w:lineRule="auto"/>
      <w:jc w:val="center"/>
    </w:pPr>
    <w:rPr>
      <w:rFonts w:hAnsi="宋体"/>
      <w:color w:val="000000"/>
      <w:kern w:val="0"/>
      <w:sz w:val="20"/>
      <w:szCs w:val="21"/>
      <w:lang w:val="zh-CN"/>
    </w:rPr>
  </w:style>
  <w:style w:type="character" w:customStyle="1" w:styleId="1483">
    <w:name w:val="陈表格中内容 Char Char"/>
    <w:link w:val="1482"/>
    <w:qFormat/>
    <w:uiPriority w:val="0"/>
    <w:rPr>
      <w:rFonts w:hAnsi="宋体" w:eastAsia="宋体"/>
      <w:color w:val="000000"/>
      <w:szCs w:val="21"/>
      <w:lang w:bidi="ar-SA"/>
    </w:rPr>
  </w:style>
  <w:style w:type="paragraph" w:customStyle="1" w:styleId="1484">
    <w:name w:val="a小四宋体缩2段间无 Char"/>
    <w:basedOn w:val="1"/>
    <w:semiHidden/>
    <w:qFormat/>
    <w:uiPriority w:val="0"/>
    <w:pPr>
      <w:tabs>
        <w:tab w:val="clear" w:pos="480"/>
      </w:tabs>
      <w:spacing w:afterLines="50"/>
    </w:pPr>
    <w:rPr>
      <w:rFonts w:ascii="宋体" w:hAnsi="宋体"/>
    </w:rPr>
  </w:style>
  <w:style w:type="paragraph" w:customStyle="1" w:styleId="1485">
    <w:name w:val="a小四宋体缩2段间0.5"/>
    <w:basedOn w:val="1"/>
    <w:semiHidden/>
    <w:qFormat/>
    <w:uiPriority w:val="0"/>
    <w:pPr>
      <w:tabs>
        <w:tab w:val="clear" w:pos="480"/>
      </w:tabs>
      <w:spacing w:afterLines="50"/>
    </w:pPr>
    <w:rPr>
      <w:rFonts w:ascii="宋体" w:hAnsi="宋体"/>
    </w:rPr>
  </w:style>
  <w:style w:type="paragraph" w:customStyle="1" w:styleId="1486">
    <w:name w:val="Normal Char Char Char Char"/>
    <w:semiHidden/>
    <w:qFormat/>
    <w:uiPriority w:val="0"/>
    <w:pPr>
      <w:widowControl w:val="0"/>
      <w:adjustRightInd w:val="0"/>
      <w:spacing w:line="360" w:lineRule="atLeast"/>
      <w:ind w:firstLine="200" w:firstLineChars="200"/>
      <w:jc w:val="both"/>
      <w:textAlignment w:val="baseline"/>
    </w:pPr>
    <w:rPr>
      <w:rFonts w:ascii="宋体" w:hAnsi="Times New Roman" w:eastAsia="宋体" w:cs="Times New Roman"/>
      <w:kern w:val="2"/>
      <w:sz w:val="34"/>
      <w:szCs w:val="24"/>
      <w:lang w:val="en-US" w:eastAsia="zh-CN" w:bidi="ar-SA"/>
    </w:rPr>
  </w:style>
  <w:style w:type="character" w:customStyle="1" w:styleId="1487">
    <w:name w:val="Normal Char Char Char Char Char"/>
    <w:semiHidden/>
    <w:qFormat/>
    <w:uiPriority w:val="0"/>
    <w:rPr>
      <w:rFonts w:ascii="宋体" w:eastAsia="宋体"/>
      <w:kern w:val="2"/>
      <w:sz w:val="34"/>
      <w:szCs w:val="24"/>
      <w:lang w:val="en-US" w:eastAsia="zh-CN" w:bidi="ar-SA"/>
    </w:rPr>
  </w:style>
  <w:style w:type="paragraph" w:customStyle="1" w:styleId="1488">
    <w:name w:val="Normal Char"/>
    <w:semiHidden/>
    <w:qFormat/>
    <w:uiPriority w:val="0"/>
    <w:pPr>
      <w:widowControl w:val="0"/>
      <w:adjustRightInd w:val="0"/>
      <w:spacing w:line="360" w:lineRule="atLeast"/>
      <w:ind w:firstLine="200" w:firstLineChars="200"/>
      <w:jc w:val="both"/>
      <w:textAlignment w:val="baseline"/>
    </w:pPr>
    <w:rPr>
      <w:rFonts w:ascii="宋体" w:hAnsi="Times New Roman" w:eastAsia="宋体" w:cs="Times New Roman"/>
      <w:kern w:val="2"/>
      <w:sz w:val="34"/>
      <w:szCs w:val="24"/>
      <w:lang w:val="en-US" w:eastAsia="zh-CN" w:bidi="ar-SA"/>
    </w:rPr>
  </w:style>
  <w:style w:type="character" w:customStyle="1" w:styleId="1489">
    <w:name w:val="Normal Char Char"/>
    <w:semiHidden/>
    <w:qFormat/>
    <w:uiPriority w:val="0"/>
    <w:rPr>
      <w:rFonts w:ascii="宋体" w:eastAsia="宋体"/>
      <w:kern w:val="2"/>
      <w:sz w:val="34"/>
      <w:szCs w:val="24"/>
      <w:lang w:val="en-US" w:eastAsia="zh-CN" w:bidi="ar-SA"/>
    </w:rPr>
  </w:style>
  <w:style w:type="paragraph" w:customStyle="1" w:styleId="1490">
    <w:name w:val="样式 (符号) 宋体 加粗 蓝色 居中"/>
    <w:basedOn w:val="165"/>
    <w:qFormat/>
    <w:uiPriority w:val="0"/>
    <w:pPr>
      <w:adjustRightInd/>
      <w:spacing w:line="300" w:lineRule="exact"/>
      <w:jc w:val="center"/>
      <w:textAlignment w:val="auto"/>
    </w:pPr>
    <w:rPr>
      <w:rFonts w:hAnsi="宋体" w:eastAsia="宋体" w:cs="宋体"/>
      <w:b/>
      <w:bCs/>
      <w:color w:val="0000FF"/>
      <w:kern w:val="0"/>
      <w:sz w:val="21"/>
    </w:rPr>
  </w:style>
  <w:style w:type="character" w:customStyle="1" w:styleId="1491">
    <w:name w:val="表题 Char Char Char"/>
    <w:qFormat/>
    <w:uiPriority w:val="0"/>
    <w:rPr>
      <w:rFonts w:eastAsia="楷体_GB2312"/>
      <w:b/>
      <w:kern w:val="2"/>
      <w:sz w:val="24"/>
      <w:szCs w:val="24"/>
      <w:lang w:val="en-US" w:eastAsia="zh-CN" w:bidi="ar-SA"/>
    </w:rPr>
  </w:style>
  <w:style w:type="paragraph" w:customStyle="1" w:styleId="1492">
    <w:name w:val="正文(黑体)"/>
    <w:basedOn w:val="1"/>
    <w:qFormat/>
    <w:uiPriority w:val="0"/>
    <w:pPr>
      <w:tabs>
        <w:tab w:val="clear" w:pos="480"/>
      </w:tabs>
      <w:autoSpaceDE w:val="0"/>
      <w:autoSpaceDN w:val="0"/>
      <w:adjustRightInd w:val="0"/>
      <w:spacing w:line="288" w:lineRule="auto"/>
      <w:ind w:firstLine="482"/>
      <w:textAlignment w:val="baseline"/>
    </w:pPr>
    <w:rPr>
      <w:rFonts w:ascii="黑体"/>
      <w:kern w:val="0"/>
      <w:szCs w:val="20"/>
    </w:rPr>
  </w:style>
  <w:style w:type="paragraph" w:customStyle="1" w:styleId="1493">
    <w:name w:val="样式 四号 行距: 1.5 倍行距1"/>
    <w:basedOn w:val="1"/>
    <w:qFormat/>
    <w:uiPriority w:val="0"/>
    <w:pPr>
      <w:tabs>
        <w:tab w:val="clear" w:pos="480"/>
      </w:tabs>
      <w:ind w:firstLine="560"/>
    </w:pPr>
    <w:rPr>
      <w:rFonts w:cs="宋体"/>
      <w:szCs w:val="20"/>
    </w:rPr>
  </w:style>
  <w:style w:type="character" w:customStyle="1" w:styleId="1494">
    <w:name w:val="无节款 Char"/>
    <w:qFormat/>
    <w:uiPriority w:val="0"/>
    <w:rPr>
      <w:rFonts w:ascii="Arial" w:hAnsi="Arial" w:eastAsia="黑体" w:cs="Times New Roman"/>
      <w:spacing w:val="10"/>
      <w:kern w:val="0"/>
      <w:sz w:val="24"/>
      <w:szCs w:val="20"/>
    </w:rPr>
  </w:style>
  <w:style w:type="character" w:customStyle="1" w:styleId="1495">
    <w:name w:val="Char Char16"/>
    <w:semiHidden/>
    <w:qFormat/>
    <w:uiPriority w:val="0"/>
    <w:rPr>
      <w:rFonts w:eastAsia="宋体"/>
      <w:kern w:val="2"/>
      <w:sz w:val="24"/>
      <w:szCs w:val="24"/>
      <w:lang w:val="en-US" w:eastAsia="zh-CN" w:bidi="ar-SA"/>
    </w:rPr>
  </w:style>
  <w:style w:type="character" w:customStyle="1" w:styleId="1496">
    <w:name w:val="bt Char2"/>
    <w:semiHidden/>
    <w:qFormat/>
    <w:uiPriority w:val="0"/>
    <w:rPr>
      <w:rFonts w:eastAsia="宋体"/>
      <w:color w:val="000000"/>
      <w:kern w:val="2"/>
      <w:sz w:val="24"/>
      <w:szCs w:val="24"/>
      <w:lang w:val="en-US" w:eastAsia="zh-CN" w:bidi="ar-SA"/>
    </w:rPr>
  </w:style>
  <w:style w:type="character" w:customStyle="1" w:styleId="1497">
    <w:name w:val="正文文字 3 Char Char"/>
    <w:qFormat/>
    <w:uiPriority w:val="0"/>
    <w:rPr>
      <w:rFonts w:ascii="宋体" w:hAnsi="宋体" w:eastAsia="宋体"/>
      <w:kern w:val="2"/>
      <w:sz w:val="21"/>
      <w:szCs w:val="24"/>
      <w:lang w:val="en-US" w:eastAsia="zh-CN" w:bidi="ar-SA"/>
    </w:rPr>
  </w:style>
  <w:style w:type="character" w:customStyle="1" w:styleId="1498">
    <w:name w:val="btd"/>
    <w:basedOn w:val="133"/>
    <w:semiHidden/>
    <w:qFormat/>
    <w:uiPriority w:val="0"/>
  </w:style>
  <w:style w:type="character" w:customStyle="1" w:styleId="1499">
    <w:name w:val="Char8"/>
    <w:semiHidden/>
    <w:qFormat/>
    <w:uiPriority w:val="0"/>
    <w:rPr>
      <w:rFonts w:ascii="黑体" w:hAnsi="宋体" w:eastAsia="黑体"/>
      <w:kern w:val="2"/>
      <w:sz w:val="30"/>
      <w:lang w:val="en-US" w:eastAsia="zh-CN"/>
    </w:rPr>
  </w:style>
  <w:style w:type="paragraph" w:customStyle="1" w:styleId="1500">
    <w:name w:val="Char1 Char Char Char Char Char Char Char Char Char"/>
    <w:basedOn w:val="1"/>
    <w:semiHidden/>
    <w:qFormat/>
    <w:uiPriority w:val="0"/>
    <w:pPr>
      <w:widowControl/>
      <w:tabs>
        <w:tab w:val="clear" w:pos="480"/>
      </w:tabs>
      <w:spacing w:after="160" w:line="240" w:lineRule="exact"/>
      <w:jc w:val="left"/>
    </w:pPr>
    <w:rPr>
      <w:szCs w:val="20"/>
    </w:rPr>
  </w:style>
  <w:style w:type="paragraph" w:customStyle="1" w:styleId="1501">
    <w:name w:val="批注框文本 Char Char"/>
    <w:basedOn w:val="1"/>
    <w:qFormat/>
    <w:uiPriority w:val="0"/>
    <w:pPr>
      <w:tabs>
        <w:tab w:val="clear" w:pos="480"/>
      </w:tabs>
      <w:spacing w:before="100" w:after="100" w:line="400" w:lineRule="exact"/>
    </w:pPr>
    <w:rPr>
      <w:sz w:val="18"/>
      <w:szCs w:val="20"/>
    </w:rPr>
  </w:style>
  <w:style w:type="character" w:customStyle="1" w:styleId="1502">
    <w:name w:val="海南化工城正文 Char Char Char"/>
    <w:link w:val="755"/>
    <w:qFormat/>
    <w:uiPriority w:val="0"/>
    <w:rPr>
      <w:rFonts w:ascii="宋体" w:hAnsi="宋体" w:eastAsia="宋体" w:cs="宋体"/>
      <w:kern w:val="2"/>
      <w:sz w:val="24"/>
      <w:szCs w:val="24"/>
      <w:lang w:val="en-US" w:eastAsia="zh-CN" w:bidi="ar-SA"/>
    </w:rPr>
  </w:style>
  <w:style w:type="character" w:customStyle="1" w:styleId="1503">
    <w:name w:val="listcontents1"/>
    <w:semiHidden/>
    <w:qFormat/>
    <w:uiPriority w:val="0"/>
    <w:rPr>
      <w:color w:val="000000"/>
      <w:sz w:val="14"/>
    </w:rPr>
  </w:style>
  <w:style w:type="character" w:customStyle="1" w:styleId="1504">
    <w:name w:val="未命名1"/>
    <w:basedOn w:val="133"/>
    <w:qFormat/>
    <w:uiPriority w:val="0"/>
  </w:style>
  <w:style w:type="character" w:customStyle="1" w:styleId="1505">
    <w:name w:val="style91"/>
    <w:semiHidden/>
    <w:qFormat/>
    <w:uiPriority w:val="0"/>
    <w:rPr>
      <w:b/>
      <w:color w:val="333333"/>
      <w:sz w:val="19"/>
    </w:rPr>
  </w:style>
  <w:style w:type="character" w:customStyle="1" w:styleId="1506">
    <w:name w:val="tpc_content"/>
    <w:basedOn w:val="133"/>
    <w:semiHidden/>
    <w:qFormat/>
    <w:uiPriority w:val="0"/>
  </w:style>
  <w:style w:type="paragraph" w:customStyle="1" w:styleId="1507">
    <w:name w:val="样式 段前: 0.15 行 段后: 0.15 行 首行缩进:  2 字符"/>
    <w:basedOn w:val="1"/>
    <w:qFormat/>
    <w:uiPriority w:val="0"/>
    <w:pPr>
      <w:tabs>
        <w:tab w:val="clear" w:pos="480"/>
      </w:tabs>
    </w:pPr>
    <w:rPr>
      <w:rFonts w:ascii="宋体"/>
      <w:szCs w:val="20"/>
    </w:rPr>
  </w:style>
  <w:style w:type="paragraph" w:customStyle="1" w:styleId="1508">
    <w:name w:val="样式 表格 + 宋体 居中"/>
    <w:basedOn w:val="165"/>
    <w:qFormat/>
    <w:uiPriority w:val="0"/>
    <w:pPr>
      <w:adjustRightInd/>
      <w:spacing w:line="240" w:lineRule="auto"/>
      <w:jc w:val="center"/>
    </w:pPr>
    <w:rPr>
      <w:rFonts w:eastAsia="宋体"/>
    </w:rPr>
  </w:style>
  <w:style w:type="paragraph" w:customStyle="1" w:styleId="1509">
    <w:name w:val="样式 黑色 首行缩进:  0.85 厘米 段前: 0.15 行 段后: 0.15 行"/>
    <w:basedOn w:val="1"/>
    <w:qFormat/>
    <w:uiPriority w:val="0"/>
    <w:pPr>
      <w:tabs>
        <w:tab w:val="clear" w:pos="480"/>
      </w:tabs>
      <w:ind w:firstLine="482"/>
    </w:pPr>
    <w:rPr>
      <w:rFonts w:ascii="宋体"/>
      <w:color w:val="000000"/>
      <w:szCs w:val="20"/>
    </w:rPr>
  </w:style>
  <w:style w:type="paragraph" w:customStyle="1" w:styleId="1510">
    <w:name w:val="Plain Te"/>
    <w:basedOn w:val="1"/>
    <w:semiHidden/>
    <w:qFormat/>
    <w:uiPriority w:val="0"/>
    <w:pPr>
      <w:widowControl/>
      <w:tabs>
        <w:tab w:val="clear" w:pos="480"/>
      </w:tabs>
      <w:spacing w:line="240" w:lineRule="auto"/>
      <w:jc w:val="left"/>
    </w:pPr>
    <w:rPr>
      <w:rFonts w:ascii="宋体" w:hAnsi="Courier New"/>
      <w:kern w:val="0"/>
      <w:sz w:val="21"/>
      <w:szCs w:val="20"/>
    </w:rPr>
  </w:style>
  <w:style w:type="paragraph" w:customStyle="1" w:styleId="1511">
    <w:name w:val="文档二级标题"/>
    <w:basedOn w:val="1"/>
    <w:qFormat/>
    <w:uiPriority w:val="0"/>
    <w:pPr>
      <w:tabs>
        <w:tab w:val="clear" w:pos="480"/>
      </w:tabs>
      <w:spacing w:line="240" w:lineRule="auto"/>
    </w:pPr>
    <w:rPr>
      <w:rFonts w:ascii="楷体_GB2312" w:hAnsi="华文仿宋" w:eastAsia="楷体_GB2312"/>
      <w:sz w:val="28"/>
      <w:szCs w:val="20"/>
    </w:rPr>
  </w:style>
  <w:style w:type="paragraph" w:customStyle="1" w:styleId="1512">
    <w:name w:val="標準（日本語）"/>
    <w:basedOn w:val="1"/>
    <w:semiHidden/>
    <w:qFormat/>
    <w:uiPriority w:val="0"/>
    <w:pPr>
      <w:tabs>
        <w:tab w:val="clear" w:pos="480"/>
      </w:tabs>
      <w:overflowPunct w:val="0"/>
      <w:adjustRightInd w:val="0"/>
      <w:spacing w:afterLines="50" w:line="240" w:lineRule="auto"/>
    </w:pPr>
    <w:rPr>
      <w:rFonts w:eastAsia="MS Mincho"/>
      <w:snapToGrid w:val="0"/>
      <w:kern w:val="0"/>
      <w:szCs w:val="20"/>
      <w:lang w:eastAsia="ja-JP"/>
    </w:rPr>
  </w:style>
  <w:style w:type="paragraph" w:customStyle="1" w:styleId="1513">
    <w:name w:val="Definition Term"/>
    <w:basedOn w:val="1"/>
    <w:next w:val="1"/>
    <w:semiHidden/>
    <w:qFormat/>
    <w:uiPriority w:val="0"/>
    <w:pPr>
      <w:widowControl/>
      <w:tabs>
        <w:tab w:val="clear" w:pos="480"/>
      </w:tabs>
      <w:overflowPunct w:val="0"/>
      <w:autoSpaceDE w:val="0"/>
      <w:autoSpaceDN w:val="0"/>
      <w:adjustRightInd w:val="0"/>
      <w:spacing w:line="240" w:lineRule="auto"/>
      <w:jc w:val="left"/>
      <w:textAlignment w:val="baseline"/>
    </w:pPr>
    <w:rPr>
      <w:kern w:val="0"/>
      <w:szCs w:val="20"/>
      <w:lang w:val="en-GB"/>
    </w:rPr>
  </w:style>
  <w:style w:type="paragraph" w:customStyle="1" w:styleId="1514">
    <w:name w:val="正文文本 31"/>
    <w:basedOn w:val="1"/>
    <w:semiHidden/>
    <w:qFormat/>
    <w:uiPriority w:val="0"/>
    <w:pPr>
      <w:tabs>
        <w:tab w:val="clear" w:pos="480"/>
      </w:tabs>
      <w:autoSpaceDE w:val="0"/>
      <w:autoSpaceDN w:val="0"/>
      <w:adjustRightInd w:val="0"/>
      <w:spacing w:line="312" w:lineRule="atLeast"/>
      <w:jc w:val="center"/>
      <w:textAlignment w:val="baseline"/>
    </w:pPr>
    <w:rPr>
      <w:rFonts w:ascii="楷体" w:eastAsia="楷体"/>
      <w:kern w:val="0"/>
      <w:sz w:val="28"/>
      <w:szCs w:val="20"/>
    </w:rPr>
  </w:style>
  <w:style w:type="paragraph" w:customStyle="1" w:styleId="1515">
    <w:name w:val="敏感表"/>
    <w:basedOn w:val="1"/>
    <w:next w:val="1"/>
    <w:qFormat/>
    <w:uiPriority w:val="0"/>
    <w:pPr>
      <w:tabs>
        <w:tab w:val="clear" w:pos="480"/>
      </w:tabs>
      <w:topLinePunct/>
      <w:adjustRightInd w:val="0"/>
      <w:spacing w:line="240" w:lineRule="atLeast"/>
      <w:jc w:val="center"/>
      <w:textAlignment w:val="bottom"/>
    </w:pPr>
    <w:rPr>
      <w:kern w:val="0"/>
      <w:sz w:val="21"/>
      <w:szCs w:val="20"/>
    </w:rPr>
  </w:style>
  <w:style w:type="paragraph" w:customStyle="1" w:styleId="1516">
    <w:name w:val="样式 宋体 小四 两端对齐 首行缩进:  0.85 厘米 行距: 1.5 倍行距"/>
    <w:basedOn w:val="1"/>
    <w:qFormat/>
    <w:uiPriority w:val="0"/>
    <w:pPr>
      <w:widowControl/>
      <w:tabs>
        <w:tab w:val="clear" w:pos="480"/>
      </w:tabs>
      <w:ind w:firstLine="482"/>
    </w:pPr>
    <w:rPr>
      <w:kern w:val="0"/>
      <w:szCs w:val="20"/>
    </w:rPr>
  </w:style>
  <w:style w:type="paragraph" w:customStyle="1" w:styleId="1517">
    <w:name w:val="p0"/>
    <w:basedOn w:val="1"/>
    <w:semiHidden/>
    <w:qFormat/>
    <w:uiPriority w:val="0"/>
    <w:pPr>
      <w:widowControl/>
      <w:tabs>
        <w:tab w:val="clear" w:pos="480"/>
      </w:tabs>
      <w:spacing w:line="365" w:lineRule="atLeast"/>
      <w:ind w:left="1"/>
      <w:textAlignment w:val="bottom"/>
    </w:pPr>
    <w:rPr>
      <w:kern w:val="0"/>
      <w:sz w:val="20"/>
      <w:szCs w:val="20"/>
    </w:rPr>
  </w:style>
  <w:style w:type="paragraph" w:customStyle="1" w:styleId="1518">
    <w:name w:val="ljx正文1"/>
    <w:basedOn w:val="34"/>
    <w:semiHidden/>
    <w:qFormat/>
    <w:uiPriority w:val="0"/>
    <w:pPr>
      <w:tabs>
        <w:tab w:val="clear" w:pos="480"/>
      </w:tabs>
      <w:spacing w:line="240" w:lineRule="auto"/>
      <w:ind w:firstLine="0" w:firstLineChars="0"/>
    </w:pPr>
    <w:rPr>
      <w:kern w:val="0"/>
      <w:sz w:val="28"/>
      <w:szCs w:val="20"/>
    </w:rPr>
  </w:style>
  <w:style w:type="character" w:customStyle="1" w:styleId="1519">
    <w:name w:val="g 字元 字元"/>
    <w:semiHidden/>
    <w:qFormat/>
    <w:uiPriority w:val="0"/>
    <w:rPr>
      <w:rFonts w:ascii="宋体" w:hAnsi="宋体" w:eastAsia="宋体"/>
      <w:kern w:val="2"/>
      <w:sz w:val="18"/>
      <w:lang w:val="en-US" w:eastAsia="zh-CN"/>
    </w:rPr>
  </w:style>
  <w:style w:type="character" w:customStyle="1" w:styleId="1520">
    <w:name w:val="标题 2 Char Char Char Char Char Char Char1"/>
    <w:semiHidden/>
    <w:qFormat/>
    <w:uiPriority w:val="0"/>
    <w:rPr>
      <w:rFonts w:ascii="宋体" w:hAnsi="Arial" w:eastAsia="宋体"/>
      <w:b/>
      <w:kern w:val="2"/>
      <w:sz w:val="28"/>
      <w:lang w:val="en-US" w:eastAsia="zh-CN"/>
    </w:rPr>
  </w:style>
  <w:style w:type="character" w:customStyle="1" w:styleId="1521">
    <w:name w:val="表题 Char Char Char Char"/>
    <w:qFormat/>
    <w:uiPriority w:val="0"/>
    <w:rPr>
      <w:b/>
      <w:kern w:val="2"/>
      <w:sz w:val="24"/>
      <w:lang w:bidi="ar-SA"/>
    </w:rPr>
  </w:style>
  <w:style w:type="character" w:customStyle="1" w:styleId="1522">
    <w:name w:val="z21"/>
    <w:semiHidden/>
    <w:qFormat/>
    <w:uiPriority w:val="0"/>
    <w:rPr>
      <w:rFonts w:ascii="Arial" w:hAnsi="Arial" w:eastAsia="黑体"/>
      <w:color w:val="000000"/>
      <w:kern w:val="2"/>
      <w:sz w:val="15"/>
      <w:lang w:val="en-US" w:eastAsia="zh-CN"/>
    </w:rPr>
  </w:style>
  <w:style w:type="character" w:customStyle="1" w:styleId="1523">
    <w:name w:val="p21"/>
    <w:semiHidden/>
    <w:qFormat/>
    <w:uiPriority w:val="0"/>
    <w:rPr>
      <w:rFonts w:ascii="Arial" w:hAnsi="Arial" w:eastAsia="黑体"/>
      <w:b/>
      <w:kern w:val="2"/>
      <w:sz w:val="32"/>
      <w:lang w:val="en-US" w:eastAsia="zh-CN"/>
    </w:rPr>
  </w:style>
  <w:style w:type="character" w:customStyle="1" w:styleId="1524">
    <w:name w:val="style6"/>
    <w:semiHidden/>
    <w:qFormat/>
    <w:uiPriority w:val="0"/>
    <w:rPr>
      <w:rFonts w:ascii="Arial" w:hAnsi="Arial" w:eastAsia="黑体"/>
      <w:b/>
      <w:kern w:val="2"/>
      <w:sz w:val="32"/>
      <w:lang w:val="en-US" w:eastAsia="zh-CN"/>
    </w:rPr>
  </w:style>
  <w:style w:type="character" w:customStyle="1" w:styleId="1525">
    <w:name w:val="样式 标题 2标题 2 Char Char Char Char Char标题 2 Char Char Char Char C... Char"/>
    <w:link w:val="1526"/>
    <w:qFormat/>
    <w:uiPriority w:val="0"/>
    <w:rPr>
      <w:rFonts w:ascii="Arial" w:hAnsi="Arial" w:eastAsia="黑体"/>
      <w:b/>
      <w:bCs/>
      <w:color w:val="000000"/>
      <w:sz w:val="32"/>
      <w:szCs w:val="32"/>
      <w:lang w:bidi="ar-SA"/>
    </w:rPr>
  </w:style>
  <w:style w:type="paragraph" w:customStyle="1" w:styleId="1526">
    <w:name w:val="样式 标题 2标题 2 Char Char Char Char Char标题 2 Char Char Char Char C..."/>
    <w:basedOn w:val="3"/>
    <w:link w:val="1525"/>
    <w:qFormat/>
    <w:uiPriority w:val="0"/>
    <w:pPr>
      <w:numPr>
        <w:ilvl w:val="0"/>
        <w:numId w:val="0"/>
      </w:numPr>
      <w:tabs>
        <w:tab w:val="clear" w:pos="480"/>
        <w:tab w:val="clear" w:pos="630"/>
      </w:tabs>
      <w:spacing w:after="260" w:line="413" w:lineRule="auto"/>
    </w:pPr>
    <w:rPr>
      <w:rFonts w:ascii="Arial" w:hAnsi="Arial" w:eastAsia="黑体"/>
      <w:color w:val="000000"/>
      <w:kern w:val="0"/>
    </w:rPr>
  </w:style>
  <w:style w:type="character" w:customStyle="1" w:styleId="1527">
    <w:name w:val="weby2"/>
    <w:semiHidden/>
    <w:qFormat/>
    <w:uiPriority w:val="0"/>
    <w:rPr>
      <w:rFonts w:ascii="Arial" w:hAnsi="Arial" w:eastAsia="黑体"/>
      <w:b/>
      <w:kern w:val="2"/>
      <w:sz w:val="18"/>
      <w:lang w:val="en-US" w:eastAsia="zh-CN"/>
    </w:rPr>
  </w:style>
  <w:style w:type="paragraph" w:customStyle="1" w:styleId="1528">
    <w:name w:val="样式 标题 1标题 1 Char章标题 1标题2Head 1wsah1章节标题-*+b11.标题 1一、标..."/>
    <w:basedOn w:val="2"/>
    <w:qFormat/>
    <w:uiPriority w:val="0"/>
    <w:pPr>
      <w:numPr>
        <w:numId w:val="0"/>
      </w:numPr>
      <w:tabs>
        <w:tab w:val="clear" w:pos="480"/>
      </w:tabs>
      <w:adjustRightInd w:val="0"/>
      <w:spacing w:beforeLines="100" w:afterLines="100"/>
      <w:jc w:val="center"/>
      <w:textAlignment w:val="baseline"/>
    </w:pPr>
    <w:rPr>
      <w:rFonts w:ascii="宋体" w:hAnsi="宋体" w:eastAsia="宋体"/>
      <w:bCs w:val="0"/>
      <w:kern w:val="0"/>
      <w:szCs w:val="20"/>
    </w:rPr>
  </w:style>
  <w:style w:type="paragraph" w:customStyle="1" w:styleId="1529">
    <w:name w:val="Char1 Char Char Char Char Char Char"/>
    <w:basedOn w:val="1"/>
    <w:semiHidden/>
    <w:qFormat/>
    <w:uiPriority w:val="0"/>
    <w:pPr>
      <w:widowControl/>
      <w:tabs>
        <w:tab w:val="clear" w:pos="480"/>
      </w:tabs>
      <w:spacing w:after="160" w:line="240" w:lineRule="exact"/>
      <w:jc w:val="left"/>
    </w:pPr>
    <w:rPr>
      <w:rFonts w:ascii="Verdana" w:hAnsi="Verdana" w:eastAsia="仿宋_GB2312"/>
      <w:kern w:val="0"/>
      <w:szCs w:val="20"/>
      <w:lang w:eastAsia="en-US"/>
    </w:rPr>
  </w:style>
  <w:style w:type="paragraph" w:customStyle="1" w:styleId="1530">
    <w:name w:val="三级目录"/>
    <w:basedOn w:val="4"/>
    <w:qFormat/>
    <w:uiPriority w:val="0"/>
    <w:pPr>
      <w:keepNext w:val="0"/>
      <w:numPr>
        <w:numId w:val="0"/>
      </w:numPr>
      <w:tabs>
        <w:tab w:val="left" w:pos="720"/>
        <w:tab w:val="left" w:pos="1418"/>
        <w:tab w:val="clear" w:pos="480"/>
        <w:tab w:val="clear" w:pos="840"/>
      </w:tabs>
      <w:adjustRightInd w:val="0"/>
      <w:spacing w:beforeLines="50" w:afterLines="50" w:line="360" w:lineRule="auto"/>
      <w:jc w:val="left"/>
    </w:pPr>
    <w:rPr>
      <w:rFonts w:ascii="宋体" w:hAnsi="宋体" w:eastAsia="宋体"/>
      <w:b w:val="0"/>
      <w:bCs w:val="0"/>
      <w:color w:val="000000"/>
      <w:kern w:val="0"/>
      <w:sz w:val="24"/>
      <w:szCs w:val="20"/>
    </w:rPr>
  </w:style>
  <w:style w:type="paragraph" w:customStyle="1" w:styleId="1531">
    <w:name w:val="cs10 additive Default Pa"/>
    <w:semiHidden/>
    <w:qFormat/>
    <w:uiPriority w:val="0"/>
    <w:pPr>
      <w:widowControl w:val="0"/>
      <w:autoSpaceDE w:val="0"/>
      <w:autoSpaceDN w:val="0"/>
      <w:adjustRightIn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532">
    <w:name w:val="Char Char Char Char Char Char Char Char Char Char Char Char Char Char Char"/>
    <w:next w:val="1"/>
    <w:qFormat/>
    <w:uiPriority w:val="0"/>
    <w:pPr>
      <w:tabs>
        <w:tab w:val="left" w:pos="700"/>
      </w:tabs>
      <w:snapToGrid w:val="0"/>
      <w:spacing w:line="300" w:lineRule="auto"/>
      <w:ind w:firstLine="200" w:firstLineChars="200"/>
      <w:jc w:val="both"/>
    </w:pPr>
    <w:rPr>
      <w:rFonts w:ascii="仿宋_GB2312" w:hAnsi="Verdana" w:eastAsia="仿宋_GB2312" w:cs="Times New Roman"/>
      <w:b/>
      <w:snapToGrid w:val="0"/>
      <w:kern w:val="2"/>
      <w:sz w:val="28"/>
      <w:szCs w:val="24"/>
      <w:lang w:val="en-US" w:eastAsia="en-US" w:bidi="ar-SA"/>
    </w:rPr>
  </w:style>
  <w:style w:type="paragraph" w:customStyle="1" w:styleId="1533">
    <w:name w:val="一级目录"/>
    <w:basedOn w:val="2"/>
    <w:qFormat/>
    <w:uiPriority w:val="0"/>
    <w:pPr>
      <w:numPr>
        <w:numId w:val="0"/>
      </w:numPr>
      <w:tabs>
        <w:tab w:val="clear" w:pos="480"/>
      </w:tabs>
      <w:adjustRightInd w:val="0"/>
      <w:spacing w:beforeLines="50" w:afterLines="50"/>
      <w:jc w:val="center"/>
      <w:textAlignment w:val="baseline"/>
    </w:pPr>
    <w:rPr>
      <w:rFonts w:ascii="宋体" w:hAnsi="宋体" w:eastAsia="宋体"/>
      <w:bCs w:val="0"/>
      <w:sz w:val="32"/>
      <w:szCs w:val="20"/>
    </w:rPr>
  </w:style>
  <w:style w:type="paragraph" w:customStyle="1" w:styleId="1534">
    <w:name w:val="style"/>
    <w:basedOn w:val="1"/>
    <w:semiHidden/>
    <w:qFormat/>
    <w:uiPriority w:val="0"/>
    <w:pPr>
      <w:widowControl/>
      <w:tabs>
        <w:tab w:val="clear" w:pos="480"/>
      </w:tabs>
      <w:spacing w:before="100" w:beforeAutospacing="1" w:after="100" w:afterAutospacing="1" w:line="240" w:lineRule="auto"/>
      <w:jc w:val="left"/>
    </w:pPr>
    <w:rPr>
      <w:rFonts w:hint="eastAsia" w:ascii="宋体" w:hAnsi="宋体"/>
      <w:kern w:val="0"/>
      <w:szCs w:val="20"/>
    </w:rPr>
  </w:style>
  <w:style w:type="paragraph" w:customStyle="1" w:styleId="1535">
    <w:name w:val="样式 标题 2标题 2 Char Char Char Char Char标题 2 Char Char Char Char C...1"/>
    <w:basedOn w:val="3"/>
    <w:qFormat/>
    <w:uiPriority w:val="0"/>
    <w:pPr>
      <w:numPr>
        <w:ilvl w:val="0"/>
        <w:numId w:val="0"/>
      </w:numPr>
      <w:tabs>
        <w:tab w:val="clear" w:pos="480"/>
        <w:tab w:val="clear" w:pos="630"/>
      </w:tabs>
      <w:spacing w:beforeLines="50" w:afterLines="50"/>
    </w:pPr>
    <w:rPr>
      <w:bCs w:val="0"/>
      <w:color w:val="000000"/>
      <w:szCs w:val="20"/>
    </w:rPr>
  </w:style>
  <w:style w:type="paragraph" w:customStyle="1" w:styleId="1536">
    <w:name w:val="样式 列表 + 左侧:  0 厘米 悬挂缩进: 2 字符"/>
    <w:basedOn w:val="66"/>
    <w:qFormat/>
    <w:uiPriority w:val="0"/>
    <w:pPr/>
    <w:rPr>
      <w:b/>
      <w:sz w:val="28"/>
      <w:szCs w:val="20"/>
    </w:rPr>
  </w:style>
  <w:style w:type="paragraph" w:customStyle="1" w:styleId="1537">
    <w:name w:val="样式 标题 2标题 2 Char Char Char Char Char标题 2 Char Char Char Char C...2"/>
    <w:basedOn w:val="3"/>
    <w:qFormat/>
    <w:uiPriority w:val="0"/>
    <w:pPr>
      <w:numPr>
        <w:ilvl w:val="0"/>
        <w:numId w:val="0"/>
      </w:numPr>
      <w:tabs>
        <w:tab w:val="clear" w:pos="480"/>
        <w:tab w:val="clear" w:pos="630"/>
      </w:tabs>
      <w:spacing w:before="120"/>
    </w:pPr>
    <w:rPr>
      <w:rFonts w:ascii="宋体" w:hAnsi="宋体"/>
      <w:bCs w:val="0"/>
      <w:sz w:val="30"/>
      <w:szCs w:val="20"/>
    </w:rPr>
  </w:style>
  <w:style w:type="paragraph" w:customStyle="1" w:styleId="1538">
    <w:name w:val="字元 字元"/>
    <w:basedOn w:val="1"/>
    <w:semiHidden/>
    <w:qFormat/>
    <w:uiPriority w:val="0"/>
    <w:pPr>
      <w:tabs>
        <w:tab w:val="clear" w:pos="480"/>
      </w:tabs>
      <w:spacing w:line="240" w:lineRule="auto"/>
    </w:pPr>
    <w:rPr>
      <w:sz w:val="21"/>
      <w:szCs w:val="20"/>
    </w:rPr>
  </w:style>
  <w:style w:type="paragraph" w:customStyle="1" w:styleId="1539">
    <w:name w:val="公式1"/>
    <w:basedOn w:val="1"/>
    <w:qFormat/>
    <w:uiPriority w:val="0"/>
    <w:pPr>
      <w:tabs>
        <w:tab w:val="clear" w:pos="480"/>
      </w:tabs>
      <w:spacing w:beforeLines="50" w:line="400" w:lineRule="exact"/>
      <w:ind w:firstLine="480"/>
    </w:pPr>
    <w:rPr>
      <w:rFonts w:ascii="Century Gothic" w:hAnsi="Century Gothic"/>
      <w:szCs w:val="20"/>
    </w:rPr>
  </w:style>
  <w:style w:type="paragraph" w:customStyle="1" w:styleId="1540">
    <w:name w:val="text"/>
    <w:basedOn w:val="1"/>
    <w:qFormat/>
    <w:uiPriority w:val="0"/>
    <w:pPr>
      <w:widowControl/>
      <w:tabs>
        <w:tab w:val="clear" w:pos="480"/>
      </w:tabs>
      <w:spacing w:before="100" w:beforeAutospacing="1" w:after="100" w:afterAutospacing="1" w:line="264" w:lineRule="auto"/>
    </w:pPr>
    <w:rPr>
      <w:rFonts w:ascii="宋体"/>
      <w:kern w:val="0"/>
      <w:sz w:val="18"/>
      <w:szCs w:val="20"/>
    </w:rPr>
  </w:style>
  <w:style w:type="paragraph" w:customStyle="1" w:styleId="1541">
    <w:name w:val="二级目录"/>
    <w:basedOn w:val="3"/>
    <w:qFormat/>
    <w:uiPriority w:val="0"/>
    <w:pPr>
      <w:numPr>
        <w:ilvl w:val="0"/>
        <w:numId w:val="0"/>
      </w:numPr>
      <w:tabs>
        <w:tab w:val="clear" w:pos="480"/>
        <w:tab w:val="clear" w:pos="630"/>
      </w:tabs>
      <w:spacing w:before="120"/>
      <w:jc w:val="left"/>
    </w:pPr>
    <w:rPr>
      <w:rFonts w:ascii="宋体" w:hAnsi="Arial"/>
      <w:bCs w:val="0"/>
      <w:kern w:val="0"/>
      <w:sz w:val="28"/>
      <w:szCs w:val="20"/>
    </w:rPr>
  </w:style>
  <w:style w:type="paragraph" w:customStyle="1" w:styleId="1542">
    <w:name w:val="图名"/>
    <w:basedOn w:val="1"/>
    <w:next w:val="559"/>
    <w:qFormat/>
    <w:uiPriority w:val="0"/>
    <w:pPr>
      <w:tabs>
        <w:tab w:val="clear" w:pos="480"/>
      </w:tabs>
      <w:snapToGrid w:val="0"/>
      <w:spacing w:line="300" w:lineRule="auto"/>
      <w:jc w:val="center"/>
    </w:pPr>
    <w:rPr>
      <w:b/>
      <w:spacing w:val="10"/>
      <w:szCs w:val="20"/>
    </w:rPr>
  </w:style>
  <w:style w:type="paragraph" w:customStyle="1" w:styleId="1543">
    <w:name w:val="样式 标题 3标题 3 Char条标题1.1.1ReHead 3 WSAh3BSH-3H3b33rd leve..."/>
    <w:basedOn w:val="4"/>
    <w:qFormat/>
    <w:uiPriority w:val="0"/>
    <w:pPr>
      <w:keepNext w:val="0"/>
      <w:numPr>
        <w:numId w:val="0"/>
      </w:numPr>
      <w:tabs>
        <w:tab w:val="left" w:pos="720"/>
        <w:tab w:val="left" w:pos="1418"/>
        <w:tab w:val="clear" w:pos="480"/>
        <w:tab w:val="clear" w:pos="840"/>
      </w:tabs>
      <w:adjustRightInd w:val="0"/>
      <w:spacing w:beforeLines="50" w:afterLines="50" w:line="360" w:lineRule="auto"/>
      <w:jc w:val="left"/>
    </w:pPr>
    <w:rPr>
      <w:rFonts w:ascii="Times New Roman" w:eastAsia="宋体"/>
      <w:bCs w:val="0"/>
      <w:szCs w:val="20"/>
    </w:rPr>
  </w:style>
  <w:style w:type="paragraph" w:customStyle="1" w:styleId="1544">
    <w:name w:val="第四节"/>
    <w:basedOn w:val="1"/>
    <w:qFormat/>
    <w:uiPriority w:val="0"/>
    <w:pPr>
      <w:tabs>
        <w:tab w:val="clear" w:pos="480"/>
      </w:tabs>
      <w:spacing w:beforeLines="150"/>
      <w:ind w:firstLine="358" w:firstLineChars="119"/>
      <w:jc w:val="left"/>
    </w:pPr>
    <w:rPr>
      <w:rFonts w:eastAsia="黑体"/>
      <w:b/>
      <w:kern w:val="0"/>
      <w:sz w:val="30"/>
      <w:szCs w:val="20"/>
    </w:rPr>
  </w:style>
  <w:style w:type="paragraph" w:customStyle="1" w:styleId="1545">
    <w:name w:val="表格名称"/>
    <w:basedOn w:val="1"/>
    <w:semiHidden/>
    <w:qFormat/>
    <w:uiPriority w:val="0"/>
    <w:pPr>
      <w:tabs>
        <w:tab w:val="clear" w:pos="480"/>
      </w:tabs>
      <w:ind w:firstLine="489" w:firstLineChars="203"/>
    </w:pPr>
    <w:rPr>
      <w:b/>
      <w:szCs w:val="20"/>
    </w:rPr>
  </w:style>
  <w:style w:type="paragraph" w:customStyle="1" w:styleId="1546">
    <w:name w:val="Char Char Char Char Char Char Char Char Char Char Char Char Char Char Char Char Char Char Char"/>
    <w:basedOn w:val="1"/>
    <w:qFormat/>
    <w:uiPriority w:val="0"/>
    <w:pPr>
      <w:widowControl/>
      <w:tabs>
        <w:tab w:val="clear" w:pos="480"/>
      </w:tabs>
      <w:spacing w:after="160" w:line="240" w:lineRule="exact"/>
      <w:jc w:val="left"/>
    </w:pPr>
    <w:rPr>
      <w:rFonts w:ascii="Verdana" w:hAnsi="Verdana" w:eastAsia="仿宋_GB2312"/>
      <w:kern w:val="0"/>
      <w:szCs w:val="20"/>
      <w:lang w:eastAsia="en-US"/>
    </w:rPr>
  </w:style>
  <w:style w:type="paragraph" w:customStyle="1" w:styleId="1547">
    <w:name w:val="字元 字元1"/>
    <w:basedOn w:val="1"/>
    <w:semiHidden/>
    <w:qFormat/>
    <w:uiPriority w:val="0"/>
    <w:pPr>
      <w:tabs>
        <w:tab w:val="clear" w:pos="480"/>
      </w:tabs>
      <w:spacing w:line="240" w:lineRule="auto"/>
    </w:pPr>
    <w:rPr>
      <w:sz w:val="21"/>
      <w:szCs w:val="20"/>
    </w:rPr>
  </w:style>
  <w:style w:type="paragraph" w:customStyle="1" w:styleId="1548">
    <w:name w:val="图表文"/>
    <w:basedOn w:val="1"/>
    <w:qFormat/>
    <w:uiPriority w:val="0"/>
    <w:pPr>
      <w:tabs>
        <w:tab w:val="clear" w:pos="480"/>
      </w:tabs>
      <w:spacing w:line="240" w:lineRule="auto"/>
      <w:jc w:val="center"/>
    </w:pPr>
    <w:rPr>
      <w:sz w:val="21"/>
      <w:szCs w:val="20"/>
    </w:rPr>
  </w:style>
  <w:style w:type="paragraph" w:customStyle="1" w:styleId="1549">
    <w:name w:val="论文5号样式"/>
    <w:basedOn w:val="1"/>
    <w:qFormat/>
    <w:uiPriority w:val="0"/>
    <w:pPr>
      <w:tabs>
        <w:tab w:val="left" w:pos="360"/>
        <w:tab w:val="clear" w:pos="480"/>
      </w:tabs>
      <w:spacing w:line="240" w:lineRule="auto"/>
    </w:pPr>
    <w:rPr>
      <w:b/>
      <w:sz w:val="28"/>
      <w:szCs w:val="20"/>
    </w:rPr>
  </w:style>
  <w:style w:type="paragraph" w:customStyle="1" w:styleId="1550">
    <w:name w:val="样式 表格2 + 首行缩进:  1 字符 段前: 0.1 行 段后: 0.1 行"/>
    <w:basedOn w:val="1"/>
    <w:qFormat/>
    <w:uiPriority w:val="0"/>
    <w:pPr>
      <w:tabs>
        <w:tab w:val="clear" w:pos="480"/>
      </w:tabs>
      <w:adjustRightInd w:val="0"/>
      <w:snapToGrid w:val="0"/>
      <w:spacing w:line="240" w:lineRule="atLeast"/>
      <w:jc w:val="center"/>
      <w:textAlignment w:val="baseline"/>
    </w:pPr>
    <w:rPr>
      <w:rFonts w:hAnsi="宋体"/>
      <w:spacing w:val="8"/>
      <w:sz w:val="21"/>
      <w:szCs w:val="20"/>
    </w:rPr>
  </w:style>
  <w:style w:type="paragraph" w:customStyle="1" w:styleId="1551">
    <w:name w:val="表頭"/>
    <w:basedOn w:val="1"/>
    <w:qFormat/>
    <w:uiPriority w:val="0"/>
    <w:pPr>
      <w:tabs>
        <w:tab w:val="clear" w:pos="480"/>
      </w:tabs>
      <w:spacing w:before="120" w:after="120" w:line="400" w:lineRule="exact"/>
      <w:ind w:firstLine="482"/>
      <w:jc w:val="center"/>
    </w:pPr>
    <w:rPr>
      <w:rFonts w:eastAsia="DFKai-SB"/>
      <w:b/>
      <w:spacing w:val="20"/>
      <w:kern w:val="0"/>
      <w:szCs w:val="20"/>
      <w:lang w:eastAsia="zh-TW"/>
    </w:rPr>
  </w:style>
  <w:style w:type="paragraph" w:customStyle="1" w:styleId="1552">
    <w:name w:val="广西表"/>
    <w:basedOn w:val="1"/>
    <w:qFormat/>
    <w:uiPriority w:val="0"/>
    <w:pPr>
      <w:tabs>
        <w:tab w:val="left" w:pos="900"/>
        <w:tab w:val="clear" w:pos="480"/>
      </w:tabs>
      <w:spacing w:line="240" w:lineRule="auto"/>
      <w:jc w:val="center"/>
    </w:pPr>
    <w:rPr>
      <w:rFonts w:ascii="宋体"/>
      <w:kern w:val="0"/>
      <w:sz w:val="21"/>
      <w:szCs w:val="20"/>
      <w:u w:color="000000"/>
      <w:lang w:val="sq-AL"/>
    </w:rPr>
  </w:style>
  <w:style w:type="table" w:customStyle="1" w:styleId="1553">
    <w:name w:val="网格型3"/>
    <w:basedOn w:val="88"/>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554">
    <w:name w:val="字元 字元1 Char Char"/>
    <w:basedOn w:val="1"/>
    <w:semiHidden/>
    <w:qFormat/>
    <w:uiPriority w:val="0"/>
    <w:pPr>
      <w:tabs>
        <w:tab w:val="clear" w:pos="480"/>
      </w:tabs>
      <w:spacing w:line="240" w:lineRule="auto"/>
    </w:pPr>
    <w:rPr>
      <w:sz w:val="21"/>
      <w:szCs w:val="21"/>
    </w:rPr>
  </w:style>
  <w:style w:type="paragraph" w:customStyle="1" w:styleId="1555">
    <w:name w:val="表格内容自定"/>
    <w:basedOn w:val="1"/>
    <w:semiHidden/>
    <w:qFormat/>
    <w:uiPriority w:val="0"/>
    <w:pPr>
      <w:tabs>
        <w:tab w:val="clear" w:pos="480"/>
      </w:tabs>
      <w:spacing w:line="280" w:lineRule="exact"/>
      <w:jc w:val="center"/>
    </w:pPr>
    <w:rPr>
      <w:kern w:val="0"/>
      <w:sz w:val="18"/>
      <w:szCs w:val="21"/>
    </w:rPr>
  </w:style>
  <w:style w:type="table" w:customStyle="1" w:styleId="1556">
    <w:name w:val="网格型4"/>
    <w:basedOn w:val="88"/>
    <w:qFormat/>
    <w:uiPriority w:val="59"/>
    <w:pPr>
      <w:widowControl w:val="0"/>
      <w:spacing w:line="400" w:lineRule="exact"/>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557">
    <w:name w:val="文章正文"/>
    <w:basedOn w:val="1"/>
    <w:link w:val="1558"/>
    <w:qFormat/>
    <w:uiPriority w:val="0"/>
    <w:pPr>
      <w:tabs>
        <w:tab w:val="clear" w:pos="480"/>
      </w:tabs>
      <w:jc w:val="left"/>
    </w:pPr>
    <w:rPr>
      <w:rFonts w:eastAsia="仿宋_GB2312"/>
      <w:kern w:val="0"/>
      <w:sz w:val="28"/>
      <w:lang w:val="zh-CN"/>
    </w:rPr>
  </w:style>
  <w:style w:type="character" w:customStyle="1" w:styleId="1558">
    <w:name w:val="文章正文 Char"/>
    <w:link w:val="1557"/>
    <w:qFormat/>
    <w:uiPriority w:val="0"/>
    <w:rPr>
      <w:rFonts w:eastAsia="仿宋_GB2312"/>
      <w:sz w:val="28"/>
      <w:szCs w:val="24"/>
      <w:lang w:bidi="ar-SA"/>
    </w:rPr>
  </w:style>
  <w:style w:type="character" w:customStyle="1" w:styleId="1559">
    <w:name w:val="标题 2 Char Char Char Char Char Char"/>
    <w:semiHidden/>
    <w:qFormat/>
    <w:uiPriority w:val="0"/>
    <w:rPr>
      <w:rFonts w:eastAsia="宋体"/>
      <w:b/>
      <w:bCs/>
      <w:kern w:val="2"/>
      <w:sz w:val="36"/>
      <w:szCs w:val="32"/>
      <w:lang w:val="en-US" w:eastAsia="zh-CN" w:bidi="ar-SA"/>
    </w:rPr>
  </w:style>
  <w:style w:type="paragraph" w:customStyle="1" w:styleId="1560">
    <w:name w:val="general description- new"/>
    <w:basedOn w:val="1"/>
    <w:semiHidden/>
    <w:qFormat/>
    <w:uiPriority w:val="0"/>
    <w:pPr>
      <w:widowControl/>
      <w:tabs>
        <w:tab w:val="left" w:pos="-1530"/>
        <w:tab w:val="clear" w:pos="480"/>
      </w:tabs>
      <w:suppressAutoHyphens/>
      <w:overflowPunct w:val="0"/>
      <w:autoSpaceDE w:val="0"/>
      <w:autoSpaceDN w:val="0"/>
      <w:adjustRightInd w:val="0"/>
      <w:spacing w:line="288" w:lineRule="auto"/>
      <w:ind w:left="2160" w:hanging="720"/>
      <w:jc w:val="left"/>
      <w:textAlignment w:val="baseline"/>
    </w:pPr>
    <w:rPr>
      <w:b/>
      <w:kern w:val="0"/>
      <w:szCs w:val="20"/>
      <w:lang w:val="en-GB" w:eastAsia="en-US"/>
    </w:rPr>
  </w:style>
  <w:style w:type="character" w:customStyle="1" w:styleId="1561">
    <w:name w:val="文本 Char"/>
    <w:link w:val="1426"/>
    <w:qFormat/>
    <w:uiPriority w:val="0"/>
    <w:rPr>
      <w:rFonts w:ascii="宋体" w:eastAsia="宋体"/>
      <w:sz w:val="28"/>
      <w:lang w:bidi="ar-SA"/>
    </w:rPr>
  </w:style>
  <w:style w:type="paragraph" w:customStyle="1" w:styleId="1562">
    <w:name w:val="样式 小三 加粗 居中"/>
    <w:basedOn w:val="1"/>
    <w:qFormat/>
    <w:uiPriority w:val="0"/>
    <w:pPr>
      <w:pageBreakBefore/>
      <w:tabs>
        <w:tab w:val="clear" w:pos="480"/>
      </w:tabs>
      <w:ind w:firstLine="420"/>
      <w:jc w:val="center"/>
    </w:pPr>
    <w:rPr>
      <w:rFonts w:cs="宋体"/>
      <w:b/>
      <w:bCs/>
      <w:sz w:val="30"/>
      <w:szCs w:val="20"/>
    </w:rPr>
  </w:style>
  <w:style w:type="paragraph" w:customStyle="1" w:styleId="1563">
    <w:name w:val="样式 文本 + 加粗 首行缩进:  2 字符"/>
    <w:basedOn w:val="1426"/>
    <w:qFormat/>
    <w:uiPriority w:val="0"/>
    <w:pPr>
      <w:autoSpaceDE w:val="0"/>
      <w:autoSpaceDN w:val="0"/>
      <w:spacing w:line="520" w:lineRule="exact"/>
      <w:jc w:val="both"/>
      <w:textAlignment w:val="auto"/>
    </w:pPr>
    <w:rPr>
      <w:rFonts w:ascii="Times New Roman" w:cs="宋体"/>
      <w:b/>
      <w:bCs/>
      <w:kern w:val="2"/>
    </w:rPr>
  </w:style>
  <w:style w:type="paragraph" w:customStyle="1" w:styleId="1564">
    <w:name w:val="样式 标题 4H4H41Subsection + 首行缩进:  9.75 厘米"/>
    <w:basedOn w:val="5"/>
    <w:qFormat/>
    <w:uiPriority w:val="0"/>
    <w:pPr>
      <w:keepNext w:val="0"/>
      <w:keepLines w:val="0"/>
      <w:numPr>
        <w:ilvl w:val="0"/>
        <w:numId w:val="0"/>
      </w:numPr>
      <w:tabs>
        <w:tab w:val="clear" w:pos="480"/>
      </w:tabs>
      <w:overflowPunct w:val="0"/>
      <w:spacing w:before="0" w:after="0"/>
      <w:jc w:val="center"/>
      <w:outlineLvl w:val="9"/>
    </w:pPr>
    <w:rPr>
      <w:rFonts w:ascii="Times New Roman" w:hAnsi="Times New Roman" w:eastAsia="宋体"/>
      <w:b w:val="0"/>
      <w:bCs w:val="0"/>
      <w:color w:val="0000FF"/>
      <w:kern w:val="0"/>
      <w:szCs w:val="20"/>
    </w:rPr>
  </w:style>
  <w:style w:type="paragraph" w:styleId="1565">
    <w:name w:val="No Spacing"/>
    <w:link w:val="2666"/>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1566">
    <w:name w:val="style31"/>
    <w:semiHidden/>
    <w:qFormat/>
    <w:uiPriority w:val="0"/>
    <w:rPr>
      <w:color w:val="145DA7"/>
    </w:rPr>
  </w:style>
  <w:style w:type="paragraph" w:customStyle="1" w:styleId="1567">
    <w:name w:val="通舟正文"/>
    <w:basedOn w:val="1"/>
    <w:link w:val="1568"/>
    <w:qFormat/>
    <w:uiPriority w:val="0"/>
    <w:pPr>
      <w:widowControl/>
      <w:tabs>
        <w:tab w:val="clear" w:pos="480"/>
      </w:tabs>
      <w:spacing w:beforeLines="50" w:line="440" w:lineRule="exact"/>
      <w:jc w:val="left"/>
    </w:pPr>
    <w:rPr>
      <w:rFonts w:eastAsia="仿宋_GB2312"/>
      <w:kern w:val="0"/>
      <w:sz w:val="28"/>
      <w:szCs w:val="20"/>
      <w:lang w:val="zh-CN"/>
    </w:rPr>
  </w:style>
  <w:style w:type="character" w:customStyle="1" w:styleId="1568">
    <w:name w:val="通舟正文 Char"/>
    <w:link w:val="1567"/>
    <w:qFormat/>
    <w:uiPriority w:val="0"/>
    <w:rPr>
      <w:rFonts w:eastAsia="仿宋_GB2312"/>
      <w:sz w:val="28"/>
      <w:lang w:bidi="ar-SA"/>
    </w:rPr>
  </w:style>
  <w:style w:type="paragraph" w:customStyle="1" w:styleId="1569">
    <w:name w:val="正文格式"/>
    <w:next w:val="1"/>
    <w:link w:val="1570"/>
    <w:qFormat/>
    <w:uiPriority w:val="0"/>
    <w:pPr>
      <w:spacing w:beforeLines="50" w:line="440" w:lineRule="exact"/>
      <w:ind w:firstLine="560" w:firstLineChars="200"/>
      <w:jc w:val="both"/>
    </w:pPr>
    <w:rPr>
      <w:rFonts w:ascii="Times New Roman" w:hAnsi="Times New Roman" w:eastAsia="仿宋_GB2312" w:cs="Times New Roman"/>
      <w:kern w:val="2"/>
      <w:sz w:val="28"/>
      <w:szCs w:val="28"/>
      <w:lang w:val="en-US" w:eastAsia="zh-CN" w:bidi="ar-SA"/>
    </w:rPr>
  </w:style>
  <w:style w:type="character" w:customStyle="1" w:styleId="1570">
    <w:name w:val="正文格式 Char"/>
    <w:link w:val="1569"/>
    <w:qFormat/>
    <w:uiPriority w:val="0"/>
    <w:rPr>
      <w:rFonts w:eastAsia="仿宋_GB2312"/>
      <w:sz w:val="28"/>
      <w:szCs w:val="28"/>
      <w:lang w:bidi="ar-SA"/>
    </w:rPr>
  </w:style>
  <w:style w:type="character" w:customStyle="1" w:styleId="1571">
    <w:name w:val="c Char1"/>
    <w:semiHidden/>
    <w:qFormat/>
    <w:uiPriority w:val="0"/>
    <w:rPr>
      <w:rFonts w:eastAsia="仿宋_GB2312" w:cs="宋体"/>
      <w:kern w:val="2"/>
      <w:sz w:val="28"/>
      <w:lang w:val="en-US" w:eastAsia="zh-CN" w:bidi="ar-SA"/>
    </w:rPr>
  </w:style>
  <w:style w:type="character" w:customStyle="1" w:styleId="1572">
    <w:name w:val="ccc Char"/>
    <w:semiHidden/>
    <w:qFormat/>
    <w:uiPriority w:val="0"/>
    <w:rPr>
      <w:rFonts w:eastAsia="仿宋_GB2312"/>
      <w:bCs/>
      <w:iCs/>
      <w:color w:val="000000"/>
      <w:kern w:val="2"/>
      <w:sz w:val="28"/>
      <w:lang w:val="en-US" w:eastAsia="zh-CN" w:bidi="ar-SA"/>
    </w:rPr>
  </w:style>
  <w:style w:type="character" w:customStyle="1" w:styleId="1573">
    <w:name w:val="size13"/>
    <w:basedOn w:val="133"/>
    <w:semiHidden/>
    <w:qFormat/>
    <w:uiPriority w:val="0"/>
  </w:style>
  <w:style w:type="character" w:customStyle="1" w:styleId="1574">
    <w:name w:val="Section Char Char"/>
    <w:semiHidden/>
    <w:qFormat/>
    <w:uiPriority w:val="0"/>
    <w:rPr>
      <w:rFonts w:ascii="宋体" w:eastAsia="宋体"/>
      <w:b/>
      <w:color w:val="000000"/>
      <w:w w:val="90"/>
      <w:sz w:val="28"/>
      <w:lang w:val="en-US" w:eastAsia="zh-CN" w:bidi="ar-SA"/>
    </w:rPr>
  </w:style>
  <w:style w:type="paragraph" w:customStyle="1" w:styleId="1575">
    <w:name w:val="正文1.2"/>
    <w:qFormat/>
    <w:uiPriority w:val="0"/>
    <w:pPr>
      <w:spacing w:line="500" w:lineRule="exact"/>
      <w:ind w:firstLine="560" w:firstLineChars="200"/>
      <w:jc w:val="both"/>
    </w:pPr>
    <w:rPr>
      <w:rFonts w:ascii="Times New Roman" w:hAnsi="Times New Roman" w:eastAsia="宋体" w:cs="Times New Roman"/>
      <w:color w:val="FF0000"/>
      <w:kern w:val="2"/>
      <w:sz w:val="28"/>
      <w:szCs w:val="28"/>
      <w:lang w:val="en-US" w:eastAsia="zh-CN" w:bidi="ar-SA"/>
    </w:rPr>
  </w:style>
  <w:style w:type="paragraph" w:customStyle="1" w:styleId="1576">
    <w:name w:val="表格文本"/>
    <w:basedOn w:val="1"/>
    <w:semiHidden/>
    <w:qFormat/>
    <w:uiPriority w:val="0"/>
    <w:pPr>
      <w:tabs>
        <w:tab w:val="clear" w:pos="480"/>
      </w:tabs>
      <w:adjustRightInd w:val="0"/>
      <w:spacing w:line="240" w:lineRule="auto"/>
      <w:jc w:val="center"/>
      <w:textAlignment w:val="baseline"/>
    </w:pPr>
    <w:rPr>
      <w:kern w:val="0"/>
      <w:szCs w:val="20"/>
    </w:rPr>
  </w:style>
  <w:style w:type="paragraph" w:customStyle="1" w:styleId="1577">
    <w:name w:val="表图标题"/>
    <w:basedOn w:val="1"/>
    <w:link w:val="1578"/>
    <w:qFormat/>
    <w:uiPriority w:val="0"/>
    <w:pPr>
      <w:tabs>
        <w:tab w:val="left" w:pos="3960"/>
        <w:tab w:val="clear" w:pos="480"/>
      </w:tabs>
    </w:pPr>
    <w:rPr>
      <w:b/>
      <w:bCs/>
      <w:kern w:val="0"/>
      <w:lang w:val="zh-CN"/>
    </w:rPr>
  </w:style>
  <w:style w:type="character" w:customStyle="1" w:styleId="1578">
    <w:name w:val="表图标题 Char"/>
    <w:link w:val="1577"/>
    <w:qFormat/>
    <w:uiPriority w:val="0"/>
    <w:rPr>
      <w:rFonts w:eastAsia="宋体"/>
      <w:b/>
      <w:bCs/>
      <w:sz w:val="24"/>
      <w:szCs w:val="24"/>
      <w:lang w:bidi="ar-SA"/>
    </w:rPr>
  </w:style>
  <w:style w:type="paragraph" w:customStyle="1" w:styleId="1579">
    <w:name w:val="表头编号"/>
    <w:basedOn w:val="1"/>
    <w:link w:val="1580"/>
    <w:qFormat/>
    <w:uiPriority w:val="0"/>
    <w:pPr>
      <w:tabs>
        <w:tab w:val="clear" w:pos="480"/>
      </w:tabs>
      <w:snapToGrid w:val="0"/>
      <w:spacing w:line="240" w:lineRule="atLeast"/>
      <w:jc w:val="right"/>
    </w:pPr>
    <w:rPr>
      <w:b/>
      <w:color w:val="000000"/>
      <w:spacing w:val="-2"/>
      <w:kern w:val="0"/>
      <w:sz w:val="18"/>
      <w:szCs w:val="20"/>
      <w:lang w:val="zh-CN"/>
    </w:rPr>
  </w:style>
  <w:style w:type="character" w:customStyle="1" w:styleId="1580">
    <w:name w:val="表头编号 Char1"/>
    <w:link w:val="1579"/>
    <w:qFormat/>
    <w:uiPriority w:val="0"/>
    <w:rPr>
      <w:rFonts w:eastAsia="宋体"/>
      <w:b/>
      <w:color w:val="000000"/>
      <w:spacing w:val="-2"/>
      <w:sz w:val="18"/>
      <w:lang w:bidi="ar-SA"/>
    </w:rPr>
  </w:style>
  <w:style w:type="paragraph" w:customStyle="1" w:styleId="1581">
    <w:name w:val="表头编号 Char"/>
    <w:basedOn w:val="1"/>
    <w:link w:val="1582"/>
    <w:qFormat/>
    <w:uiPriority w:val="0"/>
    <w:pPr>
      <w:tabs>
        <w:tab w:val="clear" w:pos="480"/>
      </w:tabs>
      <w:snapToGrid w:val="0"/>
      <w:spacing w:line="240" w:lineRule="atLeast"/>
      <w:ind w:left="498" w:hanging="498" w:hangingChars="200"/>
      <w:jc w:val="right"/>
    </w:pPr>
    <w:rPr>
      <w:b/>
      <w:color w:val="000000"/>
      <w:spacing w:val="-2"/>
      <w:kern w:val="0"/>
      <w:sz w:val="20"/>
      <w:szCs w:val="20"/>
      <w:lang w:val="zh-CN"/>
    </w:rPr>
  </w:style>
  <w:style w:type="character" w:customStyle="1" w:styleId="1582">
    <w:name w:val="表头编号 Char Char"/>
    <w:link w:val="1581"/>
    <w:qFormat/>
    <w:uiPriority w:val="0"/>
    <w:rPr>
      <w:rFonts w:eastAsia="宋体"/>
      <w:b/>
      <w:color w:val="000000"/>
      <w:spacing w:val="-2"/>
      <w:lang w:bidi="ar-SA"/>
    </w:rPr>
  </w:style>
  <w:style w:type="paragraph" w:customStyle="1" w:styleId="1583">
    <w:name w:val="汇报材料正文"/>
    <w:basedOn w:val="1"/>
    <w:link w:val="1584"/>
    <w:qFormat/>
    <w:uiPriority w:val="0"/>
    <w:pPr>
      <w:tabs>
        <w:tab w:val="clear" w:pos="480"/>
      </w:tabs>
      <w:adjustRightInd w:val="0"/>
      <w:snapToGrid w:val="0"/>
      <w:ind w:firstLine="530"/>
      <w:jc w:val="left"/>
    </w:pPr>
    <w:rPr>
      <w:rFonts w:ascii="宋体"/>
      <w:bCs/>
      <w:snapToGrid w:val="0"/>
      <w:spacing w:val="16"/>
      <w:kern w:val="0"/>
      <w:szCs w:val="20"/>
      <w:lang w:val="zh-CN"/>
    </w:rPr>
  </w:style>
  <w:style w:type="character" w:customStyle="1" w:styleId="1584">
    <w:name w:val="汇报材料正文 Char"/>
    <w:link w:val="1583"/>
    <w:qFormat/>
    <w:uiPriority w:val="0"/>
    <w:rPr>
      <w:rFonts w:ascii="宋体" w:eastAsia="宋体"/>
      <w:bCs/>
      <w:snapToGrid w:val="0"/>
      <w:spacing w:val="16"/>
      <w:sz w:val="24"/>
      <w:lang w:bidi="ar-SA"/>
    </w:rPr>
  </w:style>
  <w:style w:type="paragraph" w:customStyle="1" w:styleId="1585">
    <w:name w:val="正文1.5倍行距 Char"/>
    <w:qFormat/>
    <w:uiPriority w:val="0"/>
    <w:pPr>
      <w:adjustRightInd w:val="0"/>
      <w:snapToGrid w:val="0"/>
      <w:spacing w:line="360" w:lineRule="auto"/>
      <w:ind w:firstLine="560" w:firstLineChars="200"/>
      <w:jc w:val="both"/>
    </w:pPr>
    <w:rPr>
      <w:rFonts w:ascii="宋体" w:hAnsi="宋体" w:eastAsia="宋体" w:cs="Times New Roman"/>
      <w:bCs/>
      <w:color w:val="FF6600"/>
      <w:kern w:val="2"/>
      <w:sz w:val="28"/>
      <w:szCs w:val="28"/>
      <w:lang w:val="en-US" w:eastAsia="zh-CN" w:bidi="ar-SA"/>
    </w:rPr>
  </w:style>
  <w:style w:type="character" w:customStyle="1" w:styleId="1586">
    <w:name w:val="正文1.5倍行距 Char Char"/>
    <w:qFormat/>
    <w:uiPriority w:val="0"/>
    <w:rPr>
      <w:rFonts w:ascii="宋体" w:hAnsi="宋体" w:eastAsia="宋体"/>
      <w:bCs/>
      <w:sz w:val="24"/>
      <w:szCs w:val="24"/>
      <w:lang w:val="en-US" w:eastAsia="zh-CN" w:bidi="ar-SA"/>
    </w:rPr>
  </w:style>
  <w:style w:type="character" w:customStyle="1" w:styleId="1587">
    <w:name w:val="f141"/>
    <w:semiHidden/>
    <w:qFormat/>
    <w:uiPriority w:val="0"/>
    <w:rPr>
      <w:sz w:val="22"/>
      <w:szCs w:val="22"/>
    </w:rPr>
  </w:style>
  <w:style w:type="character" w:customStyle="1" w:styleId="1588">
    <w:name w:val="图表 Char Char"/>
    <w:qFormat/>
    <w:uiPriority w:val="0"/>
    <w:rPr>
      <w:rFonts w:ascii="宋体" w:hAnsi="宋体" w:eastAsia="宋体"/>
      <w:kern w:val="10"/>
      <w:sz w:val="21"/>
      <w:szCs w:val="21"/>
      <w:lang w:val="en-US" w:eastAsia="zh-CN" w:bidi="ar-SA"/>
    </w:rPr>
  </w:style>
  <w:style w:type="paragraph" w:customStyle="1" w:styleId="1589">
    <w:name w:val="注释"/>
    <w:basedOn w:val="1"/>
    <w:qFormat/>
    <w:uiPriority w:val="0"/>
    <w:pPr>
      <w:tabs>
        <w:tab w:val="clear" w:pos="480"/>
      </w:tabs>
      <w:spacing w:line="240" w:lineRule="auto"/>
      <w:ind w:firstLine="840" w:firstLineChars="400"/>
    </w:pPr>
    <w:rPr>
      <w:rFonts w:ascii="Arial" w:hAnsi="Arial" w:cs="宋体"/>
      <w:sz w:val="21"/>
      <w:szCs w:val="21"/>
    </w:rPr>
  </w:style>
  <w:style w:type="paragraph" w:customStyle="1" w:styleId="1590">
    <w:name w:val="黑体正文"/>
    <w:qFormat/>
    <w:uiPriority w:val="0"/>
    <w:pPr>
      <w:spacing w:line="360" w:lineRule="auto"/>
      <w:ind w:firstLine="544" w:firstLineChars="200"/>
      <w:jc w:val="both"/>
    </w:pPr>
    <w:rPr>
      <w:rFonts w:ascii="黑体" w:hAnsi="Times New Roman" w:eastAsia="黑体" w:cs="宋体"/>
      <w:bCs/>
      <w:snapToGrid w:val="0"/>
      <w:spacing w:val="16"/>
      <w:kern w:val="2"/>
      <w:sz w:val="24"/>
      <w:szCs w:val="24"/>
      <w:lang w:val="en-US" w:eastAsia="zh-CN" w:bidi="ar-SA"/>
    </w:rPr>
  </w:style>
  <w:style w:type="paragraph" w:customStyle="1" w:styleId="1591">
    <w:name w:val="正文1.5倍行距"/>
    <w:link w:val="1592"/>
    <w:qFormat/>
    <w:uiPriority w:val="0"/>
    <w:pPr>
      <w:adjustRightInd w:val="0"/>
      <w:snapToGrid w:val="0"/>
      <w:spacing w:line="500" w:lineRule="exact"/>
      <w:ind w:firstLine="560" w:firstLineChars="200"/>
      <w:jc w:val="both"/>
    </w:pPr>
    <w:rPr>
      <w:rFonts w:ascii="Times New Roman" w:hAnsi="Times New Roman" w:eastAsia="宋体" w:cs="Times New Roman"/>
      <w:snapToGrid w:val="0"/>
      <w:kern w:val="2"/>
      <w:sz w:val="28"/>
      <w:szCs w:val="28"/>
      <w:lang w:val="en-US" w:eastAsia="zh-CN" w:bidi="ar-SA"/>
    </w:rPr>
  </w:style>
  <w:style w:type="character" w:customStyle="1" w:styleId="1592">
    <w:name w:val="正文1.5倍行距 Char1"/>
    <w:link w:val="1591"/>
    <w:qFormat/>
    <w:uiPriority w:val="0"/>
    <w:rPr>
      <w:snapToGrid w:val="0"/>
      <w:sz w:val="28"/>
      <w:szCs w:val="28"/>
      <w:lang w:bidi="ar-SA"/>
    </w:rPr>
  </w:style>
  <w:style w:type="paragraph" w:customStyle="1" w:styleId="1593">
    <w:name w:val="正文29"/>
    <w:basedOn w:val="1"/>
    <w:link w:val="1594"/>
    <w:qFormat/>
    <w:uiPriority w:val="0"/>
    <w:pPr>
      <w:tabs>
        <w:tab w:val="clear" w:pos="480"/>
      </w:tabs>
      <w:topLinePunct/>
      <w:snapToGrid w:val="0"/>
      <w:spacing w:line="580" w:lineRule="exact"/>
      <w:ind w:firstLine="567"/>
    </w:pPr>
    <w:rPr>
      <w:kern w:val="0"/>
      <w:sz w:val="28"/>
      <w:szCs w:val="28"/>
      <w:lang w:val="zh-CN"/>
    </w:rPr>
  </w:style>
  <w:style w:type="character" w:customStyle="1" w:styleId="1594">
    <w:name w:val="正文29 Char"/>
    <w:link w:val="1593"/>
    <w:qFormat/>
    <w:uiPriority w:val="0"/>
    <w:rPr>
      <w:rFonts w:eastAsia="宋体"/>
      <w:sz w:val="28"/>
      <w:szCs w:val="28"/>
      <w:lang w:bidi="ar-SA"/>
    </w:rPr>
  </w:style>
  <w:style w:type="paragraph" w:customStyle="1" w:styleId="1595">
    <w:name w:val="style20"/>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rPr>
  </w:style>
  <w:style w:type="paragraph" w:customStyle="1" w:styleId="1596">
    <w:name w:val="正文15"/>
    <w:basedOn w:val="1"/>
    <w:link w:val="1597"/>
    <w:qFormat/>
    <w:uiPriority w:val="0"/>
    <w:pPr>
      <w:tabs>
        <w:tab w:val="clear" w:pos="480"/>
      </w:tabs>
      <w:overflowPunct w:val="0"/>
      <w:topLinePunct/>
      <w:snapToGrid w:val="0"/>
      <w:ind w:firstLine="567"/>
    </w:pPr>
    <w:rPr>
      <w:kern w:val="0"/>
      <w:sz w:val="28"/>
      <w:szCs w:val="28"/>
      <w:lang w:val="zh-CN"/>
    </w:rPr>
  </w:style>
  <w:style w:type="character" w:customStyle="1" w:styleId="1597">
    <w:name w:val="正文15 Char"/>
    <w:link w:val="1596"/>
    <w:qFormat/>
    <w:uiPriority w:val="0"/>
    <w:rPr>
      <w:rFonts w:eastAsia="宋体"/>
      <w:sz w:val="28"/>
      <w:szCs w:val="28"/>
      <w:lang w:bidi="ar-SA"/>
    </w:rPr>
  </w:style>
  <w:style w:type="paragraph" w:customStyle="1" w:styleId="1598">
    <w:name w:val="码头正文2"/>
    <w:basedOn w:val="1"/>
    <w:link w:val="1599"/>
    <w:qFormat/>
    <w:uiPriority w:val="0"/>
    <w:pPr>
      <w:tabs>
        <w:tab w:val="clear" w:pos="480"/>
      </w:tabs>
      <w:adjustRightInd w:val="0"/>
      <w:spacing w:line="324" w:lineRule="auto"/>
      <w:jc w:val="left"/>
      <w:textAlignment w:val="baseline"/>
    </w:pPr>
    <w:rPr>
      <w:kern w:val="0"/>
      <w:lang w:val="zh-CN"/>
    </w:rPr>
  </w:style>
  <w:style w:type="character" w:customStyle="1" w:styleId="1599">
    <w:name w:val="码头正文2 Char"/>
    <w:link w:val="1598"/>
    <w:qFormat/>
    <w:uiPriority w:val="0"/>
    <w:rPr>
      <w:rFonts w:eastAsia="宋体"/>
      <w:sz w:val="24"/>
      <w:szCs w:val="24"/>
      <w:lang w:bidi="ar-SA"/>
    </w:rPr>
  </w:style>
  <w:style w:type="paragraph" w:customStyle="1" w:styleId="1600">
    <w:name w:val="丽洁"/>
    <w:basedOn w:val="7"/>
    <w:link w:val="1601"/>
    <w:qFormat/>
    <w:uiPriority w:val="0"/>
    <w:pPr>
      <w:keepNext w:val="0"/>
      <w:keepLines w:val="0"/>
      <w:numPr>
        <w:ilvl w:val="0"/>
        <w:numId w:val="0"/>
      </w:numPr>
      <w:tabs>
        <w:tab w:val="clear" w:pos="480"/>
      </w:tabs>
      <w:autoSpaceDE/>
      <w:autoSpaceDN/>
      <w:spacing w:beforeLines="50" w:afterLines="50" w:line="360" w:lineRule="auto"/>
      <w:jc w:val="center"/>
      <w:outlineLvl w:val="9"/>
    </w:pPr>
    <w:rPr>
      <w:rFonts w:ascii="Times New Roman" w:hAnsi="Times New Roman" w:eastAsia="黑体"/>
      <w:spacing w:val="10"/>
      <w:kern w:val="0"/>
    </w:rPr>
  </w:style>
  <w:style w:type="character" w:customStyle="1" w:styleId="1601">
    <w:name w:val="丽洁 Char"/>
    <w:link w:val="1600"/>
    <w:qFormat/>
    <w:uiPriority w:val="0"/>
    <w:rPr>
      <w:rFonts w:eastAsia="黑体"/>
      <w:b/>
      <w:spacing w:val="10"/>
      <w:sz w:val="24"/>
      <w:lang w:bidi="ar-SA"/>
    </w:rPr>
  </w:style>
  <w:style w:type="character" w:customStyle="1" w:styleId="1602">
    <w:name w:val="图标题 Char"/>
    <w:qFormat/>
    <w:uiPriority w:val="0"/>
    <w:rPr>
      <w:rFonts w:ascii="Times New Roman" w:hAnsi="Times New Roman" w:eastAsia="宋体" w:cs="Times New Roman"/>
      <w:b/>
      <w:spacing w:val="10"/>
      <w:kern w:val="0"/>
      <w:sz w:val="24"/>
      <w:szCs w:val="20"/>
    </w:rPr>
  </w:style>
  <w:style w:type="paragraph" w:customStyle="1" w:styleId="1603">
    <w:name w:val="丽洁1"/>
    <w:basedOn w:val="1"/>
    <w:link w:val="1604"/>
    <w:qFormat/>
    <w:uiPriority w:val="0"/>
    <w:pPr>
      <w:tabs>
        <w:tab w:val="clear" w:pos="480"/>
      </w:tabs>
      <w:autoSpaceDE w:val="0"/>
      <w:autoSpaceDN w:val="0"/>
      <w:adjustRightInd w:val="0"/>
      <w:spacing w:beforeLines="50" w:afterLines="50"/>
      <w:jc w:val="center"/>
    </w:pPr>
    <w:rPr>
      <w:rFonts w:eastAsia="黑体"/>
      <w:b/>
      <w:kern w:val="0"/>
      <w:lang w:val="zh-CN"/>
    </w:rPr>
  </w:style>
  <w:style w:type="character" w:customStyle="1" w:styleId="1604">
    <w:name w:val="丽洁1 Char"/>
    <w:link w:val="1603"/>
    <w:qFormat/>
    <w:uiPriority w:val="0"/>
    <w:rPr>
      <w:rFonts w:eastAsia="黑体"/>
      <w:b/>
      <w:sz w:val="24"/>
      <w:szCs w:val="24"/>
      <w:lang w:bidi="ar-SA"/>
    </w:rPr>
  </w:style>
  <w:style w:type="table" w:customStyle="1" w:styleId="1605">
    <w:name w:val="网格型5"/>
    <w:basedOn w:val="88"/>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606">
    <w:name w:val="无节项 Char"/>
    <w:qFormat/>
    <w:uiPriority w:val="0"/>
    <w:rPr>
      <w:rFonts w:ascii="Arial" w:hAnsi="Arial" w:eastAsia="黑体"/>
      <w:kern w:val="2"/>
      <w:sz w:val="21"/>
      <w:szCs w:val="21"/>
    </w:rPr>
  </w:style>
  <w:style w:type="character" w:customStyle="1" w:styleId="1607">
    <w:name w:val="Char Char17"/>
    <w:qFormat/>
    <w:uiPriority w:val="0"/>
    <w:rPr>
      <w:kern w:val="2"/>
      <w:sz w:val="21"/>
      <w:szCs w:val="24"/>
      <w:shd w:val="clear" w:color="auto" w:fill="000080"/>
    </w:rPr>
  </w:style>
  <w:style w:type="character" w:customStyle="1" w:styleId="1608">
    <w:name w:val="Название объекта Знак1 Char"/>
    <w:semiHidden/>
    <w:qFormat/>
    <w:uiPriority w:val="0"/>
    <w:rPr>
      <w:rFonts w:ascii="Arial" w:hAnsi="Arial" w:eastAsia="黑体" w:cs="Times New Roman"/>
      <w:sz w:val="20"/>
      <w:szCs w:val="20"/>
    </w:rPr>
  </w:style>
  <w:style w:type="paragraph" w:customStyle="1" w:styleId="1609">
    <w:name w:val="样式 电镀正文 + 首行缩进:  2 字符"/>
    <w:basedOn w:val="1"/>
    <w:link w:val="1610"/>
    <w:qFormat/>
    <w:uiPriority w:val="0"/>
    <w:pPr>
      <w:tabs>
        <w:tab w:val="clear" w:pos="480"/>
      </w:tabs>
      <w:spacing w:line="324" w:lineRule="auto"/>
    </w:pPr>
    <w:rPr>
      <w:rFonts w:ascii="宋体" w:hAnsi="宋体"/>
      <w:kern w:val="0"/>
      <w:lang w:val="zh-CN"/>
    </w:rPr>
  </w:style>
  <w:style w:type="character" w:customStyle="1" w:styleId="1610">
    <w:name w:val="样式 电镀正文 + 首行缩进:  2 字符 Char"/>
    <w:link w:val="1609"/>
    <w:qFormat/>
    <w:uiPriority w:val="0"/>
    <w:rPr>
      <w:rFonts w:ascii="宋体" w:hAnsi="宋体" w:eastAsia="宋体"/>
      <w:sz w:val="24"/>
      <w:szCs w:val="24"/>
      <w:lang w:bidi="ar-SA"/>
    </w:rPr>
  </w:style>
  <w:style w:type="character" w:customStyle="1" w:styleId="1611">
    <w:name w:val="可研-正文首行缩进 Char"/>
    <w:qFormat/>
    <w:uiPriority w:val="0"/>
    <w:rPr>
      <w:kern w:val="2"/>
      <w:sz w:val="21"/>
      <w:szCs w:val="24"/>
    </w:rPr>
  </w:style>
  <w:style w:type="paragraph" w:customStyle="1" w:styleId="1612">
    <w:name w:val="生物质发电表"/>
    <w:basedOn w:val="1"/>
    <w:link w:val="1613"/>
    <w:qFormat/>
    <w:uiPriority w:val="0"/>
    <w:pPr>
      <w:tabs>
        <w:tab w:val="clear" w:pos="480"/>
      </w:tabs>
      <w:autoSpaceDE w:val="0"/>
      <w:autoSpaceDN w:val="0"/>
      <w:adjustRightInd w:val="0"/>
      <w:spacing w:line="0" w:lineRule="atLeast"/>
      <w:jc w:val="center"/>
      <w:textAlignment w:val="center"/>
    </w:pPr>
    <w:rPr>
      <w:rFonts w:ascii="宋体" w:hAnsi="宋体"/>
      <w:color w:val="000000"/>
      <w:kern w:val="0"/>
      <w:sz w:val="20"/>
      <w:szCs w:val="21"/>
      <w:lang w:val="zh-CN"/>
    </w:rPr>
  </w:style>
  <w:style w:type="character" w:customStyle="1" w:styleId="1613">
    <w:name w:val="生物质发电表 Char Char"/>
    <w:link w:val="1612"/>
    <w:qFormat/>
    <w:uiPriority w:val="0"/>
    <w:rPr>
      <w:rFonts w:ascii="宋体" w:hAnsi="宋体" w:eastAsia="宋体"/>
      <w:color w:val="000000"/>
      <w:szCs w:val="21"/>
      <w:lang w:bidi="ar-SA"/>
    </w:rPr>
  </w:style>
  <w:style w:type="paragraph" w:customStyle="1" w:styleId="1614">
    <w:name w:val="正文（1）"/>
    <w:basedOn w:val="20"/>
    <w:next w:val="86"/>
    <w:qFormat/>
    <w:uiPriority w:val="0"/>
    <w:pPr>
      <w:widowControl/>
      <w:tabs>
        <w:tab w:val="clear" w:pos="480"/>
      </w:tabs>
      <w:adjustRightInd w:val="0"/>
      <w:snapToGrid w:val="0"/>
      <w:spacing w:line="480" w:lineRule="exact"/>
      <w:ind w:firstLine="480"/>
    </w:pPr>
    <w:rPr>
      <w:rFonts w:cs="宋体"/>
      <w:color w:val="FF00FF"/>
      <w:kern w:val="0"/>
      <w:szCs w:val="20"/>
    </w:rPr>
  </w:style>
  <w:style w:type="paragraph" w:customStyle="1" w:styleId="1615">
    <w:name w:val="东方工业区表"/>
    <w:basedOn w:val="1"/>
    <w:qFormat/>
    <w:uiPriority w:val="0"/>
    <w:pPr>
      <w:tabs>
        <w:tab w:val="left" w:pos="0"/>
        <w:tab w:val="clear" w:pos="480"/>
      </w:tabs>
      <w:adjustRightInd w:val="0"/>
      <w:snapToGrid w:val="0"/>
      <w:spacing w:line="0" w:lineRule="atLeast"/>
      <w:jc w:val="center"/>
      <w:textAlignment w:val="baseline"/>
    </w:pPr>
    <w:rPr>
      <w:kern w:val="0"/>
      <w:sz w:val="21"/>
      <w:szCs w:val="18"/>
    </w:rPr>
  </w:style>
  <w:style w:type="paragraph" w:customStyle="1" w:styleId="1616">
    <w:name w:val="正文标准格式张"/>
    <w:basedOn w:val="1"/>
    <w:link w:val="1617"/>
    <w:qFormat/>
    <w:uiPriority w:val="0"/>
    <w:pPr>
      <w:tabs>
        <w:tab w:val="clear" w:pos="480"/>
      </w:tabs>
      <w:adjustRightInd w:val="0"/>
      <w:snapToGrid w:val="0"/>
      <w:spacing w:beforeLines="25" w:afterLines="25" w:line="312" w:lineRule="auto"/>
      <w:ind w:firstLine="480"/>
      <w:textAlignment w:val="baseline"/>
    </w:pPr>
    <w:rPr>
      <w:rFonts w:ascii="宋体" w:hAnsi="宋体"/>
      <w:kern w:val="0"/>
      <w:szCs w:val="20"/>
      <w:lang w:val="zh-CN"/>
    </w:rPr>
  </w:style>
  <w:style w:type="character" w:customStyle="1" w:styleId="1617">
    <w:name w:val="正文标准格式张 Char"/>
    <w:link w:val="1616"/>
    <w:qFormat/>
    <w:uiPriority w:val="0"/>
    <w:rPr>
      <w:rFonts w:ascii="宋体" w:hAnsi="宋体" w:eastAsia="宋体"/>
      <w:sz w:val="24"/>
      <w:lang w:bidi="ar-SA"/>
    </w:rPr>
  </w:style>
  <w:style w:type="character" w:customStyle="1" w:styleId="1618">
    <w:name w:val="标题 4 Char Char Char Char Char Char Char Char Char Char Char Char Char Char Char Char Char Char Char"/>
    <w:semiHidden/>
    <w:qFormat/>
    <w:uiPriority w:val="0"/>
    <w:rPr>
      <w:rFonts w:ascii="Arial" w:hAnsi="Arial" w:eastAsia="黑体"/>
      <w:b/>
      <w:bCs/>
      <w:snapToGrid w:val="0"/>
      <w:sz w:val="24"/>
      <w:szCs w:val="28"/>
      <w:lang w:val="en-US" w:eastAsia="zh-CN" w:bidi="ar-SA"/>
    </w:rPr>
  </w:style>
  <w:style w:type="paragraph" w:customStyle="1" w:styleId="1619">
    <w:name w:val="表格文字1"/>
    <w:basedOn w:val="1"/>
    <w:semiHidden/>
    <w:qFormat/>
    <w:uiPriority w:val="0"/>
    <w:pPr>
      <w:tabs>
        <w:tab w:val="clear" w:pos="480"/>
      </w:tabs>
      <w:autoSpaceDE w:val="0"/>
      <w:autoSpaceDN w:val="0"/>
      <w:adjustRightInd w:val="0"/>
      <w:spacing w:line="240" w:lineRule="auto"/>
      <w:jc w:val="center"/>
    </w:pPr>
    <w:rPr>
      <w:rFonts w:ascii="宋体" w:hAnsi="宋体"/>
      <w:snapToGrid w:val="0"/>
      <w:kern w:val="0"/>
      <w:sz w:val="21"/>
      <w:szCs w:val="20"/>
    </w:rPr>
  </w:style>
  <w:style w:type="paragraph" w:customStyle="1" w:styleId="1620">
    <w:name w:val="图表名称"/>
    <w:next w:val="1"/>
    <w:link w:val="1621"/>
    <w:qFormat/>
    <w:uiPriority w:val="0"/>
    <w:pPr>
      <w:spacing w:before="25" w:after="25" w:line="360" w:lineRule="auto"/>
      <w:ind w:firstLine="200" w:firstLineChars="200"/>
    </w:pPr>
    <w:rPr>
      <w:rFonts w:ascii="Times New Roman" w:hAnsi="Times New Roman" w:eastAsia="黑体" w:cs="Times New Roman"/>
      <w:b/>
      <w:bCs/>
      <w:kern w:val="2"/>
      <w:sz w:val="24"/>
      <w:szCs w:val="21"/>
      <w:lang w:val="en-US" w:eastAsia="zh-CN" w:bidi="ar-SA"/>
    </w:rPr>
  </w:style>
  <w:style w:type="character" w:customStyle="1" w:styleId="1621">
    <w:name w:val="图表名称 Char"/>
    <w:link w:val="1620"/>
    <w:qFormat/>
    <w:uiPriority w:val="0"/>
    <w:rPr>
      <w:rFonts w:eastAsia="黑体"/>
      <w:b/>
      <w:bCs/>
      <w:sz w:val="24"/>
      <w:szCs w:val="21"/>
      <w:lang w:bidi="ar-SA"/>
    </w:rPr>
  </w:style>
  <w:style w:type="paragraph" w:customStyle="1" w:styleId="1622">
    <w:name w:val="表注"/>
    <w:basedOn w:val="1"/>
    <w:link w:val="1623"/>
    <w:qFormat/>
    <w:uiPriority w:val="0"/>
    <w:pPr>
      <w:tabs>
        <w:tab w:val="clear" w:pos="480"/>
      </w:tabs>
      <w:autoSpaceDE w:val="0"/>
      <w:autoSpaceDN w:val="0"/>
      <w:adjustRightInd w:val="0"/>
      <w:spacing w:beforeLines="50" w:afterLines="50" w:line="240" w:lineRule="auto"/>
      <w:jc w:val="center"/>
    </w:pPr>
    <w:rPr>
      <w:rFonts w:ascii="Arial" w:hAnsi="Arial"/>
      <w:b/>
      <w:kern w:val="0"/>
      <w:sz w:val="20"/>
      <w:szCs w:val="21"/>
      <w:lang w:val="zh-CN"/>
    </w:rPr>
  </w:style>
  <w:style w:type="character" w:customStyle="1" w:styleId="1623">
    <w:name w:val="表注 Char"/>
    <w:link w:val="1622"/>
    <w:qFormat/>
    <w:uiPriority w:val="0"/>
    <w:rPr>
      <w:rFonts w:ascii="Arial" w:hAnsi="Arial" w:eastAsia="宋体"/>
      <w:b/>
      <w:szCs w:val="21"/>
      <w:lang w:bidi="ar-SA"/>
    </w:rPr>
  </w:style>
  <w:style w:type="paragraph" w:customStyle="1" w:styleId="1624">
    <w:name w:val="正文首行缩进0.85"/>
    <w:basedOn w:val="1"/>
    <w:link w:val="1625"/>
    <w:qFormat/>
    <w:uiPriority w:val="0"/>
    <w:pPr>
      <w:widowControl/>
      <w:tabs>
        <w:tab w:val="left" w:pos="900"/>
        <w:tab w:val="clear" w:pos="480"/>
      </w:tabs>
      <w:ind w:firstLine="480"/>
      <w:jc w:val="left"/>
    </w:pPr>
    <w:rPr>
      <w:color w:val="000000"/>
      <w:kern w:val="0"/>
      <w:lang w:val="zh-CN"/>
    </w:rPr>
  </w:style>
  <w:style w:type="character" w:customStyle="1" w:styleId="1625">
    <w:name w:val="正文首行缩进0.85 Char"/>
    <w:link w:val="1624"/>
    <w:qFormat/>
    <w:uiPriority w:val="0"/>
    <w:rPr>
      <w:rFonts w:eastAsia="宋体"/>
      <w:color w:val="000000"/>
      <w:sz w:val="24"/>
      <w:szCs w:val="24"/>
      <w:lang w:val="zh-CN" w:bidi="ar-SA"/>
    </w:rPr>
  </w:style>
  <w:style w:type="paragraph" w:customStyle="1" w:styleId="1626">
    <w:name w:val="正文＋黑体"/>
    <w:basedOn w:val="1"/>
    <w:link w:val="1627"/>
    <w:qFormat/>
    <w:uiPriority w:val="0"/>
    <w:pPr>
      <w:tabs>
        <w:tab w:val="clear" w:pos="480"/>
      </w:tabs>
      <w:spacing w:beforeLines="50" w:afterLines="50" w:line="240" w:lineRule="auto"/>
      <w:ind w:firstLine="480"/>
      <w:jc w:val="left"/>
    </w:pPr>
    <w:rPr>
      <w:rFonts w:ascii="Arial" w:hAnsi="Arial" w:eastAsia="黑体"/>
      <w:kern w:val="0"/>
      <w:lang w:val="zh-CN"/>
    </w:rPr>
  </w:style>
  <w:style w:type="character" w:customStyle="1" w:styleId="1627">
    <w:name w:val="正文＋黑体 Char"/>
    <w:link w:val="1626"/>
    <w:qFormat/>
    <w:uiPriority w:val="0"/>
    <w:rPr>
      <w:rFonts w:ascii="Arial" w:hAnsi="Arial" w:eastAsia="黑体"/>
      <w:sz w:val="24"/>
      <w:szCs w:val="24"/>
      <w:lang w:bidi="ar-SA"/>
    </w:rPr>
  </w:style>
  <w:style w:type="paragraph" w:customStyle="1" w:styleId="1628">
    <w:name w:val="表后段落"/>
    <w:basedOn w:val="1"/>
    <w:next w:val="1"/>
    <w:link w:val="1629"/>
    <w:semiHidden/>
    <w:qFormat/>
    <w:uiPriority w:val="0"/>
    <w:pPr>
      <w:tabs>
        <w:tab w:val="clear" w:pos="480"/>
      </w:tabs>
      <w:spacing w:before="240"/>
      <w:jc w:val="left"/>
    </w:pPr>
    <w:rPr>
      <w:rFonts w:ascii="Arial" w:hAnsi="Arial"/>
      <w:kern w:val="0"/>
      <w:lang w:val="zh-CN"/>
    </w:rPr>
  </w:style>
  <w:style w:type="character" w:customStyle="1" w:styleId="1629">
    <w:name w:val="表后段落 Char"/>
    <w:link w:val="1628"/>
    <w:qFormat/>
    <w:uiPriority w:val="0"/>
    <w:rPr>
      <w:rFonts w:ascii="Arial" w:hAnsi="Arial" w:eastAsia="宋体"/>
      <w:sz w:val="24"/>
      <w:szCs w:val="24"/>
      <w:lang w:bidi="ar-SA"/>
    </w:rPr>
  </w:style>
  <w:style w:type="paragraph" w:customStyle="1" w:styleId="1630">
    <w:name w:val="样式正文"/>
    <w:basedOn w:val="1"/>
    <w:link w:val="1631"/>
    <w:qFormat/>
    <w:uiPriority w:val="0"/>
    <w:pPr>
      <w:tabs>
        <w:tab w:val="clear" w:pos="480"/>
      </w:tabs>
      <w:spacing w:line="300" w:lineRule="auto"/>
    </w:pPr>
    <w:rPr>
      <w:kern w:val="0"/>
      <w:lang w:val="zh-CN"/>
    </w:rPr>
  </w:style>
  <w:style w:type="character" w:customStyle="1" w:styleId="1631">
    <w:name w:val="样式正文 Char"/>
    <w:link w:val="1630"/>
    <w:qFormat/>
    <w:uiPriority w:val="0"/>
    <w:rPr>
      <w:rFonts w:eastAsia="宋体"/>
      <w:sz w:val="24"/>
      <w:szCs w:val="24"/>
      <w:lang w:bidi="ar-SA"/>
    </w:rPr>
  </w:style>
  <w:style w:type="paragraph" w:customStyle="1" w:styleId="1632">
    <w:name w:val="段落1 Char"/>
    <w:basedOn w:val="1"/>
    <w:link w:val="1633"/>
    <w:qFormat/>
    <w:uiPriority w:val="0"/>
    <w:pPr>
      <w:tabs>
        <w:tab w:val="clear" w:pos="480"/>
      </w:tabs>
      <w:adjustRightInd w:val="0"/>
      <w:spacing w:line="440" w:lineRule="exact"/>
    </w:pPr>
    <w:rPr>
      <w:spacing w:val="8"/>
      <w:kern w:val="0"/>
      <w:szCs w:val="20"/>
      <w:lang w:val="zh-CN"/>
    </w:rPr>
  </w:style>
  <w:style w:type="character" w:customStyle="1" w:styleId="1633">
    <w:name w:val="段落1 Char Char1"/>
    <w:link w:val="1632"/>
    <w:qFormat/>
    <w:uiPriority w:val="0"/>
    <w:rPr>
      <w:rFonts w:eastAsia="宋体"/>
      <w:spacing w:val="8"/>
      <w:sz w:val="24"/>
      <w:lang w:bidi="ar-SA"/>
    </w:rPr>
  </w:style>
  <w:style w:type="paragraph" w:customStyle="1" w:styleId="1634">
    <w:name w:val="表表题"/>
    <w:basedOn w:val="1"/>
    <w:link w:val="1635"/>
    <w:semiHidden/>
    <w:qFormat/>
    <w:uiPriority w:val="0"/>
    <w:pPr>
      <w:tabs>
        <w:tab w:val="clear" w:pos="480"/>
      </w:tabs>
      <w:spacing w:before="120" w:line="240" w:lineRule="auto"/>
      <w:jc w:val="center"/>
    </w:pPr>
    <w:rPr>
      <w:rFonts w:ascii="Arial" w:hAnsi="Arial"/>
      <w:kern w:val="0"/>
      <w:sz w:val="20"/>
      <w:lang w:val="zh-CN"/>
    </w:rPr>
  </w:style>
  <w:style w:type="character" w:customStyle="1" w:styleId="1635">
    <w:name w:val="表表题 Char"/>
    <w:link w:val="1634"/>
    <w:qFormat/>
    <w:uiPriority w:val="0"/>
    <w:rPr>
      <w:rFonts w:ascii="Arial" w:hAnsi="Arial" w:eastAsia="宋体"/>
      <w:szCs w:val="24"/>
      <w:lang w:bidi="ar-SA"/>
    </w:rPr>
  </w:style>
  <w:style w:type="character" w:customStyle="1" w:styleId="1636">
    <w:name w:val="题注 Char1 Char"/>
    <w:qFormat/>
    <w:uiPriority w:val="0"/>
    <w:rPr>
      <w:rFonts w:ascii="Arial" w:hAnsi="Arial" w:eastAsia="黑体" w:cs="Arial"/>
      <w:kern w:val="2"/>
      <w:lang w:val="en-US" w:eastAsia="zh-CN" w:bidi="ar-SA"/>
    </w:rPr>
  </w:style>
  <w:style w:type="paragraph" w:customStyle="1" w:styleId="1637">
    <w:name w:val="Char Char Char Char Char Char Char Char Char2"/>
    <w:basedOn w:val="1"/>
    <w:semiHidden/>
    <w:qFormat/>
    <w:uiPriority w:val="0"/>
    <w:pPr>
      <w:tabs>
        <w:tab w:val="clear" w:pos="480"/>
      </w:tabs>
      <w:spacing w:line="240" w:lineRule="auto"/>
    </w:pPr>
  </w:style>
  <w:style w:type="paragraph" w:customStyle="1" w:styleId="1638">
    <w:name w:val="二级标题 Char Char Char"/>
    <w:basedOn w:val="1"/>
    <w:next w:val="1"/>
    <w:qFormat/>
    <w:uiPriority w:val="0"/>
    <w:pPr>
      <w:tabs>
        <w:tab w:val="clear" w:pos="480"/>
      </w:tabs>
      <w:spacing w:line="529" w:lineRule="exact"/>
      <w:ind w:firstLine="480"/>
    </w:pPr>
    <w:rPr>
      <w:rFonts w:ascii="宋体" w:hAnsi="宋体" w:cs="宋体"/>
    </w:rPr>
  </w:style>
  <w:style w:type="paragraph" w:customStyle="1" w:styleId="1639">
    <w:name w:val="CM38"/>
    <w:basedOn w:val="151"/>
    <w:next w:val="151"/>
    <w:semiHidden/>
    <w:qFormat/>
    <w:uiPriority w:val="0"/>
    <w:pPr>
      <w:spacing w:after="130" w:line="360" w:lineRule="auto"/>
      <w:ind w:firstLine="200" w:firstLineChars="200"/>
      <w:jc w:val="both"/>
    </w:pPr>
    <w:rPr>
      <w:rFonts w:ascii="宋体" w:eastAsia="宋体" w:cs="Times New Roman"/>
      <w:color w:val="auto"/>
    </w:rPr>
  </w:style>
  <w:style w:type="paragraph" w:customStyle="1" w:styleId="1640">
    <w:name w:val="表尾注"/>
    <w:basedOn w:val="1"/>
    <w:next w:val="1"/>
    <w:qFormat/>
    <w:uiPriority w:val="0"/>
    <w:pPr>
      <w:tabs>
        <w:tab w:val="clear" w:pos="480"/>
      </w:tabs>
      <w:autoSpaceDE w:val="0"/>
      <w:autoSpaceDN w:val="0"/>
      <w:adjustRightInd w:val="0"/>
      <w:spacing w:after="240" w:line="240" w:lineRule="auto"/>
      <w:jc w:val="left"/>
    </w:pPr>
    <w:rPr>
      <w:rFonts w:ascii="Arial" w:hAnsi="Arial" w:cs="宋体"/>
      <w:kern w:val="0"/>
      <w:sz w:val="18"/>
      <w:szCs w:val="21"/>
    </w:rPr>
  </w:style>
  <w:style w:type="paragraph" w:customStyle="1" w:styleId="1641">
    <w:name w:val="样式 标题 3标题 3 Char Char标题 3 Char1H3Heading 3 - old标题 3 Char C..."/>
    <w:basedOn w:val="4"/>
    <w:qFormat/>
    <w:uiPriority w:val="0"/>
    <w:pPr>
      <w:numPr>
        <w:numId w:val="0"/>
      </w:numPr>
      <w:tabs>
        <w:tab w:val="clear" w:pos="480"/>
        <w:tab w:val="clear" w:pos="840"/>
      </w:tabs>
      <w:spacing w:before="240" w:after="0" w:line="360" w:lineRule="auto"/>
      <w:ind w:left="1476" w:hanging="1476"/>
    </w:pPr>
    <w:rPr>
      <w:rFonts w:ascii="Arial" w:hAnsi="Arial" w:eastAsia="楷体_GB2312" w:cs="宋体"/>
      <w:szCs w:val="20"/>
    </w:rPr>
  </w:style>
  <w:style w:type="paragraph" w:customStyle="1" w:styleId="1642">
    <w:name w:val="样式 (符号) 宋体 行距: 最小值 12 磅"/>
    <w:basedOn w:val="1"/>
    <w:qFormat/>
    <w:uiPriority w:val="0"/>
    <w:pPr>
      <w:tabs>
        <w:tab w:val="clear" w:pos="480"/>
      </w:tabs>
    </w:pPr>
    <w:rPr>
      <w:rFonts w:hAnsi="宋体" w:cs="宋体"/>
      <w:szCs w:val="20"/>
    </w:rPr>
  </w:style>
  <w:style w:type="character" w:customStyle="1" w:styleId="1643">
    <w:name w:val="h31"/>
    <w:semiHidden/>
    <w:qFormat/>
    <w:uiPriority w:val="0"/>
    <w:rPr>
      <w:spacing w:val="440"/>
      <w:sz w:val="28"/>
      <w:szCs w:val="28"/>
    </w:rPr>
  </w:style>
  <w:style w:type="paragraph" w:customStyle="1" w:styleId="1644">
    <w:name w:val="样式 标题 1 + 首行缩进:  0 厘米"/>
    <w:basedOn w:val="2"/>
    <w:qFormat/>
    <w:uiPriority w:val="0"/>
    <w:pPr>
      <w:numPr>
        <w:numId w:val="0"/>
      </w:numPr>
      <w:tabs>
        <w:tab w:val="clear" w:pos="480"/>
      </w:tabs>
      <w:spacing w:beforeLines="50" w:afterLines="50" w:line="576" w:lineRule="auto"/>
    </w:pPr>
    <w:rPr>
      <w:rFonts w:hint="eastAsia" w:ascii="Times New Roman" w:eastAsia="宋体"/>
      <w:bCs w:val="0"/>
      <w:sz w:val="32"/>
      <w:szCs w:val="20"/>
    </w:rPr>
  </w:style>
  <w:style w:type="paragraph" w:customStyle="1" w:styleId="1645">
    <w:name w:val="样式 正文文本缩进 2正文文字缩进 2 + 四号 蓝色"/>
    <w:basedOn w:val="51"/>
    <w:qFormat/>
    <w:uiPriority w:val="0"/>
    <w:pPr>
      <w:spacing w:line="480" w:lineRule="exact"/>
      <w:ind w:left="0" w:firstLine="709" w:firstLineChars="0"/>
    </w:pPr>
    <w:rPr>
      <w:rFonts w:hint="eastAsia"/>
      <w:color w:val="0000FF"/>
      <w:spacing w:val="0"/>
      <w:kern w:val="2"/>
      <w:sz w:val="24"/>
      <w:szCs w:val="20"/>
    </w:rPr>
  </w:style>
  <w:style w:type="paragraph" w:customStyle="1" w:styleId="1646">
    <w:name w:val="表格用字 Char1"/>
    <w:basedOn w:val="76"/>
    <w:semiHidden/>
    <w:qFormat/>
    <w:uiPriority w:val="0"/>
    <w:pPr>
      <w:spacing w:line="0" w:lineRule="atLeast"/>
      <w:jc w:val="both"/>
    </w:pPr>
    <w:rPr>
      <w:rFonts w:hint="eastAsia" w:eastAsia="仿宋_GB2312"/>
      <w:color w:val="auto"/>
      <w:sz w:val="21"/>
    </w:rPr>
  </w:style>
  <w:style w:type="paragraph" w:customStyle="1" w:styleId="1647">
    <w:name w:val="普通(网站)1"/>
    <w:basedOn w:val="1"/>
    <w:qFormat/>
    <w:uiPriority w:val="0"/>
    <w:pPr>
      <w:widowControl/>
      <w:tabs>
        <w:tab w:val="clear" w:pos="480"/>
      </w:tabs>
      <w:spacing w:before="100" w:beforeAutospacing="1" w:after="100" w:afterAutospacing="1" w:line="240" w:lineRule="auto"/>
      <w:jc w:val="left"/>
    </w:pPr>
    <w:rPr>
      <w:rFonts w:hint="eastAsia" w:hAnsi="宋体"/>
      <w:sz w:val="21"/>
      <w:szCs w:val="20"/>
    </w:rPr>
  </w:style>
  <w:style w:type="paragraph" w:customStyle="1" w:styleId="1648">
    <w:name w:val="说明-标题2"/>
    <w:basedOn w:val="3"/>
    <w:qFormat/>
    <w:uiPriority w:val="0"/>
    <w:pPr>
      <w:pageBreakBefore/>
      <w:numPr>
        <w:ilvl w:val="0"/>
        <w:numId w:val="0"/>
      </w:numPr>
      <w:tabs>
        <w:tab w:val="clear" w:pos="480"/>
        <w:tab w:val="clear" w:pos="630"/>
      </w:tabs>
      <w:spacing w:before="156" w:after="156" w:line="416" w:lineRule="atLeast"/>
    </w:pPr>
    <w:rPr>
      <w:rFonts w:hint="eastAsia" w:ascii="Arial" w:hAnsi="Arial" w:eastAsia="黑体"/>
      <w:b w:val="0"/>
      <w:bCs w:val="0"/>
      <w:sz w:val="36"/>
      <w:szCs w:val="20"/>
    </w:rPr>
  </w:style>
  <w:style w:type="paragraph" w:customStyle="1" w:styleId="1649">
    <w:name w:val="说明-表格-注"/>
    <w:basedOn w:val="1"/>
    <w:qFormat/>
    <w:uiPriority w:val="0"/>
    <w:pPr>
      <w:tabs>
        <w:tab w:val="clear" w:pos="480"/>
      </w:tabs>
      <w:spacing w:line="0" w:lineRule="atLeast"/>
      <w:ind w:left="454" w:leftChars="189" w:right="374" w:firstLine="13" w:firstLineChars="7"/>
    </w:pPr>
    <w:rPr>
      <w:rFonts w:hint="eastAsia" w:hAnsi="宋体"/>
      <w:sz w:val="18"/>
      <w:szCs w:val="20"/>
    </w:rPr>
  </w:style>
  <w:style w:type="paragraph" w:customStyle="1" w:styleId="1650">
    <w:name w:val="样式 标题 1 + 加粗 首行缩进:  0 厘米"/>
    <w:basedOn w:val="2"/>
    <w:qFormat/>
    <w:uiPriority w:val="0"/>
    <w:pPr>
      <w:widowControl/>
      <w:numPr>
        <w:numId w:val="0"/>
      </w:numPr>
      <w:tabs>
        <w:tab w:val="clear" w:pos="480"/>
      </w:tabs>
      <w:spacing w:beforeLines="50" w:afterLines="50" w:line="480" w:lineRule="atLeast"/>
    </w:pPr>
    <w:rPr>
      <w:rFonts w:hint="eastAsia" w:ascii="Times New Roman" w:eastAsia="宋体"/>
      <w:bCs w:val="0"/>
      <w:sz w:val="32"/>
      <w:szCs w:val="20"/>
    </w:rPr>
  </w:style>
  <w:style w:type="paragraph" w:customStyle="1" w:styleId="1651">
    <w:name w:val="说明-标题4"/>
    <w:basedOn w:val="5"/>
    <w:qFormat/>
    <w:uiPriority w:val="0"/>
    <w:pPr>
      <w:numPr>
        <w:ilvl w:val="0"/>
        <w:numId w:val="0"/>
      </w:numPr>
      <w:tabs>
        <w:tab w:val="clear" w:pos="480"/>
      </w:tabs>
      <w:spacing w:afterLines="50" w:line="376" w:lineRule="atLeast"/>
      <w:ind w:left="240" w:leftChars="100"/>
    </w:pPr>
    <w:rPr>
      <w:rFonts w:hint="eastAsia" w:ascii="Arial" w:hAnsi="Arial" w:eastAsia="宋体"/>
      <w:b w:val="0"/>
      <w:bCs w:val="0"/>
      <w:kern w:val="0"/>
      <w:sz w:val="21"/>
      <w:szCs w:val="20"/>
    </w:rPr>
  </w:style>
  <w:style w:type="paragraph" w:customStyle="1" w:styleId="1652">
    <w:name w:val="表格用字 Char Char"/>
    <w:basedOn w:val="76"/>
    <w:semiHidden/>
    <w:qFormat/>
    <w:uiPriority w:val="0"/>
    <w:pPr>
      <w:spacing w:line="0" w:lineRule="atLeast"/>
      <w:jc w:val="both"/>
    </w:pPr>
    <w:rPr>
      <w:rFonts w:hint="eastAsia" w:eastAsia="仿宋_GB2312"/>
      <w:color w:val="auto"/>
      <w:sz w:val="21"/>
    </w:rPr>
  </w:style>
  <w:style w:type="paragraph" w:customStyle="1" w:styleId="1653">
    <w:name w:val="样式 样式 标题 2 + 左侧:  2 字符 + 首行缩进:  2 字符1"/>
    <w:basedOn w:val="1"/>
    <w:qFormat/>
    <w:uiPriority w:val="0"/>
    <w:pPr>
      <w:keepNext/>
      <w:keepLines/>
      <w:tabs>
        <w:tab w:val="clear" w:pos="480"/>
      </w:tabs>
      <w:spacing w:before="260" w:after="260" w:line="416" w:lineRule="atLeast"/>
      <w:ind w:firstLine="640"/>
      <w:jc w:val="left"/>
    </w:pPr>
    <w:rPr>
      <w:rFonts w:hint="eastAsia" w:ascii="Arial" w:hAnsi="Arial" w:eastAsia="黑体"/>
      <w:b/>
      <w:sz w:val="28"/>
      <w:szCs w:val="20"/>
    </w:rPr>
  </w:style>
  <w:style w:type="paragraph" w:customStyle="1" w:styleId="1654">
    <w:name w:val="样式 标题 3标题 3 Char标题 3 Char Char Char Char Char标题 3 Char Char C..."/>
    <w:basedOn w:val="4"/>
    <w:qFormat/>
    <w:uiPriority w:val="0"/>
    <w:pPr>
      <w:numPr>
        <w:ilvl w:val="0"/>
        <w:numId w:val="0"/>
      </w:numPr>
      <w:tabs>
        <w:tab w:val="left" w:pos="636"/>
        <w:tab w:val="clear" w:pos="480"/>
        <w:tab w:val="clear" w:pos="840"/>
      </w:tabs>
      <w:spacing w:before="260" w:line="480" w:lineRule="exact"/>
    </w:pPr>
    <w:rPr>
      <w:rFonts w:hint="eastAsia" w:ascii="Times New Roman" w:hAnsi="宋体" w:eastAsia="宋体"/>
      <w:bCs w:val="0"/>
      <w:color w:val="000000"/>
      <w:sz w:val="24"/>
      <w:szCs w:val="20"/>
    </w:rPr>
  </w:style>
  <w:style w:type="paragraph" w:customStyle="1" w:styleId="1655">
    <w:name w:val="main"/>
    <w:basedOn w:val="1"/>
    <w:semiHidden/>
    <w:qFormat/>
    <w:uiPriority w:val="0"/>
    <w:pPr>
      <w:widowControl/>
      <w:tabs>
        <w:tab w:val="clear" w:pos="480"/>
      </w:tabs>
      <w:spacing w:before="100" w:beforeAutospacing="1" w:after="100" w:afterAutospacing="1" w:line="240" w:lineRule="auto"/>
      <w:ind w:firstLine="400"/>
      <w:jc w:val="left"/>
    </w:pPr>
    <w:rPr>
      <w:rFonts w:hint="eastAsia" w:eastAsia="Arial Unicode MS"/>
      <w:sz w:val="18"/>
      <w:szCs w:val="20"/>
    </w:rPr>
  </w:style>
  <w:style w:type="paragraph" w:customStyle="1" w:styleId="1656">
    <w:name w:val="说明-正文-公式"/>
    <w:basedOn w:val="1657"/>
    <w:qFormat/>
    <w:uiPriority w:val="0"/>
    <w:pPr>
      <w:ind w:firstLine="200" w:firstLineChars="0"/>
    </w:pPr>
  </w:style>
  <w:style w:type="paragraph" w:customStyle="1" w:styleId="1657">
    <w:name w:val="说明-正文"/>
    <w:basedOn w:val="1"/>
    <w:qFormat/>
    <w:uiPriority w:val="0"/>
    <w:pPr>
      <w:tabs>
        <w:tab w:val="clear" w:pos="480"/>
      </w:tabs>
      <w:ind w:firstLine="480"/>
    </w:pPr>
    <w:rPr>
      <w:rFonts w:hint="eastAsia"/>
      <w:sz w:val="21"/>
      <w:szCs w:val="20"/>
    </w:rPr>
  </w:style>
  <w:style w:type="paragraph" w:customStyle="1" w:styleId="1658">
    <w:name w:val="条-成果 Char"/>
    <w:basedOn w:val="4"/>
    <w:qFormat/>
    <w:uiPriority w:val="0"/>
    <w:pPr>
      <w:keepNext w:val="0"/>
      <w:keepLines w:val="0"/>
      <w:numPr>
        <w:ilvl w:val="0"/>
        <w:numId w:val="0"/>
      </w:numPr>
      <w:tabs>
        <w:tab w:val="left" w:pos="1440"/>
        <w:tab w:val="clear" w:pos="480"/>
        <w:tab w:val="clear" w:pos="840"/>
      </w:tabs>
      <w:spacing w:before="156" w:after="156" w:line="400" w:lineRule="exact"/>
      <w:ind w:left="1440" w:hanging="720"/>
      <w:outlineLvl w:val="9"/>
    </w:pPr>
    <w:rPr>
      <w:rFonts w:hint="eastAsia" w:ascii="Times New Roman" w:hAnsi="宋体" w:eastAsia="宋体"/>
      <w:b w:val="0"/>
      <w:bCs w:val="0"/>
      <w:sz w:val="24"/>
      <w:szCs w:val="20"/>
    </w:rPr>
  </w:style>
  <w:style w:type="paragraph" w:customStyle="1" w:styleId="1659">
    <w:name w:val="样式 标题 1 + 浅蓝 首行缩进:  0 厘米"/>
    <w:basedOn w:val="2"/>
    <w:qFormat/>
    <w:uiPriority w:val="0"/>
    <w:pPr>
      <w:numPr>
        <w:numId w:val="0"/>
      </w:numPr>
      <w:tabs>
        <w:tab w:val="clear" w:pos="480"/>
      </w:tabs>
      <w:spacing w:beforeLines="50" w:afterLines="50" w:line="576" w:lineRule="auto"/>
    </w:pPr>
    <w:rPr>
      <w:rFonts w:hint="eastAsia" w:ascii="Times New Roman" w:eastAsia="宋体"/>
      <w:bCs w:val="0"/>
      <w:sz w:val="32"/>
      <w:szCs w:val="20"/>
    </w:rPr>
  </w:style>
  <w:style w:type="paragraph" w:customStyle="1" w:styleId="1660">
    <w:name w:val="表格用字 +  六号"/>
    <w:basedOn w:val="1"/>
    <w:semiHidden/>
    <w:qFormat/>
    <w:uiPriority w:val="0"/>
    <w:pPr>
      <w:tabs>
        <w:tab w:val="clear" w:pos="480"/>
      </w:tabs>
      <w:spacing w:line="0" w:lineRule="atLeast"/>
    </w:pPr>
    <w:rPr>
      <w:rFonts w:hint="eastAsia" w:eastAsia="仿宋_GB2312"/>
      <w:sz w:val="15"/>
      <w:szCs w:val="20"/>
    </w:rPr>
  </w:style>
  <w:style w:type="paragraph" w:customStyle="1" w:styleId="1661">
    <w:name w:val="表格内正文"/>
    <w:semiHidden/>
    <w:qFormat/>
    <w:uiPriority w:val="0"/>
    <w:pPr>
      <w:widowControl w:val="0"/>
      <w:spacing w:line="360" w:lineRule="exact"/>
      <w:ind w:firstLine="420" w:firstLineChars="200"/>
      <w:jc w:val="both"/>
    </w:pPr>
    <w:rPr>
      <w:rFonts w:hint="eastAsia" w:ascii="Times New Roman" w:hAnsi="Times New Roman" w:eastAsia="宋体" w:cs="Times New Roman"/>
      <w:kern w:val="2"/>
      <w:sz w:val="21"/>
      <w:szCs w:val="24"/>
      <w:lang w:val="en-US" w:eastAsia="zh-CN" w:bidi="ar-SA"/>
    </w:rPr>
  </w:style>
  <w:style w:type="paragraph" w:customStyle="1" w:styleId="1662">
    <w:name w:val="样式 节 + 段前: 0.5 行 段后: 0.5 行"/>
    <w:basedOn w:val="3"/>
    <w:qFormat/>
    <w:uiPriority w:val="0"/>
    <w:pPr>
      <w:numPr>
        <w:ilvl w:val="0"/>
        <w:numId w:val="0"/>
      </w:numPr>
      <w:tabs>
        <w:tab w:val="left" w:pos="840"/>
        <w:tab w:val="clear" w:pos="480"/>
        <w:tab w:val="clear" w:pos="630"/>
      </w:tabs>
      <w:spacing w:before="360" w:after="156" w:line="240" w:lineRule="auto"/>
      <w:ind w:left="839" w:hanging="839"/>
      <w:outlineLvl w:val="2"/>
    </w:pPr>
    <w:rPr>
      <w:rFonts w:hint="eastAsia" w:hAnsi="宋体"/>
      <w:b w:val="0"/>
      <w:bCs w:val="0"/>
      <w:sz w:val="28"/>
      <w:szCs w:val="20"/>
    </w:rPr>
  </w:style>
  <w:style w:type="paragraph" w:customStyle="1" w:styleId="1663">
    <w:name w:val="样式 标题 2 + 浅蓝 段前: 1 行"/>
    <w:basedOn w:val="3"/>
    <w:qFormat/>
    <w:uiPriority w:val="0"/>
    <w:pPr>
      <w:numPr>
        <w:ilvl w:val="0"/>
        <w:numId w:val="0"/>
      </w:numPr>
      <w:tabs>
        <w:tab w:val="clear" w:pos="480"/>
        <w:tab w:val="clear" w:pos="630"/>
      </w:tabs>
      <w:spacing w:before="320" w:after="160"/>
      <w:ind w:firstLine="567"/>
    </w:pPr>
    <w:rPr>
      <w:rFonts w:hint="eastAsia" w:ascii="Arial" w:hAnsi="Arial" w:eastAsia="黑体"/>
      <w:b w:val="0"/>
      <w:bCs w:val="0"/>
      <w:sz w:val="28"/>
      <w:szCs w:val="20"/>
    </w:rPr>
  </w:style>
  <w:style w:type="paragraph" w:customStyle="1" w:styleId="1664">
    <w:name w:val="说明-标题3"/>
    <w:basedOn w:val="4"/>
    <w:qFormat/>
    <w:uiPriority w:val="0"/>
    <w:pPr>
      <w:numPr>
        <w:ilvl w:val="0"/>
        <w:numId w:val="0"/>
      </w:numPr>
      <w:tabs>
        <w:tab w:val="clear" w:pos="480"/>
        <w:tab w:val="clear" w:pos="840"/>
      </w:tabs>
      <w:spacing w:before="312" w:after="156" w:line="416" w:lineRule="atLeast"/>
    </w:pPr>
    <w:rPr>
      <w:rFonts w:hint="eastAsia" w:ascii="Times New Roman" w:eastAsia="黑体"/>
      <w:b w:val="0"/>
      <w:bCs w:val="0"/>
      <w:szCs w:val="20"/>
    </w:rPr>
  </w:style>
  <w:style w:type="paragraph" w:customStyle="1" w:styleId="1665">
    <w:name w:val="样式 首行缩进:  2 字符 行距: 固定值 26 磅"/>
    <w:basedOn w:val="1"/>
    <w:qFormat/>
    <w:uiPriority w:val="0"/>
    <w:pPr>
      <w:tabs>
        <w:tab w:val="clear" w:pos="480"/>
      </w:tabs>
      <w:spacing w:line="480" w:lineRule="exact"/>
    </w:pPr>
    <w:rPr>
      <w:rFonts w:hint="eastAsia"/>
      <w:sz w:val="21"/>
      <w:szCs w:val="20"/>
    </w:rPr>
  </w:style>
  <w:style w:type="paragraph" w:customStyle="1" w:styleId="1666">
    <w:name w:val="说明-表格用字"/>
    <w:basedOn w:val="1"/>
    <w:qFormat/>
    <w:uiPriority w:val="0"/>
    <w:pPr>
      <w:tabs>
        <w:tab w:val="clear" w:pos="480"/>
      </w:tabs>
      <w:spacing w:line="240" w:lineRule="auto"/>
      <w:jc w:val="center"/>
    </w:pPr>
    <w:rPr>
      <w:rFonts w:hint="eastAsia" w:hAnsi="宋体"/>
      <w:sz w:val="21"/>
      <w:szCs w:val="20"/>
    </w:rPr>
  </w:style>
  <w:style w:type="paragraph" w:customStyle="1" w:styleId="1667">
    <w:name w:val="表格用字"/>
    <w:basedOn w:val="76"/>
    <w:semiHidden/>
    <w:qFormat/>
    <w:uiPriority w:val="0"/>
    <w:pPr>
      <w:spacing w:before="156" w:line="0" w:lineRule="atLeast"/>
      <w:jc w:val="both"/>
    </w:pPr>
    <w:rPr>
      <w:rFonts w:hint="eastAsia" w:eastAsia="仿宋_GB2312"/>
      <w:color w:val="auto"/>
      <w:sz w:val="21"/>
    </w:rPr>
  </w:style>
  <w:style w:type="paragraph" w:customStyle="1" w:styleId="1668">
    <w:name w:val="样式 小五 居中 首行缩进:  2 字符"/>
    <w:basedOn w:val="1"/>
    <w:qFormat/>
    <w:uiPriority w:val="0"/>
    <w:pPr>
      <w:tabs>
        <w:tab w:val="clear" w:pos="480"/>
      </w:tabs>
      <w:spacing w:line="240" w:lineRule="auto"/>
      <w:jc w:val="center"/>
    </w:pPr>
    <w:rPr>
      <w:rFonts w:hint="eastAsia"/>
      <w:sz w:val="18"/>
      <w:szCs w:val="20"/>
    </w:rPr>
  </w:style>
  <w:style w:type="paragraph" w:customStyle="1" w:styleId="1669">
    <w:name w:val="样式 样式 标题 2 + 加粗 段前: 1 行 + 四号 首行缩进:  0 厘米"/>
    <w:basedOn w:val="1"/>
    <w:qFormat/>
    <w:uiPriority w:val="0"/>
    <w:pPr>
      <w:keepNext/>
      <w:keepLines/>
      <w:tabs>
        <w:tab w:val="clear" w:pos="480"/>
      </w:tabs>
      <w:spacing w:before="320" w:after="200" w:line="240" w:lineRule="auto"/>
      <w:ind w:firstLine="567"/>
      <w:jc w:val="left"/>
    </w:pPr>
    <w:rPr>
      <w:rFonts w:hint="eastAsia"/>
      <w:b/>
      <w:sz w:val="28"/>
      <w:szCs w:val="20"/>
    </w:rPr>
  </w:style>
  <w:style w:type="paragraph" w:customStyle="1" w:styleId="1670">
    <w:name w:val="样式 标题 3 + 首行缩进:  0 厘米"/>
    <w:basedOn w:val="4"/>
    <w:qFormat/>
    <w:uiPriority w:val="0"/>
    <w:pPr>
      <w:numPr>
        <w:ilvl w:val="0"/>
        <w:numId w:val="0"/>
      </w:numPr>
      <w:tabs>
        <w:tab w:val="clear" w:pos="480"/>
        <w:tab w:val="clear" w:pos="840"/>
      </w:tabs>
      <w:spacing w:before="260" w:line="413" w:lineRule="auto"/>
    </w:pPr>
    <w:rPr>
      <w:rFonts w:hint="eastAsia" w:ascii="Times New Roman" w:eastAsia="宋体"/>
      <w:bCs w:val="0"/>
      <w:sz w:val="24"/>
      <w:szCs w:val="20"/>
    </w:rPr>
  </w:style>
  <w:style w:type="paragraph" w:customStyle="1" w:styleId="1671">
    <w:name w:val="样式 样式7 + 小四"/>
    <w:basedOn w:val="1"/>
    <w:qFormat/>
    <w:uiPriority w:val="0"/>
    <w:pPr>
      <w:keepNext/>
      <w:keepLines/>
      <w:tabs>
        <w:tab w:val="left" w:pos="560"/>
        <w:tab w:val="clear" w:pos="480"/>
      </w:tabs>
      <w:snapToGrid w:val="0"/>
      <w:spacing w:before="260" w:after="260" w:line="480" w:lineRule="exact"/>
      <w:outlineLvl w:val="2"/>
    </w:pPr>
    <w:rPr>
      <w:rFonts w:hint="eastAsia" w:hAnsi="宋体"/>
      <w:b/>
      <w:color w:val="000000"/>
      <w:szCs w:val="20"/>
    </w:rPr>
  </w:style>
  <w:style w:type="paragraph" w:customStyle="1" w:styleId="1672">
    <w:name w:val="样式 标题 2 + 段前: 1 行"/>
    <w:basedOn w:val="3"/>
    <w:qFormat/>
    <w:uiPriority w:val="0"/>
    <w:pPr>
      <w:numPr>
        <w:ilvl w:val="0"/>
        <w:numId w:val="0"/>
      </w:numPr>
      <w:tabs>
        <w:tab w:val="clear" w:pos="480"/>
        <w:tab w:val="clear" w:pos="630"/>
      </w:tabs>
      <w:spacing w:before="320" w:after="160"/>
      <w:ind w:firstLine="567"/>
      <w:jc w:val="left"/>
    </w:pPr>
    <w:rPr>
      <w:rFonts w:hint="eastAsia" w:ascii="Arial" w:hAnsi="Arial" w:eastAsia="黑体"/>
      <w:b w:val="0"/>
      <w:bCs w:val="0"/>
      <w:sz w:val="28"/>
      <w:szCs w:val="20"/>
    </w:rPr>
  </w:style>
  <w:style w:type="paragraph" w:customStyle="1" w:styleId="1673">
    <w:name w:val="样式 左侧:  0.85 厘米 首行缩进:  2 字符"/>
    <w:basedOn w:val="1"/>
    <w:qFormat/>
    <w:uiPriority w:val="0"/>
    <w:pPr>
      <w:tabs>
        <w:tab w:val="clear" w:pos="480"/>
      </w:tabs>
      <w:spacing w:line="480" w:lineRule="exact"/>
    </w:pPr>
    <w:rPr>
      <w:rFonts w:hint="eastAsia"/>
      <w:sz w:val="21"/>
      <w:szCs w:val="20"/>
    </w:rPr>
  </w:style>
  <w:style w:type="paragraph" w:customStyle="1" w:styleId="1674">
    <w:name w:val="样式 小五 首行缩进:  2 字符"/>
    <w:basedOn w:val="1"/>
    <w:qFormat/>
    <w:uiPriority w:val="0"/>
    <w:pPr>
      <w:tabs>
        <w:tab w:val="clear" w:pos="480"/>
      </w:tabs>
      <w:spacing w:line="240" w:lineRule="auto"/>
    </w:pPr>
    <w:rPr>
      <w:rFonts w:hint="eastAsia"/>
      <w:sz w:val="18"/>
      <w:szCs w:val="20"/>
    </w:rPr>
  </w:style>
  <w:style w:type="paragraph" w:customStyle="1" w:styleId="1675">
    <w:name w:val="说明-表格用字1"/>
    <w:basedOn w:val="1666"/>
    <w:qFormat/>
    <w:uiPriority w:val="0"/>
    <w:pPr/>
  </w:style>
  <w:style w:type="paragraph" w:customStyle="1" w:styleId="1676">
    <w:name w:val="样式 样式 标题 3 + 宋体 小四 加粗 + 首行缩进:  0 厘米"/>
    <w:basedOn w:val="1"/>
    <w:qFormat/>
    <w:uiPriority w:val="0"/>
    <w:pPr>
      <w:keepNext/>
      <w:keepLines/>
      <w:tabs>
        <w:tab w:val="clear" w:pos="480"/>
      </w:tabs>
      <w:spacing w:before="240" w:after="120" w:line="240" w:lineRule="auto"/>
      <w:ind w:firstLine="567"/>
    </w:pPr>
    <w:rPr>
      <w:rFonts w:hint="eastAsia" w:hAnsi="宋体"/>
      <w:b/>
      <w:sz w:val="21"/>
      <w:szCs w:val="20"/>
    </w:rPr>
  </w:style>
  <w:style w:type="paragraph" w:customStyle="1" w:styleId="1677">
    <w:name w:val="In Table"/>
    <w:basedOn w:val="1"/>
    <w:semiHidden/>
    <w:qFormat/>
    <w:uiPriority w:val="0"/>
    <w:pPr>
      <w:tabs>
        <w:tab w:val="left" w:pos="2200"/>
        <w:tab w:val="left" w:pos="3960"/>
        <w:tab w:val="left" w:pos="5280"/>
        <w:tab w:val="clear" w:pos="480"/>
      </w:tabs>
      <w:spacing w:before="96" w:after="96" w:line="0" w:lineRule="atLeast"/>
      <w:jc w:val="center"/>
    </w:pPr>
    <w:rPr>
      <w:rFonts w:ascii="Tahoma" w:hAnsi="Tahoma" w:eastAsia="华文中宋"/>
      <w:sz w:val="21"/>
      <w:szCs w:val="20"/>
    </w:rPr>
  </w:style>
  <w:style w:type="paragraph" w:customStyle="1" w:styleId="1678">
    <w:name w:val="样式 红色 首行缩进:  2 字符"/>
    <w:basedOn w:val="1"/>
    <w:qFormat/>
    <w:uiPriority w:val="0"/>
    <w:pPr>
      <w:tabs>
        <w:tab w:val="clear" w:pos="480"/>
      </w:tabs>
      <w:spacing w:line="480" w:lineRule="exact"/>
      <w:ind w:firstLine="480"/>
    </w:pPr>
    <w:rPr>
      <w:color w:val="FF0000"/>
      <w:szCs w:val="20"/>
    </w:rPr>
  </w:style>
  <w:style w:type="paragraph" w:customStyle="1" w:styleId="1679">
    <w:name w:val="样式 五号 居中 行距: 最小值 18 磅"/>
    <w:basedOn w:val="1"/>
    <w:qFormat/>
    <w:uiPriority w:val="0"/>
    <w:pPr>
      <w:tabs>
        <w:tab w:val="clear" w:pos="480"/>
      </w:tabs>
      <w:spacing w:line="360" w:lineRule="atLeast"/>
      <w:jc w:val="center"/>
    </w:pPr>
    <w:rPr>
      <w:sz w:val="21"/>
      <w:szCs w:val="20"/>
    </w:rPr>
  </w:style>
  <w:style w:type="paragraph" w:customStyle="1" w:styleId="1680">
    <w:name w:val="样式 (中文) 黑体"/>
    <w:basedOn w:val="1"/>
    <w:qFormat/>
    <w:uiPriority w:val="0"/>
    <w:pPr>
      <w:tabs>
        <w:tab w:val="clear" w:pos="480"/>
      </w:tabs>
      <w:spacing w:line="480" w:lineRule="exact"/>
      <w:ind w:firstLine="567"/>
    </w:pPr>
    <w:rPr>
      <w:rFonts w:eastAsia="黑体"/>
      <w:kern w:val="0"/>
      <w:szCs w:val="20"/>
    </w:rPr>
  </w:style>
  <w:style w:type="paragraph" w:customStyle="1" w:styleId="1681">
    <w:name w:val="热电厂正文"/>
    <w:basedOn w:val="1"/>
    <w:qFormat/>
    <w:uiPriority w:val="0"/>
    <w:pPr>
      <w:tabs>
        <w:tab w:val="clear" w:pos="480"/>
      </w:tabs>
      <w:spacing w:line="440" w:lineRule="exact"/>
      <w:ind w:firstLine="480"/>
    </w:pPr>
  </w:style>
  <w:style w:type="paragraph" w:customStyle="1" w:styleId="1682">
    <w:name w:val="标题后正文"/>
    <w:basedOn w:val="1"/>
    <w:semiHidden/>
    <w:qFormat/>
    <w:uiPriority w:val="0"/>
    <w:pPr>
      <w:tabs>
        <w:tab w:val="clear" w:pos="480"/>
      </w:tabs>
      <w:adjustRightInd w:val="0"/>
      <w:textAlignment w:val="baseline"/>
    </w:pPr>
    <w:rPr>
      <w:rFonts w:ascii="Arial" w:hAnsi="Arial"/>
      <w:snapToGrid w:val="0"/>
      <w:kern w:val="28"/>
      <w:szCs w:val="20"/>
    </w:rPr>
  </w:style>
  <w:style w:type="paragraph" w:customStyle="1" w:styleId="1683">
    <w:name w:val="样式 小四 行距: 固定值 24 磅 首行缩进:  2 字符"/>
    <w:basedOn w:val="1"/>
    <w:qFormat/>
    <w:uiPriority w:val="0"/>
    <w:pPr>
      <w:tabs>
        <w:tab w:val="clear" w:pos="480"/>
      </w:tabs>
      <w:spacing w:line="440" w:lineRule="exact"/>
    </w:pPr>
  </w:style>
  <w:style w:type="paragraph" w:customStyle="1" w:styleId="1684">
    <w:name w:val="样式 标题 3 + 小四 黑色1 Char Char Char"/>
    <w:basedOn w:val="4"/>
    <w:qFormat/>
    <w:uiPriority w:val="0"/>
    <w:pPr>
      <w:numPr>
        <w:ilvl w:val="0"/>
        <w:numId w:val="0"/>
      </w:numPr>
      <w:tabs>
        <w:tab w:val="clear" w:pos="480"/>
        <w:tab w:val="clear" w:pos="840"/>
      </w:tabs>
      <w:spacing w:before="0" w:after="0" w:line="480" w:lineRule="exact"/>
      <w:ind w:firstLine="420"/>
    </w:pPr>
    <w:rPr>
      <w:rFonts w:ascii="Times New Roman" w:eastAsia="宋体"/>
      <w:color w:val="000000"/>
      <w:sz w:val="24"/>
      <w:szCs w:val="28"/>
    </w:rPr>
  </w:style>
  <w:style w:type="paragraph" w:customStyle="1" w:styleId="1685">
    <w:name w:val="样式 标题 3 + 小四 黑色1 Char Char"/>
    <w:basedOn w:val="4"/>
    <w:qFormat/>
    <w:uiPriority w:val="0"/>
    <w:pPr>
      <w:numPr>
        <w:ilvl w:val="0"/>
        <w:numId w:val="0"/>
      </w:numPr>
      <w:tabs>
        <w:tab w:val="clear" w:pos="480"/>
        <w:tab w:val="clear" w:pos="840"/>
      </w:tabs>
      <w:spacing w:before="0" w:after="0" w:line="480" w:lineRule="exact"/>
      <w:ind w:firstLine="420"/>
    </w:pPr>
    <w:rPr>
      <w:rFonts w:ascii="Times New Roman" w:eastAsia="宋体"/>
      <w:color w:val="000000"/>
      <w:sz w:val="24"/>
      <w:szCs w:val="28"/>
    </w:rPr>
  </w:style>
  <w:style w:type="paragraph" w:customStyle="1" w:styleId="1686">
    <w:name w:val="样式 小四 行距: 固定值 22 磅"/>
    <w:basedOn w:val="1"/>
    <w:next w:val="5"/>
    <w:qFormat/>
    <w:uiPriority w:val="0"/>
    <w:pPr>
      <w:tabs>
        <w:tab w:val="clear" w:pos="480"/>
      </w:tabs>
      <w:spacing w:line="440" w:lineRule="exact"/>
      <w:ind w:firstLine="454"/>
    </w:pPr>
    <w:rPr>
      <w:rFonts w:eastAsia="黑体"/>
      <w:sz w:val="28"/>
      <w:szCs w:val="28"/>
    </w:rPr>
  </w:style>
  <w:style w:type="paragraph" w:customStyle="1" w:styleId="1687">
    <w:name w:val="样式 标题 4 + Times New Roman"/>
    <w:basedOn w:val="5"/>
    <w:qFormat/>
    <w:uiPriority w:val="0"/>
    <w:pPr>
      <w:numPr>
        <w:ilvl w:val="0"/>
        <w:numId w:val="0"/>
      </w:numPr>
      <w:tabs>
        <w:tab w:val="clear" w:pos="480"/>
      </w:tabs>
      <w:spacing w:before="0" w:afterLines="50" w:line="440" w:lineRule="exact"/>
      <w:ind w:firstLine="454"/>
    </w:pPr>
    <w:rPr>
      <w:rFonts w:ascii="Times New Roman" w:hAnsi="Times New Roman" w:eastAsia="黑体"/>
      <w:b w:val="0"/>
      <w:bCs w:val="0"/>
      <w:kern w:val="0"/>
      <w:sz w:val="24"/>
      <w:szCs w:val="24"/>
    </w:rPr>
  </w:style>
  <w:style w:type="paragraph" w:customStyle="1" w:styleId="1688">
    <w:name w:val="样式 小四 首行缩进:  0.74 厘米 行距: 固定值 20 磅"/>
    <w:basedOn w:val="1"/>
    <w:qFormat/>
    <w:uiPriority w:val="0"/>
    <w:pPr>
      <w:tabs>
        <w:tab w:val="clear" w:pos="480"/>
      </w:tabs>
      <w:spacing w:line="440" w:lineRule="exact"/>
      <w:ind w:firstLine="454"/>
    </w:pPr>
    <w:rPr>
      <w:szCs w:val="20"/>
    </w:rPr>
  </w:style>
  <w:style w:type="paragraph" w:customStyle="1" w:styleId="1689">
    <w:name w:val="样式 宋体 小四 首行缩进:  0.74 厘米 行距: 固定值 20 磅"/>
    <w:basedOn w:val="1"/>
    <w:qFormat/>
    <w:uiPriority w:val="0"/>
    <w:pPr>
      <w:tabs>
        <w:tab w:val="clear" w:pos="480"/>
      </w:tabs>
      <w:spacing w:line="440" w:lineRule="exact"/>
      <w:ind w:firstLine="454"/>
    </w:pPr>
    <w:rPr>
      <w:rFonts w:ascii="宋体" w:hAnsi="宋体"/>
      <w:szCs w:val="20"/>
    </w:rPr>
  </w:style>
  <w:style w:type="paragraph" w:customStyle="1" w:styleId="1690">
    <w:name w:val="样式 小四 黑色 首行缩进:  0.74 厘米 行距: 固定值 20 磅"/>
    <w:basedOn w:val="1"/>
    <w:qFormat/>
    <w:uiPriority w:val="0"/>
    <w:pPr>
      <w:tabs>
        <w:tab w:val="clear" w:pos="480"/>
      </w:tabs>
      <w:spacing w:line="440" w:lineRule="exact"/>
      <w:ind w:firstLine="454"/>
    </w:pPr>
    <w:rPr>
      <w:color w:val="000000"/>
      <w:szCs w:val="20"/>
    </w:rPr>
  </w:style>
  <w:style w:type="paragraph" w:customStyle="1" w:styleId="1691">
    <w:name w:val="样式 正文文本缩进 + 小四 非加粗 非倾斜 行距: 固定值 20 磅"/>
    <w:basedOn w:val="34"/>
    <w:qFormat/>
    <w:uiPriority w:val="0"/>
    <w:pPr>
      <w:tabs>
        <w:tab w:val="clear" w:pos="480"/>
      </w:tabs>
      <w:spacing w:line="440" w:lineRule="exact"/>
      <w:ind w:firstLine="454" w:firstLineChars="0"/>
    </w:pPr>
    <w:rPr>
      <w:kern w:val="0"/>
      <w:szCs w:val="20"/>
    </w:rPr>
  </w:style>
  <w:style w:type="paragraph" w:customStyle="1" w:styleId="1692">
    <w:name w:val="表1"/>
    <w:basedOn w:val="1"/>
    <w:semiHidden/>
    <w:qFormat/>
    <w:uiPriority w:val="0"/>
    <w:pPr>
      <w:tabs>
        <w:tab w:val="clear" w:pos="480"/>
      </w:tabs>
      <w:spacing w:before="40" w:line="0" w:lineRule="atLeast"/>
      <w:jc w:val="center"/>
    </w:pPr>
    <w:rPr>
      <w:sz w:val="21"/>
      <w:szCs w:val="20"/>
    </w:rPr>
  </w:style>
  <w:style w:type="paragraph" w:customStyle="1" w:styleId="1693">
    <w:name w:val="正文宋体四号字"/>
    <w:basedOn w:val="1"/>
    <w:qFormat/>
    <w:uiPriority w:val="0"/>
    <w:pPr>
      <w:tabs>
        <w:tab w:val="clear" w:pos="480"/>
      </w:tabs>
      <w:adjustRightInd w:val="0"/>
      <w:spacing w:line="560" w:lineRule="exact"/>
      <w:ind w:firstLine="567"/>
      <w:textAlignment w:val="baseline"/>
    </w:pPr>
    <w:rPr>
      <w:rFonts w:ascii="Arial" w:hAnsi="Arial"/>
      <w:spacing w:val="2"/>
      <w:kern w:val="0"/>
      <w:sz w:val="28"/>
      <w:szCs w:val="20"/>
    </w:rPr>
  </w:style>
  <w:style w:type="paragraph" w:customStyle="1" w:styleId="1694">
    <w:name w:val="样式 标题 4标题 4 Char Char标题 4 Char + 小四 加粗"/>
    <w:basedOn w:val="5"/>
    <w:qFormat/>
    <w:uiPriority w:val="0"/>
    <w:pPr>
      <w:numPr>
        <w:ilvl w:val="0"/>
        <w:numId w:val="0"/>
      </w:numPr>
      <w:tabs>
        <w:tab w:val="clear" w:pos="480"/>
      </w:tabs>
      <w:spacing w:beforeLines="50" w:afterLines="50" w:line="520" w:lineRule="atLeast"/>
    </w:pPr>
    <w:rPr>
      <w:rFonts w:hint="eastAsia" w:ascii="Times New Roman" w:hAnsi="Times New Roman" w:eastAsia="宋体"/>
      <w:kern w:val="0"/>
      <w:sz w:val="24"/>
      <w:szCs w:val="20"/>
    </w:rPr>
  </w:style>
  <w:style w:type="paragraph" w:customStyle="1" w:styleId="1695">
    <w:name w:val="样式 标题 4标题 4 Char Char标题 4 Char + 小四 加粗1"/>
    <w:basedOn w:val="5"/>
    <w:qFormat/>
    <w:uiPriority w:val="0"/>
    <w:pPr>
      <w:numPr>
        <w:ilvl w:val="0"/>
        <w:numId w:val="0"/>
      </w:numPr>
      <w:tabs>
        <w:tab w:val="clear" w:pos="480"/>
      </w:tabs>
      <w:spacing w:before="0" w:afterLines="50" w:line="520" w:lineRule="atLeast"/>
    </w:pPr>
    <w:rPr>
      <w:rFonts w:hint="eastAsia" w:ascii="Times New Roman" w:hAnsi="Times New Roman" w:eastAsia="宋体"/>
      <w:kern w:val="0"/>
      <w:sz w:val="24"/>
      <w:szCs w:val="20"/>
    </w:rPr>
  </w:style>
  <w:style w:type="paragraph" w:customStyle="1" w:styleId="1696">
    <w:name w:val="样式 标题 4标题 4 Char Char标题 4 Char + 小四 加粗2"/>
    <w:basedOn w:val="5"/>
    <w:qFormat/>
    <w:uiPriority w:val="0"/>
    <w:pPr>
      <w:numPr>
        <w:ilvl w:val="0"/>
        <w:numId w:val="0"/>
      </w:numPr>
      <w:tabs>
        <w:tab w:val="clear" w:pos="480"/>
      </w:tabs>
      <w:spacing w:before="0" w:afterLines="50" w:line="520" w:lineRule="atLeast"/>
    </w:pPr>
    <w:rPr>
      <w:rFonts w:hint="eastAsia" w:ascii="Times New Roman" w:hAnsi="Times New Roman" w:eastAsia="宋体"/>
      <w:kern w:val="0"/>
      <w:sz w:val="24"/>
      <w:szCs w:val="20"/>
    </w:rPr>
  </w:style>
  <w:style w:type="paragraph" w:customStyle="1" w:styleId="1697">
    <w:name w:val="我的样式（正文）"/>
    <w:basedOn w:val="1"/>
    <w:qFormat/>
    <w:uiPriority w:val="0"/>
    <w:pPr>
      <w:tabs>
        <w:tab w:val="clear" w:pos="480"/>
      </w:tabs>
      <w:spacing w:line="440" w:lineRule="exact"/>
    </w:pPr>
    <w:rPr>
      <w:rFonts w:ascii="宋体"/>
      <w:sz w:val="28"/>
      <w:szCs w:val="20"/>
    </w:rPr>
  </w:style>
  <w:style w:type="paragraph" w:customStyle="1" w:styleId="1698">
    <w:name w:val="样式 首行缩进:  0.80 厘米 段前: 7.8 磅"/>
    <w:basedOn w:val="1"/>
    <w:qFormat/>
    <w:uiPriority w:val="0"/>
    <w:pPr>
      <w:tabs>
        <w:tab w:val="clear" w:pos="480"/>
      </w:tabs>
      <w:adjustRightInd w:val="0"/>
      <w:snapToGrid w:val="0"/>
      <w:spacing w:before="156" w:line="312" w:lineRule="auto"/>
      <w:ind w:firstLine="480"/>
    </w:pPr>
    <w:rPr>
      <w:szCs w:val="20"/>
    </w:rPr>
  </w:style>
  <w:style w:type="character" w:customStyle="1" w:styleId="1699">
    <w:name w:val="表格用字 +  六号 Char"/>
    <w:semiHidden/>
    <w:qFormat/>
    <w:uiPriority w:val="0"/>
    <w:rPr>
      <w:rFonts w:ascii="宋体" w:eastAsia="仿宋_GB2312" w:cs="宋体"/>
      <w:bCs/>
      <w:kern w:val="2"/>
      <w:sz w:val="15"/>
      <w:szCs w:val="21"/>
      <w:lang w:val="en-US" w:eastAsia="zh-CN" w:bidi="ar-SA"/>
    </w:rPr>
  </w:style>
  <w:style w:type="character" w:customStyle="1" w:styleId="1700">
    <w:name w:val="条-成果 Char Char"/>
    <w:qFormat/>
    <w:uiPriority w:val="0"/>
    <w:rPr>
      <w:rFonts w:ascii="宋体" w:hAnsi="宋体" w:eastAsia="宋体" w:cs="宋体"/>
      <w:bCs/>
      <w:kern w:val="2"/>
      <w:sz w:val="24"/>
      <w:szCs w:val="30"/>
      <w:lang w:val="en-US" w:eastAsia="zh-CN" w:bidi="ar-SA"/>
    </w:rPr>
  </w:style>
  <w:style w:type="character" w:customStyle="1" w:styleId="1701">
    <w:name w:val="sbody1"/>
    <w:semiHidden/>
    <w:qFormat/>
    <w:uiPriority w:val="0"/>
    <w:rPr>
      <w:spacing w:val="360"/>
      <w:sz w:val="14"/>
      <w:szCs w:val="14"/>
    </w:rPr>
  </w:style>
  <w:style w:type="character" w:customStyle="1" w:styleId="1702">
    <w:name w:val="main1"/>
    <w:semiHidden/>
    <w:qFormat/>
    <w:uiPriority w:val="0"/>
    <w:rPr>
      <w:rFonts w:hint="default"/>
      <w:color w:val="0033CC"/>
      <w:spacing w:val="240"/>
      <w:sz w:val="18"/>
      <w:szCs w:val="18"/>
    </w:rPr>
  </w:style>
  <w:style w:type="character" w:customStyle="1" w:styleId="1703">
    <w:name w:val="text_l1"/>
    <w:semiHidden/>
    <w:qFormat/>
    <w:uiPriority w:val="0"/>
    <w:rPr>
      <w:color w:val="000066"/>
      <w:sz w:val="18"/>
      <w:szCs w:val="18"/>
    </w:rPr>
  </w:style>
  <w:style w:type="character" w:customStyle="1" w:styleId="1704">
    <w:name w:val="样式 正文文本缩进 2正文文字缩进 2 + 四号 蓝色 Char"/>
    <w:qFormat/>
    <w:uiPriority w:val="0"/>
    <w:rPr>
      <w:rFonts w:eastAsia="宋体"/>
      <w:color w:val="0000FF"/>
      <w:kern w:val="2"/>
      <w:sz w:val="24"/>
      <w:szCs w:val="24"/>
      <w:lang w:val="en-US" w:eastAsia="zh-CN" w:bidi="ar-SA"/>
    </w:rPr>
  </w:style>
  <w:style w:type="paragraph" w:customStyle="1" w:styleId="1705">
    <w:name w:val="表格用字 Char"/>
    <w:basedOn w:val="76"/>
    <w:semiHidden/>
    <w:qFormat/>
    <w:uiPriority w:val="0"/>
    <w:pPr>
      <w:spacing w:line="0" w:lineRule="atLeast"/>
      <w:jc w:val="both"/>
    </w:pPr>
    <w:rPr>
      <w:rFonts w:ascii="宋体" w:eastAsia="仿宋_GB2312"/>
      <w:bCs/>
      <w:color w:val="auto"/>
      <w:szCs w:val="21"/>
    </w:rPr>
  </w:style>
  <w:style w:type="character" w:customStyle="1" w:styleId="1706">
    <w:name w:val="表格用字 Char Char1"/>
    <w:semiHidden/>
    <w:qFormat/>
    <w:uiPriority w:val="0"/>
    <w:rPr>
      <w:rFonts w:ascii="宋体" w:eastAsia="仿宋_GB2312" w:cs="宋体"/>
      <w:bCs/>
      <w:kern w:val="2"/>
      <w:sz w:val="24"/>
      <w:szCs w:val="21"/>
      <w:lang w:val="en-US" w:eastAsia="zh-CN" w:bidi="ar-SA"/>
    </w:rPr>
  </w:style>
  <w:style w:type="paragraph" w:customStyle="1" w:styleId="1707">
    <w:name w:val="普通(网站)11"/>
    <w:basedOn w:val="1"/>
    <w:qFormat/>
    <w:uiPriority w:val="0"/>
    <w:pPr>
      <w:widowControl/>
      <w:tabs>
        <w:tab w:val="clear" w:pos="480"/>
      </w:tabs>
      <w:spacing w:before="100" w:beforeAutospacing="1" w:after="100" w:afterAutospacing="1" w:line="240" w:lineRule="auto"/>
      <w:jc w:val="left"/>
    </w:pPr>
    <w:rPr>
      <w:rFonts w:hint="eastAsia" w:hAnsi="宋体"/>
      <w:sz w:val="21"/>
      <w:szCs w:val="20"/>
    </w:rPr>
  </w:style>
  <w:style w:type="paragraph" w:customStyle="1" w:styleId="1708">
    <w:name w:val="Char Char Char Char Char Char Char1"/>
    <w:basedOn w:val="1"/>
    <w:semiHidden/>
    <w:qFormat/>
    <w:uiPriority w:val="0"/>
    <w:pPr>
      <w:tabs>
        <w:tab w:val="clear" w:pos="480"/>
      </w:tabs>
      <w:spacing w:line="240" w:lineRule="auto"/>
    </w:pPr>
    <w:rPr>
      <w:sz w:val="21"/>
      <w:szCs w:val="21"/>
    </w:rPr>
  </w:style>
  <w:style w:type="paragraph" w:customStyle="1" w:styleId="1709">
    <w:name w:val="Char Char Char Char Char Char Char Char Char1"/>
    <w:basedOn w:val="1"/>
    <w:semiHidden/>
    <w:qFormat/>
    <w:uiPriority w:val="0"/>
    <w:pPr>
      <w:tabs>
        <w:tab w:val="clear" w:pos="480"/>
      </w:tabs>
      <w:spacing w:line="240" w:lineRule="auto"/>
    </w:pPr>
  </w:style>
  <w:style w:type="paragraph" w:customStyle="1" w:styleId="1710">
    <w:name w:val="正文文本 21"/>
    <w:basedOn w:val="1"/>
    <w:qFormat/>
    <w:uiPriority w:val="0"/>
    <w:pPr>
      <w:tabs>
        <w:tab w:val="clear" w:pos="480"/>
      </w:tabs>
      <w:adjustRightInd w:val="0"/>
      <w:snapToGrid w:val="0"/>
      <w:spacing w:line="480" w:lineRule="exact"/>
      <w:ind w:firstLine="510"/>
      <w:textAlignment w:val="baseline"/>
    </w:pPr>
    <w:rPr>
      <w:rFonts w:eastAsia="仿宋_GB2312"/>
      <w:kern w:val="0"/>
      <w:sz w:val="28"/>
      <w:szCs w:val="20"/>
    </w:rPr>
  </w:style>
  <w:style w:type="paragraph" w:customStyle="1" w:styleId="1711">
    <w:name w:val="样式 首行缩进:  0.77 厘米 行距: 固定值 20 磅"/>
    <w:basedOn w:val="1"/>
    <w:qFormat/>
    <w:uiPriority w:val="0"/>
    <w:pPr>
      <w:tabs>
        <w:tab w:val="clear" w:pos="480"/>
      </w:tabs>
      <w:ind w:firstLine="435"/>
    </w:pPr>
    <w:rPr>
      <w:szCs w:val="20"/>
    </w:rPr>
  </w:style>
  <w:style w:type="paragraph" w:customStyle="1" w:styleId="1712">
    <w:name w:val="CM3"/>
    <w:basedOn w:val="1"/>
    <w:next w:val="1"/>
    <w:semiHidden/>
    <w:qFormat/>
    <w:uiPriority w:val="0"/>
    <w:pPr>
      <w:tabs>
        <w:tab w:val="clear" w:pos="480"/>
      </w:tabs>
      <w:autoSpaceDE w:val="0"/>
      <w:autoSpaceDN w:val="0"/>
      <w:adjustRightInd w:val="0"/>
      <w:spacing w:line="463" w:lineRule="atLeast"/>
      <w:jc w:val="left"/>
    </w:pPr>
    <w:rPr>
      <w:kern w:val="0"/>
    </w:rPr>
  </w:style>
  <w:style w:type="paragraph" w:customStyle="1" w:styleId="1713">
    <w:name w:val="CM58"/>
    <w:basedOn w:val="151"/>
    <w:next w:val="151"/>
    <w:semiHidden/>
    <w:qFormat/>
    <w:uiPriority w:val="0"/>
    <w:pPr>
      <w:spacing w:after="155" w:line="360" w:lineRule="auto"/>
      <w:ind w:firstLine="200" w:firstLineChars="200"/>
      <w:jc w:val="both"/>
    </w:pPr>
    <w:rPr>
      <w:rFonts w:ascii="Times New Roman" w:eastAsia="宋体" w:cs="Times New Roman"/>
      <w:color w:val="auto"/>
    </w:rPr>
  </w:style>
  <w:style w:type="paragraph" w:customStyle="1" w:styleId="1714">
    <w:name w:val="表 头 Char"/>
    <w:basedOn w:val="1"/>
    <w:semiHidden/>
    <w:qFormat/>
    <w:uiPriority w:val="0"/>
    <w:pPr>
      <w:tabs>
        <w:tab w:val="clear" w:pos="480"/>
      </w:tabs>
      <w:adjustRightInd w:val="0"/>
      <w:spacing w:before="120" w:after="120" w:line="360" w:lineRule="atLeast"/>
      <w:jc w:val="center"/>
    </w:pPr>
    <w:rPr>
      <w:rFonts w:eastAsia="黑体"/>
      <w:spacing w:val="10"/>
      <w:kern w:val="0"/>
      <w:szCs w:val="20"/>
    </w:rPr>
  </w:style>
  <w:style w:type="paragraph" w:customStyle="1" w:styleId="1715">
    <w:name w:val="表文5号"/>
    <w:basedOn w:val="1"/>
    <w:qFormat/>
    <w:uiPriority w:val="0"/>
    <w:pPr>
      <w:tabs>
        <w:tab w:val="clear" w:pos="480"/>
      </w:tabs>
      <w:snapToGrid w:val="0"/>
      <w:spacing w:line="240" w:lineRule="auto"/>
      <w:jc w:val="center"/>
    </w:pPr>
    <w:rPr>
      <w:sz w:val="21"/>
      <w:szCs w:val="21"/>
    </w:rPr>
  </w:style>
  <w:style w:type="paragraph" w:customStyle="1" w:styleId="1716">
    <w:name w:val="表格内容5"/>
    <w:basedOn w:val="1"/>
    <w:next w:val="1"/>
    <w:semiHidden/>
    <w:qFormat/>
    <w:uiPriority w:val="0"/>
    <w:pPr>
      <w:tabs>
        <w:tab w:val="clear" w:pos="480"/>
      </w:tabs>
      <w:spacing w:before="40" w:after="60" w:line="200" w:lineRule="atLeast"/>
      <w:jc w:val="left"/>
      <w:textAlignment w:val="baseline"/>
    </w:pPr>
    <w:rPr>
      <w:rFonts w:ascii="Arial" w:hAnsi="Arial" w:eastAsia="仿宋_GB2312"/>
      <w:kern w:val="0"/>
      <w:sz w:val="21"/>
    </w:rPr>
  </w:style>
  <w:style w:type="paragraph" w:customStyle="1" w:styleId="1717">
    <w:name w:val="题注图"/>
    <w:basedOn w:val="21"/>
    <w:qFormat/>
    <w:uiPriority w:val="0"/>
    <w:pPr>
      <w:adjustRightInd/>
      <w:snapToGrid/>
      <w:spacing w:before="0" w:after="360" w:line="300" w:lineRule="auto"/>
      <w:ind w:firstLine="0" w:firstLineChars="0"/>
    </w:pPr>
    <w:rPr>
      <w:rFonts w:ascii="Times New Roman" w:hAnsi="Times New Roman" w:eastAsia="仿宋_GB2312" w:cs="Times New Roman"/>
      <w:b/>
      <w:color w:val="auto"/>
      <w:kern w:val="0"/>
      <w:szCs w:val="24"/>
    </w:rPr>
  </w:style>
  <w:style w:type="paragraph" w:customStyle="1" w:styleId="1718">
    <w:name w:val="样式 标题 3Char + 字距调整四号1"/>
    <w:basedOn w:val="4"/>
    <w:qFormat/>
    <w:uiPriority w:val="0"/>
    <w:pPr>
      <w:numPr>
        <w:ilvl w:val="0"/>
        <w:numId w:val="0"/>
      </w:numPr>
      <w:tabs>
        <w:tab w:val="left" w:pos="1080"/>
        <w:tab w:val="clear" w:pos="480"/>
      </w:tabs>
      <w:adjustRightInd w:val="0"/>
      <w:snapToGrid w:val="0"/>
      <w:spacing w:before="240" w:after="120" w:line="360" w:lineRule="auto"/>
      <w:ind w:left="720" w:hanging="720"/>
    </w:pPr>
    <w:rPr>
      <w:rFonts w:ascii="Times New Roman" w:eastAsia="楷体_GB2312"/>
      <w:color w:val="000000"/>
      <w:kern w:val="28"/>
      <w:sz w:val="24"/>
      <w:szCs w:val="24"/>
    </w:rPr>
  </w:style>
  <w:style w:type="character" w:customStyle="1" w:styleId="1719">
    <w:name w:val="neiwen1"/>
    <w:semiHidden/>
    <w:qFormat/>
    <w:uiPriority w:val="0"/>
    <w:rPr>
      <w:color w:val="000000"/>
      <w:spacing w:val="320"/>
      <w:sz w:val="20"/>
      <w:szCs w:val="20"/>
    </w:rPr>
  </w:style>
  <w:style w:type="character" w:customStyle="1" w:styleId="1720">
    <w:name w:val="H1 Char1"/>
    <w:semiHidden/>
    <w:qFormat/>
    <w:uiPriority w:val="0"/>
    <w:rPr>
      <w:rFonts w:eastAsia="宋体"/>
      <w:b/>
      <w:bCs/>
      <w:kern w:val="44"/>
      <w:sz w:val="44"/>
      <w:szCs w:val="44"/>
      <w:lang w:val="en-US" w:eastAsia="zh-CN" w:bidi="ar-SA"/>
    </w:rPr>
  </w:style>
  <w:style w:type="character" w:customStyle="1" w:styleId="1721">
    <w:name w:val="可研-标题 9 Char"/>
    <w:qFormat/>
    <w:locked/>
    <w:uiPriority w:val="0"/>
    <w:rPr>
      <w:rFonts w:ascii="Arial" w:hAnsi="Arial" w:eastAsia="黑体"/>
      <w:snapToGrid w:val="0"/>
      <w:kern w:val="2"/>
      <w:sz w:val="21"/>
      <w:szCs w:val="21"/>
      <w:lang w:val="eu-ES" w:eastAsia="zh-CN" w:bidi="ar-SA"/>
    </w:rPr>
  </w:style>
  <w:style w:type="paragraph" w:customStyle="1" w:styleId="1722">
    <w:name w:val="注解文字"/>
    <w:basedOn w:val="1"/>
    <w:qFormat/>
    <w:uiPriority w:val="0"/>
    <w:pPr>
      <w:tabs>
        <w:tab w:val="clear" w:pos="480"/>
      </w:tabs>
      <w:spacing w:afterLines="50" w:line="300" w:lineRule="auto"/>
    </w:pPr>
    <w:rPr>
      <w:rFonts w:hAnsi="Arial"/>
      <w:bCs/>
      <w:snapToGrid w:val="0"/>
      <w:kern w:val="0"/>
      <w:sz w:val="18"/>
      <w:szCs w:val="18"/>
      <w:lang w:val="eu-ES"/>
    </w:rPr>
  </w:style>
  <w:style w:type="paragraph" w:customStyle="1" w:styleId="1723">
    <w:name w:val="表后间隔"/>
    <w:basedOn w:val="1"/>
    <w:semiHidden/>
    <w:qFormat/>
    <w:uiPriority w:val="0"/>
    <w:pPr>
      <w:tabs>
        <w:tab w:val="center" w:pos="4153"/>
        <w:tab w:val="right" w:pos="8306"/>
        <w:tab w:val="clear" w:pos="480"/>
      </w:tabs>
      <w:snapToGrid w:val="0"/>
      <w:spacing w:line="240" w:lineRule="auto"/>
    </w:pPr>
    <w:rPr>
      <w:rFonts w:ascii="Arial" w:hAnsi="Arial"/>
      <w:bCs/>
      <w:snapToGrid w:val="0"/>
      <w:kern w:val="0"/>
      <w:sz w:val="18"/>
      <w:szCs w:val="27"/>
      <w:lang w:val="eu-ES"/>
    </w:rPr>
  </w:style>
  <w:style w:type="paragraph" w:customStyle="1" w:styleId="1724">
    <w:name w:val="标题 1文章"/>
    <w:basedOn w:val="2"/>
    <w:next w:val="1"/>
    <w:semiHidden/>
    <w:qFormat/>
    <w:uiPriority w:val="0"/>
    <w:pPr>
      <w:keepNext w:val="0"/>
      <w:keepLines w:val="0"/>
      <w:numPr>
        <w:numId w:val="0"/>
      </w:numPr>
      <w:autoSpaceDN w:val="0"/>
      <w:adjustRightInd w:val="0"/>
      <w:spacing w:beforeLines="50" w:afterLines="50" w:line="520" w:lineRule="exact"/>
      <w:contextualSpacing/>
      <w:jc w:val="left"/>
      <w:textAlignment w:val="baseline"/>
    </w:pPr>
    <w:rPr>
      <w:rFonts w:ascii="黑体" w:hAnsi="Arial" w:eastAsia="黑体" w:cs="宋体"/>
      <w:b w:val="0"/>
      <w:bCs w:val="0"/>
      <w:snapToGrid w:val="0"/>
      <w:kern w:val="2"/>
      <w:szCs w:val="36"/>
      <w:lang w:val="eu-ES"/>
    </w:rPr>
  </w:style>
  <w:style w:type="character" w:customStyle="1" w:styleId="1725">
    <w:name w:val="标题 2 Char Char1"/>
    <w:semiHidden/>
    <w:qFormat/>
    <w:uiPriority w:val="0"/>
    <w:rPr>
      <w:rFonts w:ascii="黑体" w:hAnsi="Arial" w:eastAsia="黑体" w:cs="宋体"/>
      <w:bCs/>
      <w:snapToGrid w:val="0"/>
      <w:kern w:val="2"/>
      <w:sz w:val="28"/>
      <w:szCs w:val="28"/>
      <w:lang w:val="eu-ES" w:eastAsia="zh-CN" w:bidi="ar-SA"/>
    </w:rPr>
  </w:style>
  <w:style w:type="character" w:customStyle="1" w:styleId="1726">
    <w:name w:val="表格名称 Char Char"/>
    <w:semiHidden/>
    <w:qFormat/>
    <w:uiPriority w:val="0"/>
    <w:rPr>
      <w:rFonts w:ascii="黑体" w:hAnsi="宋体" w:eastAsia="黑体" w:cs="宋体"/>
      <w:bCs/>
      <w:snapToGrid w:val="0"/>
      <w:kern w:val="18"/>
      <w:sz w:val="24"/>
      <w:szCs w:val="24"/>
      <w:lang w:val="eu-ES" w:eastAsia="zh-CN" w:bidi="ar-SA"/>
    </w:rPr>
  </w:style>
  <w:style w:type="paragraph" w:customStyle="1" w:styleId="1727">
    <w:name w:val="图片名称"/>
    <w:basedOn w:val="1"/>
    <w:link w:val="1884"/>
    <w:qFormat/>
    <w:uiPriority w:val="0"/>
    <w:pPr>
      <w:tabs>
        <w:tab w:val="clear" w:pos="480"/>
      </w:tabs>
      <w:wordWrap w:val="0"/>
      <w:spacing w:line="240" w:lineRule="auto"/>
      <w:jc w:val="center"/>
    </w:pPr>
    <w:rPr>
      <w:rFonts w:ascii="黑体" w:hAnsi="宋体" w:eastAsia="黑体"/>
      <w:bCs/>
      <w:snapToGrid w:val="0"/>
      <w:color w:val="000000"/>
      <w:spacing w:val="-4"/>
      <w:kern w:val="0"/>
      <w:lang w:val="eu-ES"/>
    </w:rPr>
  </w:style>
  <w:style w:type="character" w:customStyle="1" w:styleId="1728">
    <w:name w:val="Char Char1"/>
    <w:semiHidden/>
    <w:qFormat/>
    <w:locked/>
    <w:uiPriority w:val="0"/>
    <w:rPr>
      <w:rFonts w:ascii="Arial" w:hAnsi="Arial" w:eastAsia="宋体"/>
      <w:bCs/>
      <w:snapToGrid w:val="0"/>
      <w:kern w:val="2"/>
      <w:sz w:val="18"/>
      <w:szCs w:val="18"/>
      <w:lang w:val="eu-ES" w:eastAsia="zh-CN" w:bidi="ar-SA"/>
    </w:rPr>
  </w:style>
  <w:style w:type="paragraph" w:customStyle="1" w:styleId="1729">
    <w:name w:val="表格文字3"/>
    <w:basedOn w:val="203"/>
    <w:semiHidden/>
    <w:qFormat/>
    <w:uiPriority w:val="0"/>
    <w:pPr>
      <w:tabs>
        <w:tab w:val="clear" w:pos="277"/>
        <w:tab w:val="clear" w:pos="600"/>
        <w:tab w:val="clear" w:pos="780"/>
        <w:tab w:val="clear" w:pos="2517"/>
      </w:tabs>
      <w:autoSpaceDE w:val="0"/>
      <w:autoSpaceDN w:val="0"/>
      <w:spacing w:beforeLines="10" w:afterLines="10"/>
      <w:jc w:val="both"/>
      <w:textAlignment w:val="auto"/>
    </w:pPr>
    <w:rPr>
      <w:bCs/>
      <w:szCs w:val="24"/>
    </w:rPr>
  </w:style>
  <w:style w:type="paragraph" w:customStyle="1" w:styleId="1730">
    <w:name w:val="标 题 2"/>
    <w:basedOn w:val="3"/>
    <w:semiHidden/>
    <w:qFormat/>
    <w:uiPriority w:val="0"/>
    <w:pPr>
      <w:keepNext w:val="0"/>
      <w:keepLines w:val="0"/>
      <w:numPr>
        <w:ilvl w:val="0"/>
        <w:numId w:val="0"/>
      </w:numPr>
      <w:tabs>
        <w:tab w:val="clear" w:pos="480"/>
        <w:tab w:val="clear" w:pos="630"/>
      </w:tabs>
      <w:autoSpaceDE w:val="0"/>
      <w:autoSpaceDN w:val="0"/>
      <w:adjustRightInd w:val="0"/>
      <w:snapToGrid w:val="0"/>
      <w:spacing w:before="163" w:after="163" w:line="520" w:lineRule="exact"/>
      <w:textAlignment w:val="baseline"/>
    </w:pPr>
    <w:rPr>
      <w:rFonts w:ascii="黑体" w:hAnsi="Arial" w:eastAsia="黑体"/>
      <w:b w:val="0"/>
      <w:snapToGrid w:val="0"/>
      <w:sz w:val="30"/>
      <w:szCs w:val="20"/>
      <w:lang w:val="eu-ES"/>
    </w:rPr>
  </w:style>
  <w:style w:type="character" w:customStyle="1" w:styleId="1731">
    <w:name w:val="表头 Char"/>
    <w:qFormat/>
    <w:uiPriority w:val="0"/>
    <w:rPr>
      <w:rFonts w:ascii="黑体" w:hAnsi="Arial" w:eastAsia="黑体" w:cs="Arial"/>
      <w:bCs/>
      <w:kern w:val="2"/>
      <w:sz w:val="24"/>
      <w:szCs w:val="24"/>
      <w:lang w:val="en-US" w:eastAsia="zh-CN" w:bidi="ar-SA"/>
    </w:rPr>
  </w:style>
  <w:style w:type="character" w:customStyle="1" w:styleId="1732">
    <w:name w:val="样式 正文首行缩进 + 宋体 小四 行距: 1.5 倍行距 Char1"/>
    <w:qFormat/>
    <w:uiPriority w:val="0"/>
    <w:rPr>
      <w:rFonts w:ascii="黑体" w:hAnsi="Arial" w:eastAsia="黑体" w:cs="Arial"/>
      <w:bCs/>
      <w:kern w:val="2"/>
      <w:sz w:val="24"/>
      <w:szCs w:val="24"/>
      <w:lang w:val="en-US" w:eastAsia="zh-CN" w:bidi="ar-SA"/>
    </w:rPr>
  </w:style>
  <w:style w:type="paragraph" w:customStyle="1" w:styleId="1733">
    <w:name w:val="样式 表格 + 宋体 五号"/>
    <w:basedOn w:val="1"/>
    <w:qFormat/>
    <w:uiPriority w:val="0"/>
    <w:pPr>
      <w:tabs>
        <w:tab w:val="clear" w:pos="480"/>
      </w:tabs>
      <w:adjustRightInd w:val="0"/>
      <w:snapToGrid w:val="0"/>
      <w:textAlignment w:val="center"/>
    </w:pPr>
    <w:rPr>
      <w:rFonts w:ascii="宋体" w:hAnsi="宋体"/>
      <w:snapToGrid w:val="0"/>
      <w:kern w:val="0"/>
      <w:sz w:val="21"/>
      <w:szCs w:val="20"/>
      <w:lang w:val="eu-ES"/>
    </w:rPr>
  </w:style>
  <w:style w:type="character" w:customStyle="1" w:styleId="1734">
    <w:name w:val="样式 仿宋_GB2312 四号1"/>
    <w:qFormat/>
    <w:uiPriority w:val="0"/>
    <w:rPr>
      <w:rFonts w:ascii="黑体" w:hAnsi="Arial" w:eastAsia="黑体" w:cs="Arial"/>
      <w:bCs/>
      <w:kern w:val="2"/>
      <w:sz w:val="24"/>
      <w:szCs w:val="24"/>
      <w:lang w:val="en-US" w:eastAsia="zh-CN" w:bidi="ar-SA"/>
    </w:rPr>
  </w:style>
  <w:style w:type="paragraph" w:customStyle="1" w:styleId="1735">
    <w:name w:val="样式 标题 1文章标题一、章节H1Otsikko 1Eia标题1－1 + 段前: 0.5 行 段后: 0.5 行"/>
    <w:basedOn w:val="2"/>
    <w:next w:val="1"/>
    <w:qFormat/>
    <w:uiPriority w:val="0"/>
    <w:pPr>
      <w:keepNext w:val="0"/>
      <w:keepLines w:val="0"/>
      <w:numPr>
        <w:numId w:val="0"/>
      </w:numPr>
      <w:tabs>
        <w:tab w:val="clear" w:pos="480"/>
      </w:tabs>
      <w:autoSpaceDN w:val="0"/>
      <w:spacing w:beforeLines="50" w:afterLines="50" w:line="520" w:lineRule="exact"/>
      <w:ind w:firstLine="471"/>
      <w:contextualSpacing/>
      <w:jc w:val="left"/>
      <w:textAlignment w:val="baseline"/>
    </w:pPr>
    <w:rPr>
      <w:rFonts w:ascii="黑体" w:hAnsi="Arial" w:eastAsia="黑体" w:cs="宋体"/>
      <w:b w:val="0"/>
      <w:bCs w:val="0"/>
      <w:snapToGrid w:val="0"/>
      <w:kern w:val="2"/>
      <w:szCs w:val="20"/>
      <w:lang w:val="eu-ES"/>
    </w:rPr>
  </w:style>
  <w:style w:type="paragraph" w:customStyle="1" w:styleId="1736">
    <w:name w:val="样式 标题 1文章标题一、章节H1Otsikko 1Eia标题1－1 + 首行缩进:  0 厘米"/>
    <w:basedOn w:val="2"/>
    <w:next w:val="1"/>
    <w:qFormat/>
    <w:uiPriority w:val="0"/>
    <w:pPr>
      <w:keepNext w:val="0"/>
      <w:keepLines w:val="0"/>
      <w:numPr>
        <w:numId w:val="0"/>
      </w:numPr>
      <w:autoSpaceDN w:val="0"/>
      <w:spacing w:beforeLines="50" w:afterLines="50" w:line="520" w:lineRule="exact"/>
      <w:contextualSpacing/>
      <w:textAlignment w:val="baseline"/>
    </w:pPr>
    <w:rPr>
      <w:rFonts w:ascii="黑体" w:hAnsi="Arial" w:eastAsia="黑体" w:cs="宋体"/>
      <w:b w:val="0"/>
      <w:bCs w:val="0"/>
      <w:snapToGrid w:val="0"/>
      <w:kern w:val="2"/>
      <w:szCs w:val="20"/>
      <w:lang w:val="eu-ES"/>
    </w:rPr>
  </w:style>
  <w:style w:type="paragraph" w:customStyle="1" w:styleId="1737">
    <w:name w:val="样式 标题 1文章 + 段前: 0.5 行 段后: 0.5 行"/>
    <w:basedOn w:val="1724"/>
    <w:next w:val="1"/>
    <w:qFormat/>
    <w:uiPriority w:val="0"/>
    <w:pPr>
      <w:ind w:firstLine="720" w:firstLineChars="200"/>
    </w:pPr>
    <w:rPr>
      <w:szCs w:val="20"/>
    </w:rPr>
  </w:style>
  <w:style w:type="paragraph" w:customStyle="1" w:styleId="1738">
    <w:name w:val="样式 样式 标题 1文章 + 段前: 0.5 行 段后: 0.5 行 + 段前: 0.5 行 段后: 0.5 行"/>
    <w:basedOn w:val="1737"/>
    <w:qFormat/>
    <w:uiPriority w:val="0"/>
    <w:pPr>
      <w:spacing w:before="50" w:after="50"/>
      <w:ind w:firstLine="0" w:firstLineChars="0"/>
    </w:pPr>
  </w:style>
  <w:style w:type="paragraph" w:customStyle="1" w:styleId="1739">
    <w:name w:val="样式 标题 + 首行缩进:  0.83 厘米"/>
    <w:basedOn w:val="84"/>
    <w:qFormat/>
    <w:uiPriority w:val="0"/>
    <w:pPr>
      <w:widowControl w:val="0"/>
      <w:tabs>
        <w:tab w:val="left" w:pos="480"/>
      </w:tabs>
      <w:autoSpaceDN w:val="0"/>
      <w:snapToGrid/>
      <w:spacing w:beforeLines="50" w:afterLines="50" w:line="520" w:lineRule="exact"/>
      <w:ind w:firstLine="471" w:firstLineChars="0"/>
      <w:contextualSpacing/>
      <w:textAlignment w:val="baseline"/>
    </w:pPr>
    <w:rPr>
      <w:rFonts w:ascii="黑体" w:eastAsia="黑体" w:cs="宋体"/>
      <w:snapToGrid w:val="0"/>
      <w:color w:val="auto"/>
      <w:sz w:val="36"/>
      <w:szCs w:val="36"/>
      <w:lang w:val="eu-ES"/>
    </w:rPr>
  </w:style>
  <w:style w:type="paragraph" w:customStyle="1" w:styleId="1740">
    <w:name w:val="标题111"/>
    <w:basedOn w:val="2"/>
    <w:next w:val="1"/>
    <w:semiHidden/>
    <w:qFormat/>
    <w:uiPriority w:val="0"/>
    <w:pPr>
      <w:keepNext w:val="0"/>
      <w:keepLines w:val="0"/>
      <w:numPr>
        <w:numId w:val="0"/>
      </w:numPr>
      <w:tabs>
        <w:tab w:val="clear" w:pos="480"/>
      </w:tabs>
      <w:autoSpaceDN w:val="0"/>
      <w:adjustRightInd w:val="0"/>
      <w:snapToGrid w:val="0"/>
      <w:spacing w:beforeLines="50" w:afterLines="50" w:line="520" w:lineRule="exact"/>
      <w:ind w:firstLine="471"/>
      <w:contextualSpacing/>
      <w:textAlignment w:val="baseline"/>
    </w:pPr>
    <w:rPr>
      <w:rFonts w:ascii="黑体" w:hAnsi="Arial" w:eastAsia="黑体"/>
      <w:b w:val="0"/>
      <w:bCs w:val="0"/>
      <w:snapToGrid w:val="0"/>
      <w:kern w:val="2"/>
      <w:szCs w:val="20"/>
      <w:lang w:val="eu-ES"/>
    </w:rPr>
  </w:style>
  <w:style w:type="paragraph" w:customStyle="1" w:styleId="1741">
    <w:name w:val="样式 标题 3 + (西文) 宋体"/>
    <w:basedOn w:val="4"/>
    <w:next w:val="1"/>
    <w:qFormat/>
    <w:uiPriority w:val="0"/>
    <w:pPr>
      <w:numPr>
        <w:numId w:val="0"/>
      </w:numPr>
      <w:tabs>
        <w:tab w:val="clear" w:pos="480"/>
        <w:tab w:val="clear" w:pos="840"/>
      </w:tabs>
      <w:autoSpaceDN w:val="0"/>
      <w:adjustRightInd w:val="0"/>
      <w:spacing w:beforeLines="50" w:afterLines="50" w:line="520" w:lineRule="exact"/>
      <w:ind w:firstLine="471"/>
      <w:contextualSpacing/>
      <w:textAlignment w:val="baseline"/>
    </w:pPr>
    <w:rPr>
      <w:rFonts w:ascii="宋体" w:hAnsi="宋体" w:eastAsia="黑体" w:cs="宋体"/>
      <w:b w:val="0"/>
      <w:bCs w:val="0"/>
      <w:snapToGrid w:val="0"/>
      <w:sz w:val="24"/>
      <w:szCs w:val="24"/>
      <w:lang w:val="eu-ES"/>
    </w:rPr>
  </w:style>
  <w:style w:type="character" w:customStyle="1" w:styleId="1742">
    <w:name w:val="标题 1文章 Char"/>
    <w:semiHidden/>
    <w:qFormat/>
    <w:uiPriority w:val="0"/>
    <w:rPr>
      <w:rFonts w:ascii="黑体" w:hAnsi="Arial" w:eastAsia="黑体" w:cs="宋体"/>
      <w:bCs/>
      <w:kern w:val="2"/>
      <w:sz w:val="36"/>
      <w:szCs w:val="36"/>
      <w:lang w:val="en-US" w:eastAsia="zh-CN" w:bidi="ar-SA"/>
    </w:rPr>
  </w:style>
  <w:style w:type="character" w:customStyle="1" w:styleId="1743">
    <w:name w:val="样式 标题 3 + (西文) 宋体 Char"/>
    <w:qFormat/>
    <w:uiPriority w:val="0"/>
    <w:rPr>
      <w:rFonts w:ascii="宋体" w:hAnsi="宋体" w:eastAsia="黑体" w:cs="宋体"/>
      <w:b/>
      <w:bCs/>
      <w:snapToGrid w:val="0"/>
      <w:kern w:val="2"/>
      <w:sz w:val="24"/>
      <w:szCs w:val="24"/>
      <w:lang w:val="eu-ES" w:eastAsia="zh-CN" w:bidi="ar-SA"/>
    </w:rPr>
  </w:style>
  <w:style w:type="paragraph" w:customStyle="1" w:styleId="1744">
    <w:name w:val="text1"/>
    <w:basedOn w:val="1"/>
    <w:semiHidden/>
    <w:qFormat/>
    <w:uiPriority w:val="0"/>
    <w:pPr>
      <w:widowControl/>
      <w:tabs>
        <w:tab w:val="clear" w:pos="480"/>
      </w:tabs>
      <w:spacing w:before="100" w:beforeAutospacing="1" w:after="100" w:afterAutospacing="1" w:line="240" w:lineRule="auto"/>
      <w:jc w:val="left"/>
    </w:pPr>
    <w:rPr>
      <w:rFonts w:ascii="宋体" w:hAnsi="宋体" w:cs="宋体"/>
      <w:snapToGrid w:val="0"/>
      <w:kern w:val="0"/>
      <w:lang w:val="eu-ES"/>
    </w:rPr>
  </w:style>
  <w:style w:type="paragraph" w:customStyle="1" w:styleId="1745">
    <w:name w:val="夏1，正文仿3"/>
    <w:basedOn w:val="1"/>
    <w:qFormat/>
    <w:uiPriority w:val="0"/>
    <w:pPr>
      <w:tabs>
        <w:tab w:val="clear" w:pos="480"/>
      </w:tabs>
      <w:snapToGrid w:val="0"/>
      <w:spacing w:before="20" w:line="288" w:lineRule="auto"/>
      <w:ind w:firstLine="675"/>
    </w:pPr>
    <w:rPr>
      <w:rFonts w:ascii="仿宋_GB2312" w:eastAsia="仿宋_GB2312"/>
      <w:snapToGrid w:val="0"/>
      <w:spacing w:val="4"/>
      <w:kern w:val="0"/>
      <w:sz w:val="32"/>
      <w:lang w:val="eu-ES"/>
    </w:rPr>
  </w:style>
  <w:style w:type="paragraph" w:customStyle="1" w:styleId="1746">
    <w:name w:val="华2，标题2，黑体3号"/>
    <w:basedOn w:val="1745"/>
    <w:next w:val="1745"/>
    <w:qFormat/>
    <w:uiPriority w:val="0"/>
    <w:pPr>
      <w:spacing w:before="60"/>
      <w:jc w:val="left"/>
      <w:outlineLvl w:val="1"/>
    </w:pPr>
    <w:rPr>
      <w:rFonts w:ascii="黑体" w:hAnsi="Arial" w:eastAsia="黑体"/>
      <w:lang w:val="en-US"/>
    </w:rPr>
  </w:style>
  <w:style w:type="paragraph" w:customStyle="1" w:styleId="1747">
    <w:name w:val="华1，标题1，标宋"/>
    <w:basedOn w:val="1745"/>
    <w:next w:val="1745"/>
    <w:qFormat/>
    <w:uiPriority w:val="0"/>
    <w:pPr>
      <w:spacing w:before="360" w:after="300"/>
      <w:ind w:firstLine="0"/>
      <w:jc w:val="center"/>
      <w:outlineLvl w:val="0"/>
    </w:pPr>
    <w:rPr>
      <w:rFonts w:ascii="方正大标宋_GBK" w:hAnsi="Arial" w:eastAsia="方正大标宋_GBK"/>
      <w:spacing w:val="20"/>
      <w:sz w:val="44"/>
      <w:lang w:val="en-US"/>
    </w:rPr>
  </w:style>
  <w:style w:type="character" w:customStyle="1" w:styleId="1748">
    <w:name w:val="样式 正文首行缩进 2 + 首行缩进:  2 字符1 Char1"/>
    <w:qFormat/>
    <w:uiPriority w:val="0"/>
    <w:rPr>
      <w:rFonts w:ascii="黑体" w:hAnsi="Arial" w:eastAsia="宋体" w:cs="宋体"/>
      <w:bCs/>
      <w:kern w:val="2"/>
      <w:sz w:val="24"/>
      <w:szCs w:val="24"/>
      <w:lang w:val="en-US" w:eastAsia="zh-CN" w:bidi="ar-SA"/>
    </w:rPr>
  </w:style>
  <w:style w:type="character" w:customStyle="1" w:styleId="1749">
    <w:name w:val="ZX 2标题 Char"/>
    <w:link w:val="457"/>
    <w:qFormat/>
    <w:uiPriority w:val="0"/>
    <w:rPr>
      <w:rFonts w:ascii="宋体" w:cs="宋体"/>
      <w:b/>
      <w:bCs/>
      <w:kern w:val="2"/>
      <w:sz w:val="32"/>
      <w:lang w:val="zh-CN"/>
    </w:rPr>
  </w:style>
  <w:style w:type="character" w:customStyle="1" w:styleId="1750">
    <w:name w:val="样式 小四 首行缩进:  0.85 厘米 行距: 1.5 倍行距 Char"/>
    <w:link w:val="466"/>
    <w:qFormat/>
    <w:uiPriority w:val="0"/>
    <w:rPr>
      <w:rFonts w:ascii="黑体" w:hAnsi="Arial" w:eastAsia="宋体" w:cs="宋体"/>
      <w:bCs/>
      <w:kern w:val="2"/>
      <w:sz w:val="24"/>
      <w:szCs w:val="24"/>
      <w:lang w:val="en-US" w:eastAsia="zh-CN" w:bidi="ar-SA"/>
    </w:rPr>
  </w:style>
  <w:style w:type="paragraph" w:customStyle="1" w:styleId="1751">
    <w:name w:val="银洲湖石化基地表"/>
    <w:basedOn w:val="1"/>
    <w:qFormat/>
    <w:uiPriority w:val="0"/>
    <w:pPr>
      <w:tabs>
        <w:tab w:val="clear" w:pos="480"/>
      </w:tabs>
      <w:autoSpaceDE w:val="0"/>
      <w:autoSpaceDN w:val="0"/>
      <w:adjustRightInd w:val="0"/>
      <w:spacing w:line="0" w:lineRule="atLeast"/>
      <w:jc w:val="center"/>
      <w:textAlignment w:val="center"/>
    </w:pPr>
    <w:rPr>
      <w:kern w:val="0"/>
      <w:sz w:val="21"/>
      <w:szCs w:val="21"/>
    </w:rPr>
  </w:style>
  <w:style w:type="paragraph" w:customStyle="1" w:styleId="1752">
    <w:name w:val="银洲湖规划表标题"/>
    <w:basedOn w:val="1"/>
    <w:qFormat/>
    <w:uiPriority w:val="0"/>
    <w:pPr>
      <w:tabs>
        <w:tab w:val="clear" w:pos="480"/>
      </w:tabs>
      <w:spacing w:line="312" w:lineRule="auto"/>
      <w:jc w:val="center"/>
    </w:pPr>
    <w:rPr>
      <w:b/>
      <w:bCs/>
      <w:kern w:val="0"/>
      <w:lang w:val="en-GB"/>
    </w:rPr>
  </w:style>
  <w:style w:type="character" w:customStyle="1" w:styleId="1753">
    <w:name w:val="p12grey"/>
    <w:basedOn w:val="133"/>
    <w:semiHidden/>
    <w:qFormat/>
    <w:uiPriority w:val="0"/>
  </w:style>
  <w:style w:type="paragraph" w:customStyle="1" w:styleId="1754">
    <w:name w:val="正文31"/>
    <w:basedOn w:val="34"/>
    <w:qFormat/>
    <w:uiPriority w:val="0"/>
    <w:pPr>
      <w:tabs>
        <w:tab w:val="clear" w:pos="480"/>
      </w:tabs>
      <w:spacing w:after="120" w:line="324" w:lineRule="auto"/>
    </w:pPr>
    <w:rPr>
      <w:rFonts w:ascii="Arial" w:hAnsi="Arial"/>
      <w:bCs/>
      <w:snapToGrid w:val="0"/>
      <w:kern w:val="0"/>
      <w:lang w:val="eu-ES"/>
    </w:rPr>
  </w:style>
  <w:style w:type="paragraph" w:customStyle="1" w:styleId="1755">
    <w:name w:val="char"/>
    <w:basedOn w:val="1"/>
    <w:semiHidden/>
    <w:qFormat/>
    <w:uiPriority w:val="0"/>
    <w:pPr>
      <w:widowControl/>
      <w:tabs>
        <w:tab w:val="clear" w:pos="480"/>
      </w:tabs>
      <w:spacing w:after="160" w:line="240" w:lineRule="exact"/>
      <w:jc w:val="left"/>
    </w:pPr>
    <w:rPr>
      <w:rFonts w:ascii="Verdana" w:hAnsi="Verdana" w:eastAsia="仿宋_GB2312" w:cs="”“Times New Roman”“"/>
      <w:kern w:val="0"/>
      <w:szCs w:val="20"/>
      <w:lang w:eastAsia="en-US"/>
    </w:rPr>
  </w:style>
  <w:style w:type="paragraph" w:customStyle="1" w:styleId="1756">
    <w:name w:val="新丰产业转移园表"/>
    <w:basedOn w:val="1"/>
    <w:qFormat/>
    <w:uiPriority w:val="0"/>
    <w:pPr>
      <w:tabs>
        <w:tab w:val="clear" w:pos="480"/>
      </w:tabs>
      <w:autoSpaceDE w:val="0"/>
      <w:autoSpaceDN w:val="0"/>
      <w:adjustRightInd w:val="0"/>
      <w:spacing w:line="0" w:lineRule="atLeast"/>
      <w:textAlignment w:val="center"/>
    </w:pPr>
    <w:rPr>
      <w:rFonts w:ascii="宋体" w:hAnsi="宋体"/>
      <w:kern w:val="0"/>
      <w:sz w:val="21"/>
      <w:szCs w:val="21"/>
    </w:rPr>
  </w:style>
  <w:style w:type="paragraph" w:customStyle="1" w:styleId="1757">
    <w:name w:val="正文  规划"/>
    <w:basedOn w:val="1"/>
    <w:qFormat/>
    <w:uiPriority w:val="0"/>
    <w:pPr>
      <w:tabs>
        <w:tab w:val="clear" w:pos="480"/>
      </w:tabs>
      <w:adjustRightInd w:val="0"/>
      <w:spacing w:before="120" w:after="120"/>
      <w:ind w:firstLine="480"/>
    </w:pPr>
    <w:rPr>
      <w:rFonts w:cs="宋体"/>
      <w:szCs w:val="20"/>
    </w:rPr>
  </w:style>
  <w:style w:type="character" w:customStyle="1" w:styleId="1758">
    <w:name w:val="表文 Char"/>
    <w:link w:val="575"/>
    <w:qFormat/>
    <w:uiPriority w:val="0"/>
    <w:rPr>
      <w:rFonts w:eastAsia="宋体"/>
      <w:spacing w:val="-2"/>
      <w:kern w:val="2"/>
      <w:sz w:val="24"/>
      <w:szCs w:val="24"/>
      <w:lang w:val="en-US" w:eastAsia="zh-CN" w:bidi="ar-SA"/>
    </w:rPr>
  </w:style>
  <w:style w:type="paragraph" w:customStyle="1" w:styleId="1759">
    <w:name w:val="框图文字1"/>
    <w:basedOn w:val="1"/>
    <w:qFormat/>
    <w:uiPriority w:val="0"/>
    <w:pPr>
      <w:tabs>
        <w:tab w:val="left" w:pos="780"/>
        <w:tab w:val="clear" w:pos="480"/>
      </w:tabs>
      <w:adjustRightInd w:val="0"/>
      <w:snapToGrid w:val="0"/>
      <w:spacing w:beforeLines="25" w:line="240" w:lineRule="auto"/>
      <w:ind w:left="200" w:leftChars="200" w:hanging="200" w:hangingChars="200"/>
      <w:jc w:val="center"/>
    </w:pPr>
    <w:rPr>
      <w:sz w:val="18"/>
      <w:szCs w:val="18"/>
    </w:rPr>
  </w:style>
  <w:style w:type="paragraph" w:customStyle="1" w:styleId="1760">
    <w:name w:val="样式 海南化工城正文 + Times New Roman"/>
    <w:basedOn w:val="788"/>
    <w:link w:val="1761"/>
    <w:qFormat/>
    <w:uiPriority w:val="0"/>
    <w:pPr>
      <w:numPr>
        <w:ilvl w:val="0"/>
        <w:numId w:val="0"/>
      </w:numPr>
      <w:adjustRightInd/>
      <w:snapToGrid/>
      <w:spacing w:line="312" w:lineRule="auto"/>
      <w:ind w:firstLine="200" w:firstLineChars="200"/>
    </w:pPr>
    <w:rPr>
      <w:rFonts w:ascii="Times New Roman" w:hAnsi="Times New Roman"/>
    </w:rPr>
  </w:style>
  <w:style w:type="character" w:customStyle="1" w:styleId="1761">
    <w:name w:val="样式 海南化工城正文 + Times New Roman Char"/>
    <w:link w:val="1760"/>
    <w:qFormat/>
    <w:uiPriority w:val="0"/>
    <w:rPr>
      <w:rFonts w:eastAsia="宋体"/>
      <w:sz w:val="24"/>
      <w:lang w:bidi="ar-SA"/>
    </w:rPr>
  </w:style>
  <w:style w:type="paragraph" w:customStyle="1" w:styleId="1762">
    <w:name w:val="海南椰岛正文"/>
    <w:basedOn w:val="20"/>
    <w:link w:val="1763"/>
    <w:qFormat/>
    <w:uiPriority w:val="0"/>
    <w:pPr>
      <w:tabs>
        <w:tab w:val="clear" w:pos="480"/>
      </w:tabs>
      <w:spacing w:line="312" w:lineRule="auto"/>
      <w:ind w:firstLine="200"/>
    </w:pPr>
    <w:rPr>
      <w:rFonts w:ascii="宋体" w:hAnsi="宋体"/>
      <w:kern w:val="0"/>
      <w:lang w:val="zh-CN"/>
    </w:rPr>
  </w:style>
  <w:style w:type="character" w:customStyle="1" w:styleId="1763">
    <w:name w:val="海南椰岛正文 Char"/>
    <w:link w:val="1762"/>
    <w:qFormat/>
    <w:uiPriority w:val="0"/>
    <w:rPr>
      <w:rFonts w:ascii="宋体" w:hAnsi="宋体" w:eastAsia="宋体"/>
      <w:sz w:val="24"/>
      <w:szCs w:val="24"/>
      <w:lang w:bidi="ar-SA"/>
    </w:rPr>
  </w:style>
  <w:style w:type="paragraph" w:customStyle="1" w:styleId="1764">
    <w:name w:val="东方工业区"/>
    <w:basedOn w:val="788"/>
    <w:link w:val="1765"/>
    <w:qFormat/>
    <w:uiPriority w:val="0"/>
    <w:pPr>
      <w:numPr>
        <w:numId w:val="0"/>
      </w:numPr>
      <w:adjustRightInd/>
      <w:snapToGrid/>
      <w:ind w:firstLine="480" w:firstLineChars="200"/>
    </w:pPr>
  </w:style>
  <w:style w:type="character" w:customStyle="1" w:styleId="1765">
    <w:name w:val="东方工业区 Char"/>
    <w:link w:val="1764"/>
    <w:qFormat/>
    <w:uiPriority w:val="0"/>
    <w:rPr>
      <w:rFonts w:ascii="宋体" w:hAnsi="宋体"/>
      <w:sz w:val="24"/>
    </w:rPr>
  </w:style>
  <w:style w:type="paragraph" w:customStyle="1" w:styleId="1766">
    <w:name w:val="样式 海南化工城正文 + 加宽量  1 磅"/>
    <w:basedOn w:val="788"/>
    <w:link w:val="1767"/>
    <w:qFormat/>
    <w:uiPriority w:val="0"/>
    <w:pPr>
      <w:numPr>
        <w:ilvl w:val="0"/>
        <w:numId w:val="0"/>
      </w:numPr>
      <w:adjustRightInd/>
      <w:snapToGrid/>
      <w:spacing w:line="312" w:lineRule="auto"/>
      <w:ind w:firstLine="200" w:firstLineChars="200"/>
    </w:pPr>
    <w:rPr>
      <w:spacing w:val="20"/>
      <w:szCs w:val="24"/>
    </w:rPr>
  </w:style>
  <w:style w:type="character" w:customStyle="1" w:styleId="1767">
    <w:name w:val="样式 海南化工城正文 + 加宽量  1 磅 Char"/>
    <w:link w:val="1766"/>
    <w:qFormat/>
    <w:uiPriority w:val="0"/>
    <w:rPr>
      <w:rFonts w:ascii="宋体" w:hAnsi="宋体" w:eastAsia="宋体"/>
      <w:spacing w:val="20"/>
      <w:sz w:val="24"/>
      <w:szCs w:val="24"/>
      <w:lang w:bidi="ar-SA"/>
    </w:rPr>
  </w:style>
  <w:style w:type="paragraph" w:customStyle="1" w:styleId="1768">
    <w:name w:val="表标题41"/>
    <w:basedOn w:val="1"/>
    <w:semiHidden/>
    <w:qFormat/>
    <w:uiPriority w:val="0"/>
    <w:pPr>
      <w:tabs>
        <w:tab w:val="left" w:pos="1200"/>
        <w:tab w:val="clear" w:pos="480"/>
      </w:tabs>
      <w:spacing w:beforeLines="100" w:line="0" w:lineRule="atLeast"/>
      <w:ind w:left="1200" w:leftChars="400" w:hanging="360" w:hangingChars="200"/>
      <w:jc w:val="center"/>
    </w:pPr>
    <w:rPr>
      <w:rFonts w:eastAsia="黑体"/>
      <w:b/>
      <w:szCs w:val="20"/>
    </w:rPr>
  </w:style>
  <w:style w:type="paragraph" w:customStyle="1" w:styleId="1769">
    <w:name w:val="目录1"/>
    <w:basedOn w:val="1"/>
    <w:next w:val="1"/>
    <w:qFormat/>
    <w:uiPriority w:val="0"/>
    <w:pPr>
      <w:tabs>
        <w:tab w:val="clear" w:pos="480"/>
      </w:tabs>
      <w:spacing w:beforeLines="30" w:afterLines="30" w:line="400" w:lineRule="exact"/>
    </w:pPr>
    <w:rPr>
      <w:rFonts w:ascii="Arial" w:hAnsi="Arial" w:eastAsia="黑体"/>
      <w:spacing w:val="10"/>
      <w:w w:val="90"/>
      <w:kern w:val="21"/>
      <w:szCs w:val="20"/>
    </w:rPr>
  </w:style>
  <w:style w:type="paragraph" w:customStyle="1" w:styleId="1770">
    <w:name w:val="样式 标题 2 + 左侧:  0 厘米 悬挂缩进: 5.76 字符 段前: 6 磅 段后: 6 磅 行距: 固定值 20..."/>
    <w:basedOn w:val="3"/>
    <w:qFormat/>
    <w:uiPriority w:val="0"/>
    <w:pPr>
      <w:numPr>
        <w:ilvl w:val="0"/>
        <w:numId w:val="0"/>
      </w:numPr>
      <w:tabs>
        <w:tab w:val="clear" w:pos="480"/>
        <w:tab w:val="clear" w:pos="630"/>
      </w:tabs>
      <w:adjustRightInd w:val="0"/>
      <w:snapToGrid w:val="0"/>
      <w:spacing w:before="0" w:line="400" w:lineRule="exact"/>
      <w:ind w:left="576" w:hanging="576"/>
    </w:pPr>
    <w:rPr>
      <w:rFonts w:ascii="Arial" w:hAnsi="Arial" w:eastAsia="黑体"/>
      <w:b w:val="0"/>
      <w:bCs w:val="0"/>
      <w:szCs w:val="20"/>
    </w:rPr>
  </w:style>
  <w:style w:type="character" w:customStyle="1" w:styleId="1771">
    <w:name w:val="样式 题注 + 首行缩进:  2 字符2 Char"/>
    <w:link w:val="1772"/>
    <w:qFormat/>
    <w:locked/>
    <w:uiPriority w:val="0"/>
    <w:rPr>
      <w:rFonts w:ascii="黑体" w:hAnsi="宋体" w:eastAsia="黑体"/>
      <w:sz w:val="24"/>
      <w:lang w:bidi="ar-SA"/>
    </w:rPr>
  </w:style>
  <w:style w:type="paragraph" w:customStyle="1" w:styleId="1772">
    <w:name w:val="样式 题注 + 首行缩进:  2 字符2"/>
    <w:basedOn w:val="21"/>
    <w:link w:val="1771"/>
    <w:qFormat/>
    <w:uiPriority w:val="0"/>
    <w:pPr>
      <w:keepNext/>
      <w:widowControl w:val="0"/>
      <w:spacing w:before="0" w:after="0" w:line="240" w:lineRule="auto"/>
      <w:ind w:firstLine="0" w:firstLineChars="0"/>
    </w:pPr>
    <w:rPr>
      <w:rFonts w:ascii="黑体" w:hAnsi="宋体" w:eastAsia="黑体" w:cs="Times New Roman"/>
      <w:color w:val="auto"/>
      <w:kern w:val="0"/>
      <w:lang w:val="zh-CN"/>
    </w:rPr>
  </w:style>
  <w:style w:type="paragraph" w:customStyle="1" w:styleId="1773">
    <w:name w:val="In Table (II)"/>
    <w:basedOn w:val="1677"/>
    <w:semiHidden/>
    <w:qFormat/>
    <w:uiPriority w:val="0"/>
    <w:pPr>
      <w:spacing w:beforeLines="25" w:afterLines="25"/>
      <w:ind w:left="20" w:leftChars="20"/>
      <w:jc w:val="left"/>
    </w:pPr>
  </w:style>
  <w:style w:type="paragraph" w:customStyle="1" w:styleId="1774">
    <w:name w:val="样式 标题 31.1.1条标题 3 Char Char标题 3 Char标3§1.1.1.. (1.1.1)- ...1"/>
    <w:basedOn w:val="1"/>
    <w:qFormat/>
    <w:uiPriority w:val="0"/>
    <w:pPr>
      <w:tabs>
        <w:tab w:val="left" w:pos="0"/>
        <w:tab w:val="left" w:pos="1260"/>
        <w:tab w:val="clear" w:pos="480"/>
      </w:tabs>
      <w:spacing w:line="312" w:lineRule="auto"/>
      <w:ind w:left="1260" w:hanging="420"/>
    </w:pPr>
    <w:rPr>
      <w:szCs w:val="20"/>
    </w:rPr>
  </w:style>
  <w:style w:type="paragraph" w:customStyle="1" w:styleId="1775">
    <w:name w:val="表－居中列"/>
    <w:basedOn w:val="1"/>
    <w:semiHidden/>
    <w:qFormat/>
    <w:uiPriority w:val="0"/>
    <w:pPr>
      <w:suppressLineNumbers/>
      <w:tabs>
        <w:tab w:val="clear" w:pos="480"/>
      </w:tabs>
      <w:suppressAutoHyphens/>
      <w:snapToGrid w:val="0"/>
      <w:spacing w:before="60" w:after="60" w:line="240" w:lineRule="auto"/>
      <w:jc w:val="center"/>
    </w:pPr>
    <w:rPr>
      <w:kern w:val="0"/>
      <w:sz w:val="21"/>
      <w:szCs w:val="20"/>
      <w:lang w:eastAsia="ja-JP"/>
    </w:rPr>
  </w:style>
  <w:style w:type="paragraph" w:customStyle="1" w:styleId="1776">
    <w:name w:val="8.2.2.1"/>
    <w:basedOn w:val="1"/>
    <w:semiHidden/>
    <w:qFormat/>
    <w:uiPriority w:val="0"/>
    <w:pPr>
      <w:tabs>
        <w:tab w:val="left" w:pos="0"/>
        <w:tab w:val="left" w:pos="720"/>
        <w:tab w:val="clear" w:pos="480"/>
      </w:tabs>
      <w:spacing w:line="312" w:lineRule="auto"/>
    </w:pPr>
    <w:rPr>
      <w:szCs w:val="20"/>
    </w:rPr>
  </w:style>
  <w:style w:type="paragraph" w:customStyle="1" w:styleId="1777">
    <w:name w:val="表格中"/>
    <w:basedOn w:val="66"/>
    <w:semiHidden/>
    <w:qFormat/>
    <w:uiPriority w:val="0"/>
    <w:pPr>
      <w:spacing w:beforeLines="50"/>
      <w:ind w:left="0" w:firstLine="0" w:firstLineChars="0"/>
      <w:jc w:val="center"/>
      <w:outlineLvl w:val="5"/>
    </w:pPr>
    <w:rPr>
      <w:rFonts w:ascii="黑体" w:eastAsia="黑体"/>
      <w:sz w:val="24"/>
      <w:szCs w:val="20"/>
    </w:rPr>
  </w:style>
  <w:style w:type="paragraph" w:customStyle="1" w:styleId="1778">
    <w:name w:val="样式 标题 3 + 左侧:  0 厘米 悬挂缩进: 7.2 字符 段前: 4.65 磅 段后: 6 磅 行距: 固定值 ..."/>
    <w:basedOn w:val="4"/>
    <w:qFormat/>
    <w:uiPriority w:val="0"/>
    <w:pPr>
      <w:numPr>
        <w:ilvl w:val="0"/>
        <w:numId w:val="0"/>
      </w:numPr>
      <w:tabs>
        <w:tab w:val="clear" w:pos="480"/>
        <w:tab w:val="clear" w:pos="840"/>
      </w:tabs>
      <w:spacing w:before="93" w:after="120" w:line="440" w:lineRule="exact"/>
      <w:ind w:left="720" w:hanging="720"/>
    </w:pPr>
    <w:rPr>
      <w:rFonts w:ascii="Times New Roman" w:eastAsia="黑体"/>
      <w:b w:val="0"/>
      <w:bCs w:val="0"/>
      <w:sz w:val="26"/>
      <w:szCs w:val="20"/>
    </w:rPr>
  </w:style>
  <w:style w:type="character" w:customStyle="1" w:styleId="1779">
    <w:name w:val="标准条文 Char Char"/>
    <w:link w:val="1780"/>
    <w:semiHidden/>
    <w:qFormat/>
    <w:locked/>
    <w:uiPriority w:val="0"/>
    <w:rPr>
      <w:rFonts w:eastAsia="Times New Roman"/>
      <w:kern w:val="2"/>
      <w:sz w:val="21"/>
      <w:szCs w:val="22"/>
      <w:lang w:val="en-US" w:eastAsia="zh-CN" w:bidi="ar-SA"/>
    </w:rPr>
  </w:style>
  <w:style w:type="paragraph" w:customStyle="1" w:styleId="1780">
    <w:name w:val="标准条文"/>
    <w:link w:val="1779"/>
    <w:semiHidden/>
    <w:qFormat/>
    <w:uiPriority w:val="0"/>
    <w:pPr>
      <w:spacing w:beforeLines="20" w:afterLines="20" w:line="360" w:lineRule="auto"/>
      <w:ind w:firstLine="200" w:firstLineChars="200"/>
      <w:jc w:val="both"/>
    </w:pPr>
    <w:rPr>
      <w:rFonts w:ascii="Times New Roman" w:hAnsi="Times New Roman" w:eastAsia="Times New Roman" w:cs="Times New Roman"/>
      <w:kern w:val="2"/>
      <w:sz w:val="21"/>
      <w:szCs w:val="22"/>
      <w:lang w:val="en-US" w:eastAsia="zh-CN" w:bidi="ar-SA"/>
    </w:rPr>
  </w:style>
  <w:style w:type="paragraph" w:customStyle="1" w:styleId="1781">
    <w:name w:val="列项及编号"/>
    <w:basedOn w:val="1780"/>
    <w:qFormat/>
    <w:uiPriority w:val="0"/>
    <w:pPr>
      <w:adjustRightInd w:val="0"/>
      <w:snapToGrid w:val="0"/>
      <w:spacing w:line="288" w:lineRule="auto"/>
      <w:ind w:firstLine="0" w:firstLineChars="0"/>
    </w:pPr>
  </w:style>
  <w:style w:type="paragraph" w:customStyle="1" w:styleId="1782">
    <w:name w:val="附图"/>
    <w:basedOn w:val="1"/>
    <w:qFormat/>
    <w:uiPriority w:val="0"/>
    <w:pPr>
      <w:tabs>
        <w:tab w:val="clear" w:pos="480"/>
      </w:tabs>
      <w:spacing w:line="0" w:lineRule="atLeast"/>
      <w:jc w:val="center"/>
    </w:pPr>
    <w:rPr>
      <w:sz w:val="21"/>
      <w:szCs w:val="20"/>
    </w:rPr>
  </w:style>
  <w:style w:type="paragraph" w:customStyle="1" w:styleId="1783">
    <w:name w:val="表8.1-1"/>
    <w:basedOn w:val="1"/>
    <w:semiHidden/>
    <w:qFormat/>
    <w:uiPriority w:val="0"/>
    <w:pPr>
      <w:tabs>
        <w:tab w:val="left" w:pos="425"/>
        <w:tab w:val="left" w:pos="3480"/>
        <w:tab w:val="clear" w:pos="480"/>
      </w:tabs>
      <w:adjustRightInd w:val="0"/>
      <w:snapToGrid w:val="0"/>
      <w:spacing w:beforeLines="100" w:line="0" w:lineRule="atLeast"/>
      <w:ind w:left="3240" w:hanging="425"/>
      <w:jc w:val="center"/>
    </w:pPr>
    <w:rPr>
      <w:rFonts w:ascii="黑体" w:eastAsia="黑体"/>
      <w:b/>
      <w:szCs w:val="20"/>
    </w:rPr>
  </w:style>
  <w:style w:type="paragraph" w:customStyle="1" w:styleId="1784">
    <w:name w:val="样式 四号 行距: 固定值 24 磅"/>
    <w:basedOn w:val="1"/>
    <w:qFormat/>
    <w:uiPriority w:val="0"/>
    <w:pPr>
      <w:tabs>
        <w:tab w:val="clear" w:pos="480"/>
      </w:tabs>
      <w:spacing w:line="480" w:lineRule="exact"/>
      <w:ind w:firstLine="560"/>
    </w:pPr>
    <w:rPr>
      <w:szCs w:val="20"/>
    </w:rPr>
  </w:style>
  <w:style w:type="paragraph" w:customStyle="1" w:styleId="1785">
    <w:name w:val="8.2.1.1 标题 31.1.1条标题 3 Char Char标题 3 Char标3§1.1.1.. (1.1.1)- ...1"/>
    <w:basedOn w:val="1"/>
    <w:semiHidden/>
    <w:qFormat/>
    <w:uiPriority w:val="0"/>
    <w:pPr>
      <w:tabs>
        <w:tab w:val="left" w:pos="0"/>
        <w:tab w:val="left" w:pos="1571"/>
        <w:tab w:val="clear" w:pos="480"/>
      </w:tabs>
      <w:spacing w:line="312" w:lineRule="auto"/>
      <w:ind w:left="1418" w:hanging="567"/>
    </w:pPr>
    <w:rPr>
      <w:szCs w:val="20"/>
    </w:rPr>
  </w:style>
  <w:style w:type="paragraph" w:customStyle="1" w:styleId="1786">
    <w:name w:val="图注、图的脚注"/>
    <w:basedOn w:val="1780"/>
    <w:qFormat/>
    <w:uiPriority w:val="0"/>
    <w:rPr>
      <w:sz w:val="18"/>
    </w:rPr>
  </w:style>
  <w:style w:type="character" w:customStyle="1" w:styleId="1787">
    <w:name w:val="样式 标题 4 + 左侧:  0 厘米 悬挂缩进: 8.64 字符 段前: 6 磅 段后: 6 磅 行距: 单倍行距 Char Char"/>
    <w:link w:val="1788"/>
    <w:qFormat/>
    <w:locked/>
    <w:uiPriority w:val="0"/>
    <w:rPr>
      <w:rFonts w:ascii="Arial" w:hAnsi="Arial" w:eastAsia="黑体"/>
      <w:b/>
      <w:sz w:val="24"/>
      <w:lang w:bidi="ar-SA"/>
    </w:rPr>
  </w:style>
  <w:style w:type="paragraph" w:customStyle="1" w:styleId="1788">
    <w:name w:val="样式 标题 4 + 左侧:  0 厘米 悬挂缩进: 8.64 字符 段前: 6 磅 段后: 6 磅 行距: 单倍行距"/>
    <w:basedOn w:val="5"/>
    <w:link w:val="1787"/>
    <w:qFormat/>
    <w:uiPriority w:val="0"/>
    <w:pPr>
      <w:numPr>
        <w:ilvl w:val="0"/>
        <w:numId w:val="0"/>
      </w:numPr>
      <w:tabs>
        <w:tab w:val="left" w:pos="0"/>
        <w:tab w:val="left" w:pos="2356"/>
        <w:tab w:val="clear" w:pos="480"/>
      </w:tabs>
      <w:adjustRightInd w:val="0"/>
      <w:snapToGrid w:val="0"/>
      <w:spacing w:before="120" w:after="120" w:line="312" w:lineRule="auto"/>
      <w:ind w:left="1984" w:hanging="708"/>
    </w:pPr>
    <w:rPr>
      <w:rFonts w:ascii="Arial" w:hAnsi="Arial" w:eastAsia="黑体"/>
      <w:bCs w:val="0"/>
      <w:kern w:val="0"/>
      <w:sz w:val="24"/>
      <w:szCs w:val="20"/>
    </w:rPr>
  </w:style>
  <w:style w:type="paragraph" w:customStyle="1" w:styleId="1789">
    <w:name w:val="标题 4(1).H41.1.1.1标题 4.1.1.1.1标题 4 Char款四级标题，黑粗，小四，序号h..."/>
    <w:basedOn w:val="5"/>
    <w:semiHidden/>
    <w:qFormat/>
    <w:uiPriority w:val="0"/>
    <w:pPr>
      <w:keepNext w:val="0"/>
      <w:keepLines w:val="0"/>
      <w:numPr>
        <w:ilvl w:val="0"/>
        <w:numId w:val="0"/>
      </w:numPr>
      <w:tabs>
        <w:tab w:val="clear" w:pos="480"/>
      </w:tabs>
      <w:adjustRightInd w:val="0"/>
      <w:snapToGrid w:val="0"/>
      <w:spacing w:before="120" w:after="120"/>
    </w:pPr>
    <w:rPr>
      <w:rFonts w:ascii="Times New Roman" w:hAnsi="Times New Roman" w:eastAsia="华文楷体"/>
      <w:bCs w:val="0"/>
      <w:kern w:val="0"/>
      <w:szCs w:val="20"/>
    </w:rPr>
  </w:style>
  <w:style w:type="paragraph" w:customStyle="1" w:styleId="1790">
    <w:name w:val="标题4."/>
    <w:basedOn w:val="5"/>
    <w:semiHidden/>
    <w:qFormat/>
    <w:uiPriority w:val="0"/>
    <w:pPr>
      <w:numPr>
        <w:ilvl w:val="0"/>
        <w:numId w:val="0"/>
      </w:numPr>
      <w:tabs>
        <w:tab w:val="left" w:pos="1800"/>
        <w:tab w:val="clear" w:pos="480"/>
      </w:tabs>
      <w:adjustRightInd w:val="0"/>
      <w:snapToGrid w:val="0"/>
      <w:spacing w:before="120" w:after="120" w:line="312" w:lineRule="auto"/>
      <w:ind w:left="851" w:hanging="851"/>
    </w:pPr>
    <w:rPr>
      <w:rFonts w:ascii="Times New Roman" w:hAnsi="Times New Roman" w:eastAsia="黑体"/>
      <w:bCs w:val="0"/>
      <w:kern w:val="0"/>
      <w:szCs w:val="20"/>
    </w:rPr>
  </w:style>
  <w:style w:type="paragraph" w:customStyle="1" w:styleId="1791">
    <w:name w:val="调研内容"/>
    <w:basedOn w:val="1"/>
    <w:qFormat/>
    <w:uiPriority w:val="0"/>
    <w:pPr>
      <w:tabs>
        <w:tab w:val="clear" w:pos="480"/>
      </w:tabs>
    </w:pPr>
    <w:rPr>
      <w:sz w:val="21"/>
      <w:szCs w:val="20"/>
    </w:rPr>
  </w:style>
  <w:style w:type="paragraph" w:customStyle="1" w:styleId="1792">
    <w:name w:val="T表格"/>
    <w:qFormat/>
    <w:uiPriority w:val="0"/>
    <w:pPr>
      <w:widowControl w:val="0"/>
      <w:jc w:val="center"/>
    </w:pPr>
    <w:rPr>
      <w:rFonts w:ascii="仿宋_GB2312" w:hAnsi="Times New Roman" w:eastAsia="仿宋_GB2312" w:cs="Times New Roman"/>
      <w:color w:val="000000"/>
      <w:kern w:val="2"/>
      <w:sz w:val="24"/>
      <w:szCs w:val="24"/>
      <w:lang w:val="en-US" w:eastAsia="zh-CN" w:bidi="ar-SA"/>
    </w:rPr>
  </w:style>
  <w:style w:type="paragraph" w:customStyle="1" w:styleId="1793">
    <w:name w:val="表格文字居中 Char"/>
    <w:basedOn w:val="86"/>
    <w:semiHidden/>
    <w:qFormat/>
    <w:uiPriority w:val="0"/>
    <w:pPr>
      <w:tabs>
        <w:tab w:val="left" w:pos="628"/>
        <w:tab w:val="left" w:pos="1727"/>
        <w:tab w:val="left" w:pos="1884"/>
        <w:tab w:val="left" w:pos="2660"/>
        <w:tab w:val="left" w:pos="5460"/>
      </w:tabs>
      <w:snapToGrid w:val="0"/>
      <w:spacing w:after="0" w:line="320" w:lineRule="exact"/>
      <w:ind w:firstLine="0" w:firstLineChars="0"/>
    </w:pPr>
    <w:rPr>
      <w:rFonts w:ascii="宋体" w:hAnsi="宋体"/>
      <w:color w:val="FF0000"/>
      <w:kern w:val="0"/>
      <w:szCs w:val="20"/>
    </w:rPr>
  </w:style>
  <w:style w:type="character" w:customStyle="1" w:styleId="1794">
    <w:name w:val="样式 表标8.2 + 黑体 四号 Char"/>
    <w:link w:val="1795"/>
    <w:qFormat/>
    <w:locked/>
    <w:uiPriority w:val="0"/>
    <w:rPr>
      <w:rFonts w:ascii="黑体" w:hAnsi="黑体" w:eastAsia="黑体"/>
      <w:b/>
      <w:color w:val="000000"/>
      <w:sz w:val="28"/>
      <w:lang w:bidi="ar-SA"/>
    </w:rPr>
  </w:style>
  <w:style w:type="paragraph" w:customStyle="1" w:styleId="1795">
    <w:name w:val="样式 表标8.2 + 黑体 四号"/>
    <w:basedOn w:val="1"/>
    <w:link w:val="1794"/>
    <w:qFormat/>
    <w:uiPriority w:val="0"/>
    <w:pPr>
      <w:widowControl/>
      <w:tabs>
        <w:tab w:val="left" w:pos="360"/>
        <w:tab w:val="left" w:pos="8207"/>
        <w:tab w:val="clear" w:pos="480"/>
      </w:tabs>
      <w:adjustRightInd w:val="0"/>
      <w:snapToGrid w:val="0"/>
      <w:spacing w:before="120" w:line="0" w:lineRule="atLeast"/>
      <w:ind w:left="360" w:hanging="200" w:hangingChars="200"/>
      <w:jc w:val="center"/>
    </w:pPr>
    <w:rPr>
      <w:rFonts w:ascii="黑体" w:hAnsi="黑体" w:eastAsia="黑体"/>
      <w:b/>
      <w:color w:val="000000"/>
      <w:kern w:val="0"/>
      <w:sz w:val="28"/>
      <w:szCs w:val="20"/>
      <w:lang w:val="zh-CN"/>
    </w:rPr>
  </w:style>
  <w:style w:type="character" w:customStyle="1" w:styleId="1796">
    <w:name w:val="Char Char13"/>
    <w:semiHidden/>
    <w:qFormat/>
    <w:uiPriority w:val="0"/>
    <w:rPr>
      <w:b/>
      <w:kern w:val="44"/>
      <w:sz w:val="44"/>
    </w:rPr>
  </w:style>
  <w:style w:type="character" w:customStyle="1" w:styleId="1797">
    <w:name w:val="bt1"/>
    <w:semiHidden/>
    <w:qFormat/>
    <w:uiPriority w:val="0"/>
    <w:rPr>
      <w:color w:val="000000"/>
    </w:rPr>
  </w:style>
  <w:style w:type="paragraph" w:customStyle="1" w:styleId="1798">
    <w:name w:val="样式 表格文字居中 Char + 自动设置"/>
    <w:basedOn w:val="1793"/>
    <w:qFormat/>
    <w:uiPriority w:val="0"/>
    <w:rPr>
      <w:color w:val="000000"/>
    </w:rPr>
  </w:style>
  <w:style w:type="paragraph" w:customStyle="1" w:styleId="1799">
    <w:name w:val="报告书正文"/>
    <w:basedOn w:val="1"/>
    <w:link w:val="3612"/>
    <w:qFormat/>
    <w:uiPriority w:val="0"/>
    <w:pPr>
      <w:tabs>
        <w:tab w:val="clear" w:pos="480"/>
      </w:tabs>
      <w:adjustRightInd w:val="0"/>
      <w:snapToGrid w:val="0"/>
      <w:spacing w:line="300" w:lineRule="auto"/>
    </w:pPr>
    <w:rPr>
      <w:rFonts w:ascii="宋体"/>
      <w:sz w:val="28"/>
    </w:rPr>
  </w:style>
  <w:style w:type="paragraph" w:customStyle="1" w:styleId="1800">
    <w:name w:val="zw"/>
    <w:basedOn w:val="1"/>
    <w:semiHidden/>
    <w:qFormat/>
    <w:uiPriority w:val="0"/>
    <w:pPr>
      <w:widowControl/>
      <w:tabs>
        <w:tab w:val="clear" w:pos="480"/>
      </w:tabs>
      <w:spacing w:before="30" w:line="240" w:lineRule="auto"/>
      <w:ind w:left="100" w:right="100"/>
    </w:pPr>
    <w:rPr>
      <w:rFonts w:ascii="方正书宋简体" w:hAnsi="宋体" w:eastAsia="方正书宋简体"/>
      <w:color w:val="000000"/>
      <w:kern w:val="0"/>
      <w:sz w:val="21"/>
      <w:szCs w:val="21"/>
    </w:rPr>
  </w:style>
  <w:style w:type="table" w:customStyle="1" w:styleId="1801">
    <w:name w:val="表格样式2"/>
    <w:basedOn w:val="88"/>
    <w:semiHidden/>
    <w:qFormat/>
    <w:uiPriority w:val="0"/>
    <w:pPr>
      <w:snapToGrid w:val="0"/>
      <w:spacing w:beforeLines="50" w:afterLines="25" w:line="312" w:lineRule="auto"/>
      <w:ind w:firstLine="200" w:firstLineChars="200"/>
    </w:pPr>
    <w:rPr>
      <w:rFonts w:hAnsi="宋体" w:cs="宋体"/>
      <w:b/>
    </w:rPr>
  </w:style>
  <w:style w:type="table" w:customStyle="1" w:styleId="1802">
    <w:name w:val="三线表1"/>
    <w:basedOn w:val="88"/>
    <w:qFormat/>
    <w:uiPriority w:val="0"/>
    <w:pPr>
      <w:widowControl w:val="0"/>
      <w:spacing w:before="60" w:after="60" w:line="340" w:lineRule="exact"/>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803">
    <w:name w:val="t_tag"/>
    <w:basedOn w:val="133"/>
    <w:semiHidden/>
    <w:qFormat/>
    <w:uiPriority w:val="0"/>
  </w:style>
  <w:style w:type="paragraph" w:customStyle="1" w:styleId="1804">
    <w:name w:val="表标题4"/>
    <w:basedOn w:val="1"/>
    <w:semiHidden/>
    <w:qFormat/>
    <w:uiPriority w:val="0"/>
    <w:pPr>
      <w:tabs>
        <w:tab w:val="clear" w:pos="480"/>
      </w:tabs>
      <w:autoSpaceDE w:val="0"/>
      <w:autoSpaceDN w:val="0"/>
      <w:adjustRightInd w:val="0"/>
      <w:snapToGrid w:val="0"/>
      <w:spacing w:before="180" w:after="120" w:line="408" w:lineRule="atLeast"/>
      <w:jc w:val="center"/>
      <w:textAlignment w:val="baseline"/>
    </w:pPr>
    <w:rPr>
      <w:b/>
      <w:spacing w:val="2"/>
      <w:kern w:val="0"/>
      <w:sz w:val="28"/>
      <w:szCs w:val="20"/>
    </w:rPr>
  </w:style>
  <w:style w:type="paragraph" w:customStyle="1" w:styleId="1805">
    <w:name w:val="表标题3"/>
    <w:basedOn w:val="1"/>
    <w:semiHidden/>
    <w:qFormat/>
    <w:uiPriority w:val="0"/>
    <w:pPr>
      <w:tabs>
        <w:tab w:val="clear" w:pos="480"/>
      </w:tabs>
      <w:autoSpaceDE w:val="0"/>
      <w:autoSpaceDN w:val="0"/>
      <w:adjustRightInd w:val="0"/>
      <w:snapToGrid w:val="0"/>
      <w:spacing w:before="180" w:after="120" w:line="408" w:lineRule="atLeast"/>
      <w:jc w:val="center"/>
      <w:textAlignment w:val="baseline"/>
    </w:pPr>
    <w:rPr>
      <w:b/>
      <w:spacing w:val="2"/>
      <w:kern w:val="0"/>
      <w:sz w:val="28"/>
      <w:szCs w:val="20"/>
    </w:rPr>
  </w:style>
  <w:style w:type="paragraph" w:customStyle="1" w:styleId="1806">
    <w:name w:val="Char Char Char12"/>
    <w:basedOn w:val="1"/>
    <w:semiHidden/>
    <w:qFormat/>
    <w:uiPriority w:val="0"/>
    <w:pPr>
      <w:tabs>
        <w:tab w:val="clear" w:pos="480"/>
      </w:tabs>
      <w:adjustRightInd w:val="0"/>
      <w:snapToGrid w:val="0"/>
      <w:spacing w:line="400" w:lineRule="exact"/>
    </w:pPr>
    <w:rPr>
      <w:szCs w:val="20"/>
    </w:rPr>
  </w:style>
  <w:style w:type="paragraph" w:customStyle="1" w:styleId="1807">
    <w:name w:val="Char Char3"/>
    <w:basedOn w:val="1"/>
    <w:semiHidden/>
    <w:qFormat/>
    <w:uiPriority w:val="0"/>
    <w:pPr>
      <w:tabs>
        <w:tab w:val="clear" w:pos="480"/>
      </w:tabs>
      <w:adjustRightInd w:val="0"/>
      <w:snapToGrid w:val="0"/>
      <w:spacing w:line="400" w:lineRule="exact"/>
    </w:pPr>
    <w:rPr>
      <w:szCs w:val="20"/>
    </w:rPr>
  </w:style>
  <w:style w:type="paragraph" w:customStyle="1" w:styleId="1808">
    <w:name w:val="Char Char Char Char2"/>
    <w:basedOn w:val="1"/>
    <w:qFormat/>
    <w:uiPriority w:val="0"/>
    <w:pPr>
      <w:tabs>
        <w:tab w:val="clear" w:pos="480"/>
      </w:tabs>
      <w:spacing w:line="240" w:lineRule="auto"/>
    </w:pPr>
    <w:rPr>
      <w:sz w:val="21"/>
    </w:rPr>
  </w:style>
  <w:style w:type="paragraph" w:customStyle="1" w:styleId="1809">
    <w:name w:val="Char Char Char2 Char Char Char1"/>
    <w:basedOn w:val="1"/>
    <w:semiHidden/>
    <w:qFormat/>
    <w:uiPriority w:val="0"/>
    <w:pPr>
      <w:tabs>
        <w:tab w:val="clear" w:pos="480"/>
      </w:tabs>
      <w:spacing w:line="240" w:lineRule="auto"/>
    </w:pPr>
  </w:style>
  <w:style w:type="paragraph" w:customStyle="1" w:styleId="1810">
    <w:name w:val="Char1 Char Char1"/>
    <w:basedOn w:val="1"/>
    <w:semiHidden/>
    <w:qFormat/>
    <w:uiPriority w:val="0"/>
    <w:pPr>
      <w:tabs>
        <w:tab w:val="clear" w:pos="480"/>
      </w:tabs>
    </w:pPr>
    <w:rPr>
      <w:rFonts w:ascii="宋体" w:hAnsi="宋体" w:cs="宋体"/>
    </w:rPr>
  </w:style>
  <w:style w:type="paragraph" w:customStyle="1" w:styleId="1811">
    <w:name w:val="Char Char Char Char Char Char Char2"/>
    <w:basedOn w:val="1"/>
    <w:semiHidden/>
    <w:qFormat/>
    <w:uiPriority w:val="0"/>
    <w:pPr>
      <w:tabs>
        <w:tab w:val="clear" w:pos="480"/>
      </w:tabs>
      <w:spacing w:line="240" w:lineRule="auto"/>
    </w:pPr>
    <w:rPr>
      <w:sz w:val="21"/>
    </w:rPr>
  </w:style>
  <w:style w:type="paragraph" w:customStyle="1" w:styleId="1812">
    <w:name w:val="Char Char Char Char Char Char1"/>
    <w:basedOn w:val="1"/>
    <w:semiHidden/>
    <w:qFormat/>
    <w:uiPriority w:val="0"/>
    <w:pPr>
      <w:tabs>
        <w:tab w:val="clear" w:pos="480"/>
      </w:tabs>
      <w:spacing w:line="240" w:lineRule="auto"/>
    </w:pPr>
    <w:rPr>
      <w:sz w:val="21"/>
    </w:rPr>
  </w:style>
  <w:style w:type="paragraph" w:customStyle="1" w:styleId="1813">
    <w:name w:val="zwb-正文"/>
    <w:basedOn w:val="1"/>
    <w:link w:val="1817"/>
    <w:semiHidden/>
    <w:qFormat/>
    <w:uiPriority w:val="0"/>
    <w:pPr>
      <w:tabs>
        <w:tab w:val="clear" w:pos="480"/>
      </w:tabs>
      <w:ind w:firstLine="480"/>
    </w:pPr>
    <w:rPr>
      <w:kern w:val="0"/>
      <w:lang w:val="zh-CN"/>
    </w:rPr>
  </w:style>
  <w:style w:type="paragraph" w:customStyle="1" w:styleId="1814">
    <w:name w:val="zwb-图表标题"/>
    <w:basedOn w:val="1"/>
    <w:semiHidden/>
    <w:qFormat/>
    <w:uiPriority w:val="0"/>
    <w:pPr>
      <w:tabs>
        <w:tab w:val="clear" w:pos="480"/>
      </w:tabs>
      <w:jc w:val="center"/>
    </w:pPr>
    <w:rPr>
      <w:b/>
    </w:rPr>
  </w:style>
  <w:style w:type="table" w:customStyle="1" w:styleId="1815">
    <w:name w:val="zwb-表格"/>
    <w:basedOn w:val="88"/>
    <w:semiHidden/>
    <w:qFormat/>
    <w:uiPriority w:val="0"/>
    <w:pPr>
      <w:widowControl w:val="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28" w:type="dxa"/>
        <w:right w:w="28" w:type="dxa"/>
      </w:tblCellMar>
    </w:tblPr>
    <w:tcPr>
      <w:vAlign w:val="center"/>
    </w:tcPr>
  </w:style>
  <w:style w:type="paragraph" w:customStyle="1" w:styleId="1816">
    <w:name w:val="Char Char Char1 Char Char Char Char Char Char Char Char Char Char Char Char Char Char Char Char Char Char Char"/>
    <w:basedOn w:val="1"/>
    <w:semiHidden/>
    <w:qFormat/>
    <w:uiPriority w:val="0"/>
    <w:pPr>
      <w:tabs>
        <w:tab w:val="left" w:pos="360"/>
        <w:tab w:val="clear" w:pos="480"/>
      </w:tabs>
      <w:spacing w:afterLines="20" w:line="324" w:lineRule="auto"/>
    </w:pPr>
    <w:rPr>
      <w:rFonts w:ascii="Verdana" w:hAnsi="Verdana" w:eastAsia="黑体"/>
      <w:b/>
      <w:kern w:val="0"/>
      <w:sz w:val="32"/>
      <w:szCs w:val="20"/>
      <w:lang w:eastAsia="en-US"/>
    </w:rPr>
  </w:style>
  <w:style w:type="character" w:customStyle="1" w:styleId="1817">
    <w:name w:val="zwb-正文 Char"/>
    <w:link w:val="1813"/>
    <w:qFormat/>
    <w:uiPriority w:val="0"/>
    <w:rPr>
      <w:rFonts w:eastAsia="宋体"/>
      <w:sz w:val="24"/>
      <w:szCs w:val="24"/>
      <w:lang w:bidi="ar-SA"/>
    </w:rPr>
  </w:style>
  <w:style w:type="paragraph" w:customStyle="1" w:styleId="1818">
    <w:name w:val="丽洁表头"/>
    <w:basedOn w:val="1600"/>
    <w:link w:val="1819"/>
    <w:qFormat/>
    <w:uiPriority w:val="0"/>
  </w:style>
  <w:style w:type="character" w:customStyle="1" w:styleId="1819">
    <w:name w:val="丽洁表头 Char"/>
    <w:link w:val="1818"/>
    <w:qFormat/>
    <w:uiPriority w:val="0"/>
    <w:rPr>
      <w:rFonts w:eastAsia="黑体"/>
      <w:b/>
      <w:spacing w:val="10"/>
      <w:sz w:val="24"/>
      <w:lang w:bidi="ar-SA"/>
    </w:rPr>
  </w:style>
  <w:style w:type="paragraph" w:customStyle="1" w:styleId="1820">
    <w:name w:val="Char Char Char Char Char Char Char Char Char Char Char Char Char Char Char Char Char Char Char Char Char Char Char Char Char Char Char Char"/>
    <w:semiHidden/>
    <w:qFormat/>
    <w:uiPriority w:val="0"/>
    <w:pPr>
      <w:spacing w:line="360" w:lineRule="auto"/>
      <w:ind w:firstLine="200" w:firstLineChars="200"/>
      <w:jc w:val="both"/>
    </w:pPr>
    <w:rPr>
      <w:rFonts w:ascii="宋体" w:hAnsi="宋体" w:eastAsia="宋体" w:cs="宋体"/>
      <w:kern w:val="2"/>
      <w:sz w:val="24"/>
      <w:szCs w:val="24"/>
      <w:lang w:val="en-US" w:eastAsia="zh-CN" w:bidi="ar-SA"/>
    </w:rPr>
  </w:style>
  <w:style w:type="character" w:customStyle="1" w:styleId="1821">
    <w:name w:val="佛表 Char"/>
    <w:link w:val="227"/>
    <w:qFormat/>
    <w:uiPriority w:val="0"/>
    <w:rPr>
      <w:rFonts w:eastAsia="宋体"/>
      <w:color w:val="000000"/>
      <w:kern w:val="2"/>
      <w:sz w:val="21"/>
      <w:szCs w:val="21"/>
      <w:lang w:val="en-US" w:eastAsia="zh-CN" w:bidi="ar-SA"/>
    </w:rPr>
  </w:style>
  <w:style w:type="paragraph" w:customStyle="1" w:styleId="1822">
    <w:name w:val="样式 标题 4标题 4 Char Char Char Char Char Char Char Char Char Char C..."/>
    <w:basedOn w:val="5"/>
    <w:qFormat/>
    <w:uiPriority w:val="0"/>
    <w:pPr>
      <w:keepNext w:val="0"/>
      <w:keepLines w:val="0"/>
      <w:numPr>
        <w:ilvl w:val="0"/>
        <w:numId w:val="0"/>
      </w:numPr>
      <w:tabs>
        <w:tab w:val="clear" w:pos="480"/>
      </w:tabs>
      <w:spacing w:before="0" w:after="0" w:line="312" w:lineRule="auto"/>
      <w:jc w:val="center"/>
      <w:outlineLvl w:val="9"/>
    </w:pPr>
    <w:rPr>
      <w:rFonts w:ascii="Times New Roman" w:hAnsi="Times New Roman" w:eastAsia="宋体"/>
      <w:b w:val="0"/>
      <w:bCs w:val="0"/>
      <w:kern w:val="0"/>
      <w:sz w:val="21"/>
      <w:szCs w:val="24"/>
    </w:rPr>
  </w:style>
  <w:style w:type="paragraph" w:customStyle="1" w:styleId="1823">
    <w:name w:val="正文小四首缩1.3行距"/>
    <w:basedOn w:val="1"/>
    <w:link w:val="1824"/>
    <w:qFormat/>
    <w:uiPriority w:val="0"/>
    <w:pPr>
      <w:tabs>
        <w:tab w:val="clear" w:pos="480"/>
      </w:tabs>
      <w:spacing w:line="312" w:lineRule="auto"/>
      <w:ind w:firstLine="420"/>
    </w:pPr>
    <w:rPr>
      <w:rFonts w:ascii="Calibri" w:hAnsi="Calibri"/>
      <w:kern w:val="0"/>
      <w:lang w:val="zh-CN"/>
    </w:rPr>
  </w:style>
  <w:style w:type="character" w:customStyle="1" w:styleId="1824">
    <w:name w:val="正文小四首缩1.3行距 Char"/>
    <w:link w:val="1823"/>
    <w:qFormat/>
    <w:uiPriority w:val="0"/>
    <w:rPr>
      <w:rFonts w:ascii="Calibri" w:hAnsi="Calibri" w:eastAsia="宋体"/>
      <w:sz w:val="24"/>
      <w:szCs w:val="24"/>
      <w:lang w:bidi="ar-SA"/>
    </w:rPr>
  </w:style>
  <w:style w:type="character" w:customStyle="1" w:styleId="1825">
    <w:name w:val="表格new Char"/>
    <w:link w:val="801"/>
    <w:qFormat/>
    <w:uiPriority w:val="0"/>
    <w:rPr>
      <w:rFonts w:eastAsia="宋体"/>
      <w:szCs w:val="21"/>
      <w:lang w:bidi="ar-SA"/>
    </w:rPr>
  </w:style>
  <w:style w:type="paragraph" w:customStyle="1" w:styleId="1826">
    <w:name w:val="Char5"/>
    <w:basedOn w:val="1"/>
    <w:semiHidden/>
    <w:qFormat/>
    <w:uiPriority w:val="0"/>
    <w:pPr>
      <w:tabs>
        <w:tab w:val="clear" w:pos="480"/>
      </w:tabs>
      <w:spacing w:line="240" w:lineRule="auto"/>
    </w:pPr>
    <w:rPr>
      <w:sz w:val="21"/>
    </w:rPr>
  </w:style>
  <w:style w:type="paragraph" w:customStyle="1" w:styleId="1827">
    <w:name w:val="正文7"/>
    <w:basedOn w:val="1"/>
    <w:semiHidden/>
    <w:qFormat/>
    <w:uiPriority w:val="0"/>
    <w:pPr>
      <w:widowControl/>
      <w:tabs>
        <w:tab w:val="clear" w:pos="480"/>
      </w:tabs>
      <w:overflowPunct w:val="0"/>
      <w:autoSpaceDE w:val="0"/>
      <w:autoSpaceDN w:val="0"/>
      <w:adjustRightInd w:val="0"/>
      <w:textAlignment w:val="baseline"/>
    </w:pPr>
    <w:rPr>
      <w:rFonts w:ascii="楷体" w:eastAsia="楷体"/>
      <w:kern w:val="0"/>
      <w:sz w:val="28"/>
      <w:szCs w:val="20"/>
      <w:lang w:val="en-GB"/>
    </w:rPr>
  </w:style>
  <w:style w:type="paragraph" w:customStyle="1" w:styleId="1828">
    <w:name w:val="表头 1"/>
    <w:basedOn w:val="2"/>
    <w:next w:val="1"/>
    <w:qFormat/>
    <w:uiPriority w:val="0"/>
    <w:pPr>
      <w:numPr>
        <w:numId w:val="0"/>
      </w:numPr>
      <w:tabs>
        <w:tab w:val="left" w:pos="3600"/>
        <w:tab w:val="clear" w:pos="480"/>
      </w:tabs>
      <w:adjustRightInd w:val="0"/>
      <w:spacing w:before="0" w:after="0" w:line="240" w:lineRule="auto"/>
      <w:ind w:right="-108"/>
      <w:textAlignment w:val="baseline"/>
      <w:outlineLvl w:val="9"/>
    </w:pPr>
    <w:rPr>
      <w:rFonts w:ascii="Times New Roman" w:eastAsia="长城仿宋"/>
      <w:b w:val="0"/>
      <w:bCs w:val="0"/>
      <w:color w:val="008080"/>
      <w:sz w:val="28"/>
      <w:szCs w:val="20"/>
    </w:rPr>
  </w:style>
  <w:style w:type="paragraph" w:customStyle="1" w:styleId="1829">
    <w:name w:val="正文报告"/>
    <w:basedOn w:val="1"/>
    <w:qFormat/>
    <w:uiPriority w:val="0"/>
    <w:pPr>
      <w:tabs>
        <w:tab w:val="left" w:pos="510"/>
        <w:tab w:val="clear" w:pos="480"/>
      </w:tabs>
      <w:adjustRightInd w:val="0"/>
      <w:spacing w:line="460" w:lineRule="exact"/>
      <w:ind w:firstLine="482"/>
      <w:textAlignment w:val="baseline"/>
    </w:pPr>
    <w:rPr>
      <w:kern w:val="0"/>
      <w:szCs w:val="20"/>
    </w:rPr>
  </w:style>
  <w:style w:type="paragraph" w:customStyle="1" w:styleId="1830">
    <w:name w:val="biao"/>
    <w:basedOn w:val="1"/>
    <w:semiHidden/>
    <w:qFormat/>
    <w:uiPriority w:val="0"/>
    <w:pPr>
      <w:tabs>
        <w:tab w:val="left" w:pos="720"/>
        <w:tab w:val="left" w:pos="2340"/>
        <w:tab w:val="clear" w:pos="480"/>
      </w:tabs>
      <w:autoSpaceDE w:val="0"/>
      <w:autoSpaceDN w:val="0"/>
      <w:adjustRightInd w:val="0"/>
      <w:spacing w:line="240" w:lineRule="atLeast"/>
      <w:jc w:val="center"/>
    </w:pPr>
    <w:rPr>
      <w:rFonts w:hint="eastAsia" w:ascii="黑体" w:hAnsi="Tms Rmn" w:eastAsia="黑体"/>
      <w:kern w:val="0"/>
      <w:sz w:val="30"/>
      <w:szCs w:val="20"/>
    </w:rPr>
  </w:style>
  <w:style w:type="paragraph" w:customStyle="1" w:styleId="1831">
    <w:name w:val="样式  + 宋体"/>
    <w:basedOn w:val="1"/>
    <w:qFormat/>
    <w:uiPriority w:val="0"/>
    <w:pPr>
      <w:tabs>
        <w:tab w:val="left" w:pos="600"/>
        <w:tab w:val="clear" w:pos="480"/>
      </w:tabs>
    </w:pPr>
    <w:rPr>
      <w:rFonts w:ascii="宋体" w:hAnsi="宋体"/>
      <w:color w:val="000000"/>
    </w:rPr>
  </w:style>
  <w:style w:type="paragraph" w:customStyle="1" w:styleId="1832">
    <w:name w:val="质量手册小标题"/>
    <w:basedOn w:val="1"/>
    <w:qFormat/>
    <w:uiPriority w:val="0"/>
    <w:pPr>
      <w:tabs>
        <w:tab w:val="left" w:pos="425"/>
        <w:tab w:val="clear" w:pos="480"/>
      </w:tabs>
      <w:spacing w:line="240" w:lineRule="auto"/>
    </w:pPr>
    <w:rPr>
      <w:rFonts w:ascii="宋体" w:hAnsi="Courier New" w:cs="Courier New"/>
      <w:sz w:val="21"/>
      <w:szCs w:val="21"/>
    </w:rPr>
  </w:style>
  <w:style w:type="paragraph" w:customStyle="1" w:styleId="1833">
    <w:name w:val="组织设计正文"/>
    <w:basedOn w:val="1"/>
    <w:qFormat/>
    <w:uiPriority w:val="0"/>
    <w:pPr>
      <w:tabs>
        <w:tab w:val="clear" w:pos="480"/>
      </w:tabs>
      <w:spacing w:after="100" w:afterAutospacing="1" w:line="240" w:lineRule="auto"/>
    </w:pPr>
    <w:rPr>
      <w:rFonts w:ascii="宋体" w:hAnsi="宋体"/>
      <w:szCs w:val="28"/>
    </w:rPr>
  </w:style>
  <w:style w:type="paragraph" w:customStyle="1" w:styleId="1834">
    <w:name w:val="二级标题T2"/>
    <w:basedOn w:val="3"/>
    <w:qFormat/>
    <w:uiPriority w:val="0"/>
    <w:pPr>
      <w:spacing w:before="0" w:after="0"/>
    </w:pPr>
    <w:rPr>
      <w:rFonts w:cs="宋体"/>
      <w:color w:val="000000"/>
      <w:szCs w:val="20"/>
    </w:rPr>
  </w:style>
  <w:style w:type="paragraph" w:customStyle="1" w:styleId="1835">
    <w:name w:val="三级标题T3"/>
    <w:basedOn w:val="4"/>
    <w:link w:val="1836"/>
    <w:qFormat/>
    <w:uiPriority w:val="0"/>
    <w:pPr>
      <w:spacing w:before="0" w:after="0" w:line="360" w:lineRule="auto"/>
    </w:pPr>
    <w:rPr>
      <w:rFonts w:ascii="Times New Roman" w:eastAsia="宋体"/>
      <w:color w:val="000000"/>
    </w:rPr>
  </w:style>
  <w:style w:type="character" w:customStyle="1" w:styleId="1836">
    <w:name w:val="三级标题T3 Char"/>
    <w:link w:val="1835"/>
    <w:qFormat/>
    <w:uiPriority w:val="0"/>
    <w:rPr>
      <w:b/>
      <w:bCs/>
      <w:color w:val="000000"/>
      <w:kern w:val="2"/>
      <w:sz w:val="30"/>
      <w:szCs w:val="32"/>
      <w:lang w:val="zh-CN"/>
    </w:rPr>
  </w:style>
  <w:style w:type="paragraph" w:customStyle="1" w:styleId="1837">
    <w:name w:val="正文 首行缩进:  2 字符 Char"/>
    <w:basedOn w:val="1"/>
    <w:link w:val="1838"/>
    <w:semiHidden/>
    <w:qFormat/>
    <w:uiPriority w:val="0"/>
    <w:pPr>
      <w:tabs>
        <w:tab w:val="clear" w:pos="480"/>
      </w:tabs>
      <w:spacing w:line="520" w:lineRule="exact"/>
    </w:pPr>
    <w:rPr>
      <w:rFonts w:cs="宋体"/>
      <w:kern w:val="44"/>
      <w:szCs w:val="20"/>
    </w:rPr>
  </w:style>
  <w:style w:type="character" w:customStyle="1" w:styleId="1838">
    <w:name w:val="正文 首行缩进:  2 字符 Char Char1"/>
    <w:link w:val="1837"/>
    <w:qFormat/>
    <w:uiPriority w:val="0"/>
    <w:rPr>
      <w:rFonts w:eastAsia="宋体" w:cs="宋体"/>
      <w:kern w:val="44"/>
      <w:sz w:val="24"/>
      <w:lang w:val="en-US" w:eastAsia="zh-CN" w:bidi="ar-SA"/>
    </w:rPr>
  </w:style>
  <w:style w:type="character" w:customStyle="1" w:styleId="1839">
    <w:name w:val="c1"/>
    <w:qFormat/>
    <w:uiPriority w:val="0"/>
    <w:rPr>
      <w:rFonts w:hint="default" w:ascii="ˎ̥" w:hAnsi="ˎ̥"/>
      <w:color w:val="000000"/>
      <w:sz w:val="21"/>
      <w:szCs w:val="21"/>
      <w:u w:val="none"/>
    </w:rPr>
  </w:style>
  <w:style w:type="character" w:customStyle="1" w:styleId="1840">
    <w:name w:val="缩进 Char1"/>
    <w:link w:val="210"/>
    <w:qFormat/>
    <w:uiPriority w:val="0"/>
    <w:rPr>
      <w:rFonts w:eastAsia="宋体"/>
      <w:sz w:val="24"/>
      <w:lang w:val="en-US" w:eastAsia="zh-CN" w:bidi="ar-SA"/>
    </w:rPr>
  </w:style>
  <w:style w:type="paragraph" w:customStyle="1" w:styleId="1841">
    <w:name w:val="样式 黑体 左 行距: 固定值 23 磅"/>
    <w:basedOn w:val="1"/>
    <w:semiHidden/>
    <w:qFormat/>
    <w:uiPriority w:val="0"/>
    <w:pPr>
      <w:tabs>
        <w:tab w:val="clear" w:pos="480"/>
      </w:tabs>
      <w:spacing w:line="520" w:lineRule="exact"/>
      <w:jc w:val="left"/>
    </w:pPr>
    <w:rPr>
      <w:rFonts w:ascii="黑体" w:eastAsia="黑体"/>
      <w:kern w:val="44"/>
      <w:szCs w:val="20"/>
    </w:rPr>
  </w:style>
  <w:style w:type="character" w:customStyle="1" w:styleId="1842">
    <w:name w:val="表格内文字 Char1"/>
    <w:link w:val="798"/>
    <w:qFormat/>
    <w:uiPriority w:val="0"/>
    <w:rPr>
      <w:sz w:val="21"/>
      <w:szCs w:val="21"/>
      <w:lang w:val="zh-CN" w:eastAsia="zh-CN" w:bidi="ar-SA"/>
    </w:rPr>
  </w:style>
  <w:style w:type="paragraph" w:customStyle="1" w:styleId="1843">
    <w:name w:val="【表头】"/>
    <w:next w:val="1"/>
    <w:qFormat/>
    <w:uiPriority w:val="0"/>
    <w:pPr>
      <w:spacing w:before="100" w:beforeAutospacing="1" w:line="360" w:lineRule="exact"/>
      <w:jc w:val="center"/>
    </w:pPr>
    <w:rPr>
      <w:rFonts w:ascii="Times New Roman" w:hAnsi="Times New Roman" w:eastAsia="黑体" w:cs="Times New Roman"/>
      <w:bCs/>
      <w:color w:val="000000"/>
      <w:kern w:val="2"/>
      <w:sz w:val="24"/>
      <w:szCs w:val="24"/>
      <w:lang w:val="en-US" w:eastAsia="zh-CN" w:bidi="ar-SA"/>
    </w:rPr>
  </w:style>
  <w:style w:type="paragraph" w:customStyle="1" w:styleId="1844">
    <w:name w:val="五级标题"/>
    <w:basedOn w:val="1"/>
    <w:semiHidden/>
    <w:qFormat/>
    <w:uiPriority w:val="0"/>
    <w:pPr>
      <w:tabs>
        <w:tab w:val="clear" w:pos="480"/>
      </w:tabs>
      <w:spacing w:before="156" w:after="156" w:line="240" w:lineRule="auto"/>
    </w:pPr>
    <w:rPr>
      <w:sz w:val="28"/>
      <w:szCs w:val="20"/>
    </w:rPr>
  </w:style>
  <w:style w:type="paragraph" w:customStyle="1" w:styleId="1845">
    <w:name w:val="表底说明"/>
    <w:basedOn w:val="1"/>
    <w:semiHidden/>
    <w:qFormat/>
    <w:uiPriority w:val="0"/>
    <w:pPr>
      <w:tabs>
        <w:tab w:val="clear" w:pos="480"/>
      </w:tabs>
      <w:spacing w:line="240" w:lineRule="auto"/>
    </w:pPr>
    <w:rPr>
      <w:sz w:val="18"/>
    </w:rPr>
  </w:style>
  <w:style w:type="character" w:customStyle="1" w:styleId="1846">
    <w:name w:val="表底说明 Char"/>
    <w:semiHidden/>
    <w:qFormat/>
    <w:uiPriority w:val="0"/>
    <w:rPr>
      <w:rFonts w:eastAsia="宋体"/>
      <w:kern w:val="2"/>
      <w:sz w:val="18"/>
      <w:szCs w:val="24"/>
      <w:lang w:val="en-US" w:eastAsia="zh-CN" w:bidi="ar-SA"/>
    </w:rPr>
  </w:style>
  <w:style w:type="paragraph" w:customStyle="1" w:styleId="1847">
    <w:name w:val="我的表头"/>
    <w:basedOn w:val="1"/>
    <w:semiHidden/>
    <w:qFormat/>
    <w:uiPriority w:val="0"/>
    <w:pPr>
      <w:tabs>
        <w:tab w:val="clear" w:pos="480"/>
      </w:tabs>
      <w:spacing w:before="156" w:line="240" w:lineRule="auto"/>
      <w:jc w:val="center"/>
    </w:pPr>
    <w:rPr>
      <w:rFonts w:ascii="黑体" w:eastAsia="黑体" w:cs="宋体"/>
      <w:b/>
      <w:bCs/>
      <w:szCs w:val="20"/>
    </w:rPr>
  </w:style>
  <w:style w:type="paragraph" w:customStyle="1" w:styleId="1848">
    <w:name w:val="表头格式"/>
    <w:basedOn w:val="1"/>
    <w:semiHidden/>
    <w:qFormat/>
    <w:uiPriority w:val="0"/>
    <w:pPr>
      <w:tabs>
        <w:tab w:val="clear" w:pos="480"/>
      </w:tabs>
      <w:spacing w:beforeLines="100" w:line="240" w:lineRule="auto"/>
    </w:pPr>
    <w:rPr>
      <w:rFonts w:ascii="宋体" w:hAnsi="宋体"/>
      <w:b/>
      <w:sz w:val="21"/>
    </w:rPr>
  </w:style>
  <w:style w:type="paragraph" w:customStyle="1" w:styleId="1849">
    <w:name w:val="报告表格"/>
    <w:basedOn w:val="1"/>
    <w:qFormat/>
    <w:uiPriority w:val="0"/>
    <w:pPr>
      <w:tabs>
        <w:tab w:val="clear" w:pos="480"/>
      </w:tabs>
      <w:autoSpaceDE w:val="0"/>
      <w:autoSpaceDN w:val="0"/>
      <w:adjustRightInd w:val="0"/>
      <w:spacing w:before="40" w:after="40" w:line="240" w:lineRule="auto"/>
      <w:jc w:val="center"/>
      <w:textAlignment w:val="bottom"/>
    </w:pPr>
    <w:rPr>
      <w:kern w:val="0"/>
      <w:sz w:val="21"/>
      <w:szCs w:val="20"/>
    </w:rPr>
  </w:style>
  <w:style w:type="paragraph" w:customStyle="1" w:styleId="1850">
    <w:name w:val="首行缩进 Char Char"/>
    <w:basedOn w:val="1"/>
    <w:semiHidden/>
    <w:qFormat/>
    <w:uiPriority w:val="0"/>
    <w:pPr>
      <w:tabs>
        <w:tab w:val="clear" w:pos="480"/>
      </w:tabs>
      <w:snapToGrid w:val="0"/>
      <w:ind w:firstLine="499"/>
    </w:pPr>
    <w:rPr>
      <w:szCs w:val="20"/>
    </w:rPr>
  </w:style>
  <w:style w:type="paragraph" w:customStyle="1" w:styleId="1851">
    <w:name w:val="样式 题注 + 黑色"/>
    <w:basedOn w:val="21"/>
    <w:link w:val="1852"/>
    <w:semiHidden/>
    <w:qFormat/>
    <w:uiPriority w:val="0"/>
    <w:pPr>
      <w:widowControl w:val="0"/>
      <w:tabs>
        <w:tab w:val="center" w:pos="10467"/>
        <w:tab w:val="left" w:pos="13095"/>
      </w:tabs>
      <w:adjustRightInd/>
      <w:snapToGrid/>
      <w:spacing w:before="0" w:afterLines="50" w:line="240" w:lineRule="auto"/>
      <w:ind w:firstLine="0" w:firstLineChars="0"/>
    </w:pPr>
    <w:rPr>
      <w:b/>
      <w:bCs/>
    </w:rPr>
  </w:style>
  <w:style w:type="character" w:customStyle="1" w:styleId="1852">
    <w:name w:val="样式 题注 + 黑色 Char"/>
    <w:link w:val="1851"/>
    <w:qFormat/>
    <w:uiPriority w:val="0"/>
    <w:rPr>
      <w:rFonts w:ascii="Arial" w:hAnsi="Arial" w:eastAsia="宋体" w:cs="Arial"/>
      <w:b/>
      <w:bCs/>
      <w:color w:val="000000"/>
      <w:kern w:val="2"/>
      <w:sz w:val="24"/>
      <w:lang w:val="en-US" w:eastAsia="zh-CN" w:bidi="ar-SA"/>
    </w:rPr>
  </w:style>
  <w:style w:type="paragraph" w:customStyle="1" w:styleId="1853">
    <w:name w:val="样式 行距: 固定值 25 磅1"/>
    <w:basedOn w:val="1"/>
    <w:semiHidden/>
    <w:qFormat/>
    <w:uiPriority w:val="0"/>
    <w:pPr>
      <w:tabs>
        <w:tab w:val="clear" w:pos="480"/>
      </w:tabs>
      <w:adjustRightInd w:val="0"/>
      <w:spacing w:after="120" w:line="240" w:lineRule="auto"/>
      <w:ind w:firstLine="560"/>
      <w:textAlignment w:val="baseline"/>
    </w:pPr>
    <w:rPr>
      <w:rFonts w:ascii="宋体" w:hAnsi="宋体" w:cs="宋体"/>
      <w:color w:val="0000FF"/>
      <w:kern w:val="0"/>
      <w:sz w:val="28"/>
      <w:szCs w:val="28"/>
    </w:rPr>
  </w:style>
  <w:style w:type="paragraph" w:customStyle="1" w:styleId="1854">
    <w:name w:val="样式 (符号) 宋体 小四 加粗"/>
    <w:basedOn w:val="1"/>
    <w:link w:val="1855"/>
    <w:semiHidden/>
    <w:qFormat/>
    <w:uiPriority w:val="0"/>
    <w:pPr>
      <w:tabs>
        <w:tab w:val="clear" w:pos="480"/>
      </w:tabs>
      <w:jc w:val="center"/>
    </w:pPr>
    <w:rPr>
      <w:b/>
      <w:bCs/>
    </w:rPr>
  </w:style>
  <w:style w:type="character" w:customStyle="1" w:styleId="1855">
    <w:name w:val="样式 (符号) 宋体 小四 加粗 Char"/>
    <w:link w:val="1854"/>
    <w:qFormat/>
    <w:uiPriority w:val="0"/>
    <w:rPr>
      <w:rFonts w:eastAsia="宋体"/>
      <w:b/>
      <w:bCs/>
      <w:kern w:val="2"/>
      <w:sz w:val="24"/>
      <w:szCs w:val="24"/>
      <w:lang w:val="en-US" w:eastAsia="zh-CN" w:bidi="ar-SA"/>
    </w:rPr>
  </w:style>
  <w:style w:type="paragraph" w:customStyle="1" w:styleId="1856">
    <w:name w:val="表头格式1"/>
    <w:basedOn w:val="1"/>
    <w:link w:val="1858"/>
    <w:semiHidden/>
    <w:qFormat/>
    <w:uiPriority w:val="0"/>
    <w:pPr>
      <w:tabs>
        <w:tab w:val="clear" w:pos="480"/>
      </w:tabs>
      <w:jc w:val="center"/>
    </w:pPr>
    <w:rPr>
      <w:rFonts w:hAnsi="宋体"/>
      <w:b/>
      <w:bCs/>
    </w:rPr>
  </w:style>
  <w:style w:type="paragraph" w:customStyle="1" w:styleId="1857">
    <w:name w:val="表内内容"/>
    <w:basedOn w:val="201"/>
    <w:semiHidden/>
    <w:qFormat/>
    <w:uiPriority w:val="0"/>
    <w:pPr>
      <w:spacing w:line="240" w:lineRule="auto"/>
      <w:ind w:firstLine="0" w:firstLineChars="0"/>
      <w:jc w:val="center"/>
    </w:pPr>
    <w:rPr>
      <w:sz w:val="21"/>
      <w:lang w:val="zh-CN"/>
    </w:rPr>
  </w:style>
  <w:style w:type="character" w:customStyle="1" w:styleId="1858">
    <w:name w:val="表头格式1 Char"/>
    <w:link w:val="1856"/>
    <w:qFormat/>
    <w:uiPriority w:val="0"/>
    <w:rPr>
      <w:rFonts w:hAnsi="宋体" w:eastAsia="宋体"/>
      <w:b/>
      <w:bCs/>
      <w:kern w:val="2"/>
      <w:sz w:val="24"/>
      <w:szCs w:val="24"/>
      <w:lang w:val="en-US" w:eastAsia="zh-CN" w:bidi="ar-SA"/>
    </w:rPr>
  </w:style>
  <w:style w:type="paragraph" w:customStyle="1" w:styleId="1859">
    <w:name w:val="A_GZ表格"/>
    <w:basedOn w:val="168"/>
    <w:semiHidden/>
    <w:qFormat/>
    <w:uiPriority w:val="0"/>
    <w:pPr/>
    <w:rPr>
      <w:sz w:val="21"/>
      <w:szCs w:val="21"/>
    </w:rPr>
  </w:style>
  <w:style w:type="character" w:customStyle="1" w:styleId="1860">
    <w:name w:val="px14"/>
    <w:basedOn w:val="133"/>
    <w:semiHidden/>
    <w:qFormat/>
    <w:uiPriority w:val="0"/>
  </w:style>
  <w:style w:type="paragraph" w:customStyle="1" w:styleId="1861">
    <w:name w:val="GZ表格：样式 缩进 + 五号 居中 首行缩进:  0 厘米 行距: 单倍行距"/>
    <w:basedOn w:val="210"/>
    <w:semiHidden/>
    <w:qFormat/>
    <w:uiPriority w:val="0"/>
    <w:pPr>
      <w:spacing w:line="240" w:lineRule="auto"/>
      <w:ind w:firstLine="0"/>
      <w:jc w:val="center"/>
    </w:pPr>
    <w:rPr>
      <w:rFonts w:cs="宋体"/>
      <w:sz w:val="21"/>
    </w:rPr>
  </w:style>
  <w:style w:type="paragraph" w:customStyle="1" w:styleId="1862">
    <w:name w:val="样式 四号 行距: 1.5 倍行距 首行缩进:  2 字符"/>
    <w:basedOn w:val="1"/>
    <w:semiHidden/>
    <w:qFormat/>
    <w:uiPriority w:val="0"/>
    <w:pPr>
      <w:tabs>
        <w:tab w:val="clear" w:pos="480"/>
      </w:tabs>
      <w:ind w:firstLine="560"/>
    </w:pPr>
    <w:rPr>
      <w:rFonts w:cs="宋体"/>
      <w:sz w:val="28"/>
      <w:szCs w:val="20"/>
    </w:rPr>
  </w:style>
  <w:style w:type="paragraph" w:customStyle="1" w:styleId="1863">
    <w:name w:val="样式 样式 宋体 段前: 0.5 行 行距: 固定值 18 磅 + 首行缩进:  2 字符"/>
    <w:basedOn w:val="1"/>
    <w:link w:val="1864"/>
    <w:qFormat/>
    <w:uiPriority w:val="0"/>
    <w:pPr>
      <w:tabs>
        <w:tab w:val="clear" w:pos="480"/>
      </w:tabs>
      <w:ind w:firstLine="562"/>
      <w:jc w:val="left"/>
    </w:pPr>
    <w:rPr>
      <w:rFonts w:ascii="仿宋_GB2312" w:hAnsi="宋体" w:eastAsia="仿宋_GB2312"/>
      <w:b/>
      <w:bCs/>
      <w:sz w:val="28"/>
      <w:szCs w:val="28"/>
    </w:rPr>
  </w:style>
  <w:style w:type="character" w:customStyle="1" w:styleId="1864">
    <w:name w:val="样式 样式 宋体 段前: 0.5 行 行距: 固定值 18 磅 + 首行缩进:  2 字符 Char"/>
    <w:link w:val="1863"/>
    <w:qFormat/>
    <w:uiPriority w:val="0"/>
    <w:rPr>
      <w:rFonts w:ascii="仿宋_GB2312" w:hAnsi="宋体" w:eastAsia="仿宋_GB2312"/>
      <w:b/>
      <w:bCs/>
      <w:kern w:val="2"/>
      <w:sz w:val="28"/>
      <w:szCs w:val="28"/>
      <w:lang w:val="en-US" w:eastAsia="zh-CN" w:bidi="ar-SA"/>
    </w:rPr>
  </w:style>
  <w:style w:type="paragraph" w:customStyle="1" w:styleId="1865">
    <w:name w:val="样式 标题 3 + 段前: 0.5 行"/>
    <w:basedOn w:val="4"/>
    <w:qFormat/>
    <w:uiPriority w:val="0"/>
    <w:pPr>
      <w:numPr>
        <w:ilvl w:val="0"/>
        <w:numId w:val="0"/>
      </w:numPr>
      <w:tabs>
        <w:tab w:val="clear" w:pos="480"/>
        <w:tab w:val="clear" w:pos="840"/>
      </w:tabs>
      <w:spacing w:beforeLines="50" w:after="0" w:line="240" w:lineRule="auto"/>
      <w:jc w:val="left"/>
    </w:pPr>
    <w:rPr>
      <w:rFonts w:ascii="黑体" w:hAnsi="宋体" w:eastAsia="黑体" w:cs="宋体"/>
      <w:b w:val="0"/>
      <w:sz w:val="24"/>
      <w:szCs w:val="24"/>
    </w:rPr>
  </w:style>
  <w:style w:type="character" w:customStyle="1" w:styleId="1866">
    <w:name w:val="style23"/>
    <w:basedOn w:val="133"/>
    <w:qFormat/>
    <w:uiPriority w:val="0"/>
  </w:style>
  <w:style w:type="paragraph" w:customStyle="1" w:styleId="1867">
    <w:name w:val="样式 宋体 小四 黑色 首行缩进:  2字符 行距: 1.5 倍行距1"/>
    <w:basedOn w:val="1"/>
    <w:qFormat/>
    <w:uiPriority w:val="0"/>
    <w:pPr>
      <w:tabs>
        <w:tab w:val="clear" w:pos="480"/>
      </w:tabs>
    </w:pPr>
    <w:rPr>
      <w:rFonts w:ascii="宋体" w:hAnsi="宋体"/>
      <w:color w:val="000000"/>
      <w:szCs w:val="20"/>
    </w:rPr>
  </w:style>
  <w:style w:type="character" w:customStyle="1" w:styleId="1868">
    <w:name w:val="标题 2 Char"/>
    <w:link w:val="3"/>
    <w:qFormat/>
    <w:uiPriority w:val="9"/>
    <w:rPr>
      <w:b/>
      <w:bCs/>
      <w:kern w:val="2"/>
      <w:sz w:val="32"/>
      <w:szCs w:val="32"/>
      <w:lang w:val="zh-CN"/>
    </w:rPr>
  </w:style>
  <w:style w:type="paragraph" w:customStyle="1" w:styleId="1869">
    <w:name w:val="6级标题"/>
    <w:basedOn w:val="1"/>
    <w:link w:val="1871"/>
    <w:qFormat/>
    <w:uiPriority w:val="0"/>
    <w:pPr>
      <w:numPr>
        <w:ilvl w:val="0"/>
        <w:numId w:val="20"/>
      </w:numPr>
      <w:tabs>
        <w:tab w:val="left" w:pos="425"/>
        <w:tab w:val="clear" w:pos="480"/>
      </w:tabs>
      <w:ind w:left="0" w:firstLine="0"/>
      <w:jc w:val="left"/>
    </w:pPr>
    <w:rPr>
      <w:szCs w:val="22"/>
    </w:rPr>
  </w:style>
  <w:style w:type="paragraph" w:customStyle="1" w:styleId="1870">
    <w:name w:val="7级标题"/>
    <w:basedOn w:val="1"/>
    <w:link w:val="1873"/>
    <w:qFormat/>
    <w:uiPriority w:val="0"/>
    <w:pPr>
      <w:numPr>
        <w:ilvl w:val="0"/>
        <w:numId w:val="21"/>
      </w:numPr>
      <w:tabs>
        <w:tab w:val="clear" w:pos="480"/>
      </w:tabs>
      <w:ind w:left="0" w:firstLine="425" w:firstLineChars="177"/>
    </w:pPr>
    <w:rPr>
      <w:szCs w:val="22"/>
      <w:lang w:val="zh-CN"/>
    </w:rPr>
  </w:style>
  <w:style w:type="character" w:customStyle="1" w:styleId="1871">
    <w:name w:val="6级标题 Char"/>
    <w:basedOn w:val="133"/>
    <w:link w:val="1869"/>
    <w:qFormat/>
    <w:uiPriority w:val="0"/>
    <w:rPr>
      <w:kern w:val="2"/>
      <w:sz w:val="24"/>
      <w:szCs w:val="22"/>
    </w:rPr>
  </w:style>
  <w:style w:type="paragraph" w:customStyle="1" w:styleId="1872">
    <w:name w:val="8级标题"/>
    <w:basedOn w:val="1870"/>
    <w:link w:val="1874"/>
    <w:qFormat/>
    <w:uiPriority w:val="0"/>
    <w:pPr>
      <w:numPr>
        <w:numId w:val="22"/>
      </w:numPr>
      <w:tabs>
        <w:tab w:val="left" w:pos="360"/>
        <w:tab w:val="left" w:pos="680"/>
      </w:tabs>
      <w:ind w:left="360" w:hanging="360" w:firstLineChars="0"/>
    </w:pPr>
  </w:style>
  <w:style w:type="character" w:customStyle="1" w:styleId="1873">
    <w:name w:val="7级标题 Char"/>
    <w:link w:val="1870"/>
    <w:qFormat/>
    <w:uiPriority w:val="0"/>
    <w:rPr>
      <w:kern w:val="2"/>
      <w:sz w:val="24"/>
      <w:szCs w:val="22"/>
      <w:lang w:val="zh-CN"/>
    </w:rPr>
  </w:style>
  <w:style w:type="character" w:customStyle="1" w:styleId="1874">
    <w:name w:val="8级标题 Char"/>
    <w:basedOn w:val="1873"/>
    <w:link w:val="1872"/>
    <w:qFormat/>
    <w:uiPriority w:val="0"/>
    <w:rPr>
      <w:kern w:val="2"/>
      <w:sz w:val="24"/>
      <w:szCs w:val="22"/>
      <w:lang w:val="zh-CN"/>
    </w:rPr>
  </w:style>
  <w:style w:type="character" w:customStyle="1" w:styleId="1875">
    <w:name w:val="正文 Char"/>
    <w:qFormat/>
    <w:uiPriority w:val="0"/>
    <w:rPr>
      <w:rFonts w:eastAsia="宋体"/>
      <w:kern w:val="2"/>
      <w:sz w:val="24"/>
      <w:szCs w:val="22"/>
      <w:lang w:val="en-US" w:eastAsia="zh-CN" w:bidi="ar-SA"/>
    </w:rPr>
  </w:style>
  <w:style w:type="paragraph" w:customStyle="1" w:styleId="1876">
    <w:name w:val="【图片标题】"/>
    <w:next w:val="1"/>
    <w:qFormat/>
    <w:uiPriority w:val="0"/>
    <w:pPr>
      <w:numPr>
        <w:ilvl w:val="1"/>
        <w:numId w:val="23"/>
      </w:numPr>
      <w:tabs>
        <w:tab w:val="clear" w:pos="576"/>
      </w:tabs>
      <w:spacing w:after="100" w:afterAutospacing="1" w:line="360" w:lineRule="exact"/>
      <w:ind w:left="0" w:firstLine="0"/>
      <w:jc w:val="center"/>
    </w:pPr>
    <w:rPr>
      <w:rFonts w:ascii="Times New Roman" w:hAnsi="Times New Roman" w:eastAsia="黑体" w:cs="Times New Roman"/>
      <w:b/>
      <w:bCs/>
      <w:kern w:val="2"/>
      <w:sz w:val="24"/>
      <w:szCs w:val="24"/>
      <w:lang w:val="en-US" w:eastAsia="zh-CN" w:bidi="ar-SA"/>
    </w:rPr>
  </w:style>
  <w:style w:type="paragraph" w:customStyle="1" w:styleId="1877">
    <w:name w:val="样式 标题 1 + 仿宋_GB2312 小三 行距: 单倍行距"/>
    <w:basedOn w:val="2"/>
    <w:qFormat/>
    <w:uiPriority w:val="0"/>
    <w:pPr>
      <w:numPr>
        <w:numId w:val="10"/>
      </w:numPr>
      <w:tabs>
        <w:tab w:val="left" w:pos="711"/>
        <w:tab w:val="clear" w:pos="480"/>
      </w:tabs>
      <w:adjustRightInd w:val="0"/>
      <w:spacing w:line="240" w:lineRule="auto"/>
      <w:textAlignment w:val="baseline"/>
    </w:pPr>
    <w:rPr>
      <w:rFonts w:cs="宋体"/>
      <w:szCs w:val="36"/>
    </w:rPr>
  </w:style>
  <w:style w:type="paragraph" w:customStyle="1" w:styleId="1878">
    <w:name w:val="第2级标题"/>
    <w:basedOn w:val="3"/>
    <w:next w:val="1"/>
    <w:link w:val="2272"/>
    <w:qFormat/>
    <w:uiPriority w:val="0"/>
    <w:pPr>
      <w:numPr>
        <w:ilvl w:val="0"/>
        <w:numId w:val="0"/>
      </w:numPr>
      <w:tabs>
        <w:tab w:val="clear" w:pos="480"/>
        <w:tab w:val="clear" w:pos="630"/>
      </w:tabs>
      <w:spacing w:before="100" w:beforeAutospacing="1" w:after="100" w:afterAutospacing="1" w:line="500" w:lineRule="exact"/>
      <w:ind w:left="864" w:hanging="864"/>
    </w:pPr>
    <w:rPr>
      <w:rFonts w:eastAsia="华文中宋"/>
      <w:smallCaps/>
      <w:lang w:val="en-US"/>
    </w:rPr>
  </w:style>
  <w:style w:type="paragraph" w:customStyle="1" w:styleId="1879">
    <w:name w:val="第3级标题"/>
    <w:basedOn w:val="4"/>
    <w:next w:val="1"/>
    <w:link w:val="2019"/>
    <w:qFormat/>
    <w:uiPriority w:val="0"/>
    <w:pPr>
      <w:numPr>
        <w:numId w:val="23"/>
      </w:numPr>
      <w:tabs>
        <w:tab w:val="left" w:pos="432"/>
        <w:tab w:val="left" w:pos="720"/>
        <w:tab w:val="clear" w:pos="480"/>
        <w:tab w:val="clear" w:pos="840"/>
      </w:tabs>
      <w:spacing w:beforeLines="50" w:beforeAutospacing="1" w:after="100" w:afterAutospacing="1" w:line="440" w:lineRule="exact"/>
      <w:jc w:val="left"/>
    </w:pPr>
    <w:rPr>
      <w:rFonts w:ascii="Times New Roman" w:eastAsia="华文中宋"/>
      <w:szCs w:val="30"/>
    </w:rPr>
  </w:style>
  <w:style w:type="paragraph" w:customStyle="1" w:styleId="1880">
    <w:name w:val="样式 第3级标题 + (中文) 宋体"/>
    <w:basedOn w:val="1879"/>
    <w:link w:val="1881"/>
    <w:qFormat/>
    <w:uiPriority w:val="0"/>
    <w:pPr>
      <w:spacing w:before="50" w:beforeAutospacing="0" w:afterLines="50" w:afterAutospacing="0"/>
    </w:pPr>
    <w:rPr>
      <w:rFonts w:eastAsia="宋体"/>
    </w:rPr>
  </w:style>
  <w:style w:type="character" w:customStyle="1" w:styleId="1881">
    <w:name w:val="样式 第3级标题 + (中文) 宋体 Char"/>
    <w:link w:val="1880"/>
    <w:qFormat/>
    <w:uiPriority w:val="0"/>
    <w:rPr>
      <w:b/>
      <w:bCs/>
      <w:kern w:val="2"/>
      <w:sz w:val="30"/>
      <w:szCs w:val="30"/>
      <w:lang w:val="zh-CN"/>
    </w:rPr>
  </w:style>
  <w:style w:type="paragraph" w:customStyle="1" w:styleId="1882">
    <w:name w:val="样式 第1级标题 + (中文) 宋体"/>
    <w:basedOn w:val="1"/>
    <w:qFormat/>
    <w:uiPriority w:val="0"/>
    <w:pPr>
      <w:keepNext/>
      <w:keepLines/>
      <w:numPr>
        <w:ilvl w:val="0"/>
        <w:numId w:val="23"/>
      </w:numPr>
      <w:tabs>
        <w:tab w:val="clear" w:pos="480"/>
      </w:tabs>
      <w:spacing w:before="100" w:beforeAutospacing="1" w:after="100" w:afterAutospacing="1" w:line="560" w:lineRule="exact"/>
      <w:jc w:val="center"/>
      <w:outlineLvl w:val="0"/>
    </w:pPr>
    <w:rPr>
      <w:b/>
      <w:bCs/>
      <w:kern w:val="44"/>
      <w:sz w:val="36"/>
      <w:szCs w:val="36"/>
    </w:rPr>
  </w:style>
  <w:style w:type="paragraph" w:customStyle="1" w:styleId="1883">
    <w:name w:val="三级标题"/>
    <w:basedOn w:val="4"/>
    <w:qFormat/>
    <w:uiPriority w:val="0"/>
    <w:pPr>
      <w:tabs>
        <w:tab w:val="left" w:pos="720"/>
        <w:tab w:val="clear" w:pos="480"/>
        <w:tab w:val="clear" w:pos="840"/>
      </w:tabs>
      <w:spacing w:before="0" w:after="0" w:line="720" w:lineRule="exact"/>
      <w:ind w:left="720" w:hanging="720"/>
    </w:pPr>
    <w:rPr>
      <w:rFonts w:ascii="Arial" w:hAnsi="Arial" w:eastAsia="黑体"/>
      <w:b w:val="0"/>
      <w:snapToGrid w:val="0"/>
      <w:kern w:val="0"/>
      <w:sz w:val="28"/>
      <w:szCs w:val="28"/>
    </w:rPr>
  </w:style>
  <w:style w:type="character" w:customStyle="1" w:styleId="1884">
    <w:name w:val="图片名称 Char"/>
    <w:link w:val="1727"/>
    <w:qFormat/>
    <w:uiPriority w:val="0"/>
    <w:rPr>
      <w:rFonts w:ascii="黑体" w:hAnsi="宋体" w:eastAsia="黑体"/>
      <w:bCs/>
      <w:snapToGrid w:val="0"/>
      <w:color w:val="000000"/>
      <w:spacing w:val="-4"/>
      <w:sz w:val="24"/>
      <w:szCs w:val="24"/>
      <w:lang w:val="eu-ES" w:eastAsia="zh-CN" w:bidi="ar-SA"/>
    </w:rPr>
  </w:style>
  <w:style w:type="paragraph" w:customStyle="1" w:styleId="1885">
    <w:name w:val="法规"/>
    <w:basedOn w:val="1"/>
    <w:qFormat/>
    <w:uiPriority w:val="0"/>
    <w:pPr>
      <w:tabs>
        <w:tab w:val="left" w:pos="360"/>
        <w:tab w:val="clear" w:pos="480"/>
      </w:tabs>
      <w:spacing w:line="440" w:lineRule="exact"/>
      <w:ind w:left="-40" w:firstLine="400"/>
    </w:pPr>
    <w:rPr>
      <w:sz w:val="25"/>
      <w:szCs w:val="20"/>
    </w:rPr>
  </w:style>
  <w:style w:type="paragraph" w:customStyle="1" w:styleId="1886">
    <w:name w:val="表格小字"/>
    <w:basedOn w:val="225"/>
    <w:qFormat/>
    <w:uiPriority w:val="0"/>
    <w:pPr>
      <w:wordWrap w:val="0"/>
      <w:topLinePunct/>
    </w:pPr>
    <w:rPr>
      <w:rFonts w:ascii="Arial" w:hAnsi="Arial" w:cs="Arial Unicode MS"/>
      <w:kern w:val="0"/>
      <w:sz w:val="18"/>
      <w:szCs w:val="21"/>
      <w:lang w:val="zh-CN"/>
    </w:rPr>
  </w:style>
  <w:style w:type="paragraph" w:customStyle="1" w:styleId="1887">
    <w:name w:val="样式 1表格头 + 段前: 0.5 行 段后: 0.5 行"/>
    <w:basedOn w:val="1"/>
    <w:qFormat/>
    <w:uiPriority w:val="0"/>
    <w:pPr>
      <w:tabs>
        <w:tab w:val="clear" w:pos="480"/>
      </w:tabs>
      <w:ind w:firstLine="471"/>
    </w:pPr>
    <w:rPr>
      <w:rFonts w:ascii="Arial" w:hAnsi="Arial" w:eastAsia="黑体" w:cs="宋体"/>
      <w:b/>
      <w:szCs w:val="20"/>
    </w:rPr>
  </w:style>
  <w:style w:type="paragraph" w:customStyle="1" w:styleId="1888">
    <w:name w:val="样式 标题 1文章标题一、章节H1Otsikko 1Eia标题1－1Head 1wsah1Part'Docu...1"/>
    <w:basedOn w:val="2"/>
    <w:qFormat/>
    <w:uiPriority w:val="0"/>
    <w:pPr>
      <w:keepLines w:val="0"/>
      <w:pageBreakBefore/>
      <w:numPr>
        <w:numId w:val="0"/>
      </w:numPr>
      <w:tabs>
        <w:tab w:val="clear" w:pos="480"/>
      </w:tabs>
      <w:autoSpaceDN w:val="0"/>
      <w:adjustRightInd w:val="0"/>
      <w:spacing w:beforeLines="50" w:afterLines="50" w:line="520" w:lineRule="exact"/>
      <w:jc w:val="center"/>
      <w:textAlignment w:val="baseline"/>
    </w:pPr>
    <w:rPr>
      <w:rFonts w:ascii="Times New Roman" w:hAnsi="Arial" w:eastAsia="黑体"/>
      <w:b w:val="0"/>
      <w:snapToGrid w:val="0"/>
      <w:color w:val="FF0000"/>
      <w:kern w:val="2"/>
      <w:szCs w:val="36"/>
      <w:lang w:val="en-GB"/>
    </w:rPr>
  </w:style>
  <w:style w:type="paragraph" w:customStyle="1" w:styleId="1889">
    <w:name w:val="样式 小四 行距: 1.5 倍行距"/>
    <w:basedOn w:val="1"/>
    <w:qFormat/>
    <w:uiPriority w:val="0"/>
    <w:pPr>
      <w:tabs>
        <w:tab w:val="clear" w:pos="480"/>
      </w:tabs>
      <w:spacing w:line="480" w:lineRule="exact"/>
      <w:ind w:firstLine="471"/>
    </w:pPr>
    <w:rPr>
      <w:rFonts w:cs="宋体"/>
      <w:bCs/>
      <w:szCs w:val="20"/>
    </w:rPr>
  </w:style>
  <w:style w:type="paragraph" w:customStyle="1" w:styleId="1890">
    <w:name w:val="样式 标题 1文章标题一、章节H1Otsikko 1Eia标题1－1Head 1wsah1Part'Docu...2"/>
    <w:basedOn w:val="2"/>
    <w:qFormat/>
    <w:uiPriority w:val="0"/>
    <w:pPr>
      <w:pageBreakBefore/>
      <w:numPr>
        <w:numId w:val="0"/>
      </w:numPr>
      <w:tabs>
        <w:tab w:val="clear" w:pos="480"/>
      </w:tabs>
      <w:spacing w:beforeLines="150" w:after="156" w:line="480" w:lineRule="exact"/>
      <w:jc w:val="center"/>
    </w:pPr>
    <w:rPr>
      <w:rFonts w:ascii="Times New Roman" w:hAnsi="Arial" w:eastAsia="黑体"/>
      <w:b w:val="0"/>
      <w:bCs w:val="0"/>
      <w:color w:val="FF0000"/>
      <w:kern w:val="2"/>
      <w:sz w:val="44"/>
      <w:szCs w:val="20"/>
      <w:lang w:val="en-GB"/>
    </w:rPr>
  </w:style>
  <w:style w:type="paragraph" w:customStyle="1" w:styleId="1891">
    <w:name w:val="样式 纯文本纯文本 Char普通文字 Char普通文字 Char Char Char普通文字 Char Char Cha..."/>
    <w:basedOn w:val="45"/>
    <w:qFormat/>
    <w:uiPriority w:val="0"/>
    <w:pPr>
      <w:jc w:val="center"/>
    </w:pPr>
    <w:rPr>
      <w:rFonts w:ascii="Arial" w:hAnsi="Arial" w:cs="宋体"/>
      <w:kern w:val="0"/>
      <w:szCs w:val="21"/>
    </w:rPr>
  </w:style>
  <w:style w:type="paragraph" w:customStyle="1" w:styleId="1892">
    <w:name w:val="样式 标题 2标题 2 Char Char Char Char Char Char Char Char Char Char C..."/>
    <w:basedOn w:val="84"/>
    <w:next w:val="84"/>
    <w:qFormat/>
    <w:uiPriority w:val="0"/>
    <w:pPr>
      <w:widowControl w:val="0"/>
      <w:adjustRightInd/>
      <w:snapToGrid/>
      <w:spacing w:beforeLines="50" w:afterLines="50" w:line="480" w:lineRule="exact"/>
      <w:ind w:firstLine="471" w:firstLineChars="0"/>
      <w:jc w:val="both"/>
      <w:outlineLvl w:val="1"/>
    </w:pPr>
    <w:rPr>
      <w:rFonts w:ascii="黑体" w:hAnsi="宋体" w:eastAsia="黑体"/>
      <w:color w:val="auto"/>
      <w:kern w:val="0"/>
      <w:szCs w:val="20"/>
    </w:rPr>
  </w:style>
  <w:style w:type="paragraph" w:customStyle="1" w:styleId="1893">
    <w:name w:val="样式 标题 1文章标题一、章节H1Otsikko 1Eia标题1－1Head 1wsah1Part'Docu..."/>
    <w:basedOn w:val="84"/>
    <w:next w:val="1"/>
    <w:qFormat/>
    <w:uiPriority w:val="0"/>
    <w:pPr>
      <w:widowControl w:val="0"/>
      <w:adjustRightInd/>
      <w:snapToGrid/>
      <w:spacing w:beforeLines="50" w:afterLines="50" w:line="480" w:lineRule="exact"/>
      <w:ind w:firstLine="0" w:firstLineChars="0"/>
    </w:pPr>
    <w:rPr>
      <w:rFonts w:ascii="黑体" w:hAnsi="ˎ̥" w:eastAsia="黑体"/>
      <w:bCs w:val="0"/>
      <w:color w:val="auto"/>
      <w:kern w:val="0"/>
      <w:szCs w:val="20"/>
    </w:rPr>
  </w:style>
  <w:style w:type="paragraph" w:customStyle="1" w:styleId="1894">
    <w:name w:val="样式 标题 2SeHead wsa2ChapterChapter TitleH21标题 1.1节标题 1.1标..."/>
    <w:basedOn w:val="3"/>
    <w:qFormat/>
    <w:uiPriority w:val="0"/>
    <w:pPr>
      <w:numPr>
        <w:ilvl w:val="0"/>
        <w:numId w:val="0"/>
      </w:numPr>
      <w:tabs>
        <w:tab w:val="left" w:pos="420"/>
        <w:tab w:val="clear" w:pos="480"/>
        <w:tab w:val="clear" w:pos="630"/>
      </w:tabs>
      <w:spacing w:beforeLines="50" w:afterLines="50" w:line="480" w:lineRule="exact"/>
      <w:ind w:firstLine="471"/>
      <w:jc w:val="left"/>
    </w:pPr>
    <w:rPr>
      <w:rFonts w:eastAsia="黑体"/>
      <w:szCs w:val="20"/>
    </w:rPr>
  </w:style>
  <w:style w:type="paragraph" w:customStyle="1" w:styleId="1895">
    <w:name w:val="样式 标题 3ReHead 3 WSAh3h3 Charh3 Char Char条标题1.1.1标题3H33r..."/>
    <w:basedOn w:val="4"/>
    <w:qFormat/>
    <w:uiPriority w:val="0"/>
    <w:pPr>
      <w:keepLines w:val="0"/>
      <w:numPr>
        <w:ilvl w:val="0"/>
        <w:numId w:val="0"/>
      </w:numPr>
      <w:tabs>
        <w:tab w:val="clear" w:pos="480"/>
        <w:tab w:val="clear" w:pos="840"/>
      </w:tabs>
      <w:spacing w:after="50" w:line="480" w:lineRule="exact"/>
      <w:ind w:firstLine="471"/>
    </w:pPr>
    <w:rPr>
      <w:rFonts w:ascii="黑体" w:eastAsia="黑体" w:cs="宋体"/>
      <w:b w:val="0"/>
      <w:sz w:val="24"/>
      <w:szCs w:val="20"/>
    </w:rPr>
  </w:style>
  <w:style w:type="paragraph" w:customStyle="1" w:styleId="1896">
    <w:name w:val="样式 表格文字 + (中文) 黑体 小四 加粗 左侧:  0.83 厘米 段前: 7.8 磅 行距: 固定值 24 磅"/>
    <w:basedOn w:val="225"/>
    <w:qFormat/>
    <w:uiPriority w:val="0"/>
    <w:pPr>
      <w:wordWrap w:val="0"/>
      <w:topLinePunct/>
    </w:pPr>
    <w:rPr>
      <w:rFonts w:ascii="Arial" w:hAnsi="Arial" w:cs="宋体"/>
      <w:bCs/>
      <w:color w:val="000000"/>
      <w:kern w:val="0"/>
      <w:szCs w:val="21"/>
      <w:lang w:val="eu-ES"/>
    </w:rPr>
  </w:style>
  <w:style w:type="paragraph" w:customStyle="1" w:styleId="1897">
    <w:name w:val="样式 楷体_GB2312 三号 行距: 固定值 24 磅"/>
    <w:basedOn w:val="1"/>
    <w:qFormat/>
    <w:uiPriority w:val="0"/>
    <w:pPr>
      <w:tabs>
        <w:tab w:val="clear" w:pos="480"/>
      </w:tabs>
      <w:spacing w:line="480" w:lineRule="exact"/>
      <w:ind w:firstLine="358" w:firstLineChars="112"/>
    </w:pPr>
    <w:rPr>
      <w:rFonts w:ascii="楷体_GB2312" w:hAnsi="Calibri" w:eastAsia="楷体_GB2312" w:cs="宋体"/>
      <w:bCs/>
      <w:sz w:val="28"/>
      <w:szCs w:val="20"/>
    </w:rPr>
  </w:style>
  <w:style w:type="paragraph" w:customStyle="1" w:styleId="1898">
    <w:name w:val="样式 标题 2 + 首行缩进:  2 字符2"/>
    <w:basedOn w:val="3"/>
    <w:qFormat/>
    <w:uiPriority w:val="0"/>
    <w:pPr>
      <w:numPr>
        <w:ilvl w:val="0"/>
        <w:numId w:val="0"/>
      </w:numPr>
      <w:tabs>
        <w:tab w:val="left" w:pos="420"/>
        <w:tab w:val="clear" w:pos="480"/>
        <w:tab w:val="clear" w:pos="630"/>
      </w:tabs>
      <w:spacing w:beforeLines="50" w:afterLines="50" w:line="480" w:lineRule="exact"/>
      <w:ind w:firstLine="200"/>
    </w:pPr>
    <w:rPr>
      <w:rFonts w:ascii="黑体" w:hAnsi="Arial" w:eastAsia="黑体" w:cs="宋体"/>
      <w:b w:val="0"/>
      <w:sz w:val="28"/>
      <w:szCs w:val="20"/>
    </w:rPr>
  </w:style>
  <w:style w:type="paragraph" w:customStyle="1" w:styleId="1899">
    <w:name w:val="样式 标题 2 + 首行缩进:  2 字符3"/>
    <w:basedOn w:val="3"/>
    <w:qFormat/>
    <w:uiPriority w:val="0"/>
    <w:pPr>
      <w:numPr>
        <w:ilvl w:val="0"/>
        <w:numId w:val="0"/>
      </w:numPr>
      <w:tabs>
        <w:tab w:val="left" w:pos="420"/>
        <w:tab w:val="clear" w:pos="480"/>
        <w:tab w:val="clear" w:pos="630"/>
      </w:tabs>
      <w:spacing w:beforeLines="50" w:afterLines="50" w:line="480" w:lineRule="exact"/>
      <w:ind w:firstLine="200"/>
      <w:jc w:val="left"/>
    </w:pPr>
    <w:rPr>
      <w:rFonts w:ascii="黑体" w:hAnsi="Arial" w:eastAsia="黑体" w:cs="宋体"/>
      <w:b w:val="0"/>
      <w:sz w:val="28"/>
      <w:szCs w:val="20"/>
    </w:rPr>
  </w:style>
  <w:style w:type="paragraph" w:customStyle="1" w:styleId="1900">
    <w:name w:val="样式 样式 标题 2 + 首行缩进:  2 字符3 + 首行缩进:  2 字符"/>
    <w:basedOn w:val="1899"/>
    <w:qFormat/>
    <w:uiPriority w:val="0"/>
    <w:pPr>
      <w:jc w:val="both"/>
    </w:pPr>
  </w:style>
  <w:style w:type="paragraph" w:customStyle="1" w:styleId="1901">
    <w:name w:val="样式 要点 + 黑体 非加粗"/>
    <w:basedOn w:val="1"/>
    <w:qFormat/>
    <w:uiPriority w:val="0"/>
    <w:pPr>
      <w:keepNext/>
      <w:keepLines/>
      <w:tabs>
        <w:tab w:val="clear" w:pos="480"/>
      </w:tabs>
      <w:wordWrap w:val="0"/>
      <w:topLinePunct/>
      <w:autoSpaceDE w:val="0"/>
      <w:autoSpaceDN w:val="0"/>
      <w:snapToGrid w:val="0"/>
      <w:spacing w:line="440" w:lineRule="exact"/>
      <w:ind w:firstLine="454"/>
    </w:pPr>
    <w:rPr>
      <w:rFonts w:ascii="黑体" w:hAnsi="Arial" w:eastAsia="黑体"/>
    </w:rPr>
  </w:style>
  <w:style w:type="paragraph" w:customStyle="1" w:styleId="1902">
    <w:name w:val="样式 报告表文字01 + Arial 小四 首行缩进:  2 字符"/>
    <w:basedOn w:val="1"/>
    <w:qFormat/>
    <w:uiPriority w:val="0"/>
    <w:pPr>
      <w:tabs>
        <w:tab w:val="clear" w:pos="480"/>
      </w:tabs>
      <w:spacing w:line="480" w:lineRule="exact"/>
      <w:ind w:firstLine="471"/>
    </w:pPr>
    <w:rPr>
      <w:rFonts w:ascii="Arial" w:hAnsi="宋体" w:cs="宋体"/>
      <w:bCs/>
      <w:szCs w:val="20"/>
    </w:rPr>
  </w:style>
  <w:style w:type="paragraph" w:customStyle="1" w:styleId="1903">
    <w:name w:val="样式 报告表文字01 + Arial 小四 首行缩进:  2 字符1"/>
    <w:basedOn w:val="1"/>
    <w:qFormat/>
    <w:uiPriority w:val="0"/>
    <w:pPr>
      <w:tabs>
        <w:tab w:val="clear" w:pos="480"/>
      </w:tabs>
      <w:spacing w:line="480" w:lineRule="exact"/>
      <w:ind w:firstLine="471"/>
    </w:pPr>
    <w:rPr>
      <w:rFonts w:ascii="Arial" w:hAnsi="宋体" w:cs="宋体"/>
      <w:bCs/>
      <w:szCs w:val="20"/>
    </w:rPr>
  </w:style>
  <w:style w:type="paragraph" w:customStyle="1" w:styleId="1904">
    <w:name w:val="表头名称"/>
    <w:basedOn w:val="1"/>
    <w:qFormat/>
    <w:uiPriority w:val="0"/>
    <w:pPr>
      <w:tabs>
        <w:tab w:val="clear" w:pos="480"/>
      </w:tabs>
      <w:spacing w:line="480" w:lineRule="exact"/>
    </w:pPr>
    <w:rPr>
      <w:rFonts w:eastAsia="黑体"/>
      <w:sz w:val="28"/>
    </w:rPr>
  </w:style>
  <w:style w:type="paragraph" w:customStyle="1" w:styleId="1905">
    <w:name w:val="样式 加粗 黑色 首行缩进:  0.83 厘米 行距: 固定值 24 磅"/>
    <w:basedOn w:val="1"/>
    <w:qFormat/>
    <w:uiPriority w:val="0"/>
    <w:pPr>
      <w:tabs>
        <w:tab w:val="clear" w:pos="480"/>
      </w:tabs>
      <w:spacing w:line="480" w:lineRule="exact"/>
      <w:ind w:firstLine="471"/>
    </w:pPr>
    <w:rPr>
      <w:rFonts w:ascii="Arial" w:hAnsi="Arial" w:cs="宋体"/>
      <w:b/>
      <w:color w:val="000000"/>
      <w:kern w:val="0"/>
    </w:rPr>
  </w:style>
  <w:style w:type="paragraph" w:customStyle="1" w:styleId="1906">
    <w:name w:val="样式 表格文字 + 字符缩放: 90%"/>
    <w:basedOn w:val="225"/>
    <w:qFormat/>
    <w:uiPriority w:val="0"/>
    <w:pPr>
      <w:wordWrap w:val="0"/>
      <w:topLinePunct/>
    </w:pPr>
    <w:rPr>
      <w:rFonts w:hAnsi="Arial" w:cs="Arial Unicode MS"/>
      <w:color w:val="000000"/>
      <w:kern w:val="0"/>
      <w:szCs w:val="20"/>
      <w:lang w:val="eu-ES"/>
    </w:rPr>
  </w:style>
  <w:style w:type="paragraph" w:customStyle="1" w:styleId="1907">
    <w:name w:val="样式 标题 2 + 段后: 12 磅"/>
    <w:basedOn w:val="3"/>
    <w:qFormat/>
    <w:uiPriority w:val="0"/>
    <w:pPr>
      <w:numPr>
        <w:ilvl w:val="0"/>
        <w:numId w:val="0"/>
      </w:numPr>
      <w:tabs>
        <w:tab w:val="left" w:pos="420"/>
        <w:tab w:val="clear" w:pos="480"/>
        <w:tab w:val="clear" w:pos="630"/>
      </w:tabs>
      <w:spacing w:beforeLines="50" w:afterLines="50" w:line="480" w:lineRule="exact"/>
      <w:jc w:val="center"/>
    </w:pPr>
    <w:rPr>
      <w:rFonts w:ascii="黑体" w:hAnsi="Arial" w:eastAsia="黑体" w:cs="宋体"/>
      <w:b w:val="0"/>
      <w:bCs w:val="0"/>
      <w:sz w:val="30"/>
      <w:szCs w:val="30"/>
    </w:rPr>
  </w:style>
  <w:style w:type="paragraph" w:customStyle="1" w:styleId="1908">
    <w:name w:val="样式 标题 3 + 段后: 12 磅"/>
    <w:basedOn w:val="4"/>
    <w:qFormat/>
    <w:uiPriority w:val="0"/>
    <w:pPr>
      <w:keepLines w:val="0"/>
      <w:numPr>
        <w:ilvl w:val="1"/>
        <w:numId w:val="0"/>
      </w:numPr>
      <w:tabs>
        <w:tab w:val="clear" w:pos="480"/>
        <w:tab w:val="clear" w:pos="840"/>
      </w:tabs>
      <w:spacing w:beforeLines="50" w:after="240" w:line="480" w:lineRule="exact"/>
      <w:jc w:val="center"/>
    </w:pPr>
    <w:rPr>
      <w:rFonts w:ascii="黑体" w:hAnsi="黑体" w:eastAsia="黑体" w:cs="宋体"/>
      <w:sz w:val="24"/>
      <w:szCs w:val="24"/>
    </w:rPr>
  </w:style>
  <w:style w:type="paragraph" w:customStyle="1" w:styleId="1909">
    <w:name w:val="样式 宋体 行距: 固定值 21 磅"/>
    <w:basedOn w:val="1"/>
    <w:qFormat/>
    <w:uiPriority w:val="0"/>
    <w:pPr>
      <w:tabs>
        <w:tab w:val="clear" w:pos="480"/>
      </w:tabs>
      <w:spacing w:line="480" w:lineRule="exact"/>
      <w:ind w:firstLine="471"/>
    </w:pPr>
    <w:rPr>
      <w:rFonts w:ascii="Arial" w:hAnsi="Arial" w:cs="宋体"/>
      <w:bCs/>
    </w:rPr>
  </w:style>
  <w:style w:type="paragraph" w:customStyle="1" w:styleId="1910">
    <w:name w:val="样式 样式 表格文字 + (中文) 黑体 小四 加粗 左侧:  0.83 厘米 段前: 7.8 磅 行距: 固定值 24 磅 +..."/>
    <w:basedOn w:val="225"/>
    <w:qFormat/>
    <w:uiPriority w:val="0"/>
    <w:pPr>
      <w:wordWrap w:val="0"/>
      <w:topLinePunct/>
    </w:pPr>
    <w:rPr>
      <w:rFonts w:ascii="Arial" w:hAnsi="Arial" w:eastAsia="黑体" w:cs="Arial Unicode MS"/>
      <w:b/>
      <w:color w:val="000000"/>
      <w:kern w:val="0"/>
      <w:sz w:val="24"/>
      <w:szCs w:val="20"/>
      <w:lang w:val="eu-ES"/>
    </w:rPr>
  </w:style>
  <w:style w:type="paragraph" w:customStyle="1" w:styleId="1911">
    <w:name w:val="样式 表格文字 + (中文) 黑体 加粗 左侧:  0.83 厘米 段前: 7.8 磅 行距: 固定值 24 磅"/>
    <w:basedOn w:val="225"/>
    <w:qFormat/>
    <w:uiPriority w:val="0"/>
    <w:pPr>
      <w:wordWrap w:val="0"/>
      <w:topLinePunct/>
    </w:pPr>
    <w:rPr>
      <w:rFonts w:ascii="Arial" w:hAnsi="Arial" w:eastAsia="黑体" w:cs="宋体"/>
      <w:b/>
      <w:bCs/>
      <w:snapToGrid w:val="0"/>
      <w:color w:val="000000"/>
      <w:kern w:val="0"/>
      <w:szCs w:val="21"/>
      <w:lang w:val="eu-ES"/>
    </w:rPr>
  </w:style>
  <w:style w:type="paragraph" w:customStyle="1" w:styleId="1912">
    <w:name w:val="样式 报告表文字01 + 首行缩进:  2 字符"/>
    <w:basedOn w:val="1"/>
    <w:qFormat/>
    <w:uiPriority w:val="0"/>
    <w:pPr>
      <w:tabs>
        <w:tab w:val="clear" w:pos="480"/>
      </w:tabs>
      <w:spacing w:line="240" w:lineRule="auto"/>
      <w:jc w:val="center"/>
    </w:pPr>
    <w:rPr>
      <w:rFonts w:ascii="Arial" w:hAnsi="Arial" w:cs="宋体"/>
      <w:bCs/>
    </w:rPr>
  </w:style>
  <w:style w:type="paragraph" w:customStyle="1" w:styleId="1913">
    <w:name w:val="样式 标题 11"/>
    <w:basedOn w:val="84"/>
    <w:next w:val="1"/>
    <w:qFormat/>
    <w:uiPriority w:val="0"/>
    <w:pPr>
      <w:keepNext/>
      <w:pageBreakBefore/>
      <w:widowControl w:val="0"/>
      <w:adjustRightInd/>
      <w:snapToGrid/>
      <w:spacing w:before="120" w:after="120"/>
      <w:ind w:firstLine="0" w:firstLineChars="0"/>
    </w:pPr>
    <w:rPr>
      <w:rFonts w:ascii="黑体" w:eastAsia="黑体" w:cs="宋体"/>
      <w:color w:val="auto"/>
      <w:sz w:val="36"/>
      <w:szCs w:val="36"/>
    </w:rPr>
  </w:style>
  <w:style w:type="paragraph" w:customStyle="1" w:styleId="1914">
    <w:name w:val="样式 标题 1 + 段前: 0.5 行 段后: 0.5 行1"/>
    <w:basedOn w:val="2"/>
    <w:next w:val="1"/>
    <w:qFormat/>
    <w:uiPriority w:val="0"/>
    <w:pPr>
      <w:pageBreakBefore/>
      <w:numPr>
        <w:numId w:val="0"/>
      </w:numPr>
      <w:tabs>
        <w:tab w:val="clear" w:pos="480"/>
      </w:tabs>
      <w:spacing w:beforeLines="150" w:after="163" w:line="480" w:lineRule="exact"/>
      <w:jc w:val="center"/>
    </w:pPr>
    <w:rPr>
      <w:rFonts w:ascii="Times New Roman" w:hAnsi="Arial" w:eastAsia="黑体" w:cs="宋体"/>
      <w:b w:val="0"/>
      <w:color w:val="FF0000"/>
      <w:kern w:val="2"/>
      <w:szCs w:val="20"/>
      <w:lang w:val="en-GB"/>
    </w:rPr>
  </w:style>
  <w:style w:type="paragraph" w:customStyle="1" w:styleId="1915">
    <w:name w:val="样式 标题 1 + 段前: 0.5 行 段后: 0.5 行2"/>
    <w:basedOn w:val="2"/>
    <w:qFormat/>
    <w:uiPriority w:val="0"/>
    <w:pPr>
      <w:pageBreakBefore/>
      <w:numPr>
        <w:numId w:val="0"/>
      </w:numPr>
      <w:tabs>
        <w:tab w:val="clear" w:pos="480"/>
      </w:tabs>
      <w:spacing w:beforeLines="150" w:after="50" w:line="480" w:lineRule="exact"/>
      <w:jc w:val="center"/>
    </w:pPr>
    <w:rPr>
      <w:rFonts w:ascii="Times New Roman" w:hAnsi="Arial" w:eastAsia="黑体" w:cs="宋体"/>
      <w:b w:val="0"/>
      <w:color w:val="FF0000"/>
      <w:kern w:val="2"/>
      <w:szCs w:val="20"/>
      <w:lang w:val="en-GB"/>
    </w:rPr>
  </w:style>
  <w:style w:type="paragraph" w:customStyle="1" w:styleId="1916">
    <w:name w:val="样式 样式 纯文本 + + Arial 五号"/>
    <w:basedOn w:val="1"/>
    <w:qFormat/>
    <w:uiPriority w:val="0"/>
    <w:pPr>
      <w:tabs>
        <w:tab w:val="clear" w:pos="480"/>
      </w:tabs>
      <w:spacing w:line="240" w:lineRule="auto"/>
      <w:jc w:val="center"/>
    </w:pPr>
    <w:rPr>
      <w:rFonts w:ascii="Arial" w:hAnsi="Arial"/>
      <w:bCs/>
      <w:kern w:val="0"/>
      <w:sz w:val="21"/>
      <w:szCs w:val="21"/>
    </w:rPr>
  </w:style>
  <w:style w:type="paragraph" w:customStyle="1" w:styleId="1917">
    <w:name w:val="样式 首行缩进:  0 字符"/>
    <w:basedOn w:val="1"/>
    <w:qFormat/>
    <w:uiPriority w:val="0"/>
    <w:pPr>
      <w:tabs>
        <w:tab w:val="clear" w:pos="480"/>
      </w:tabs>
      <w:spacing w:line="480" w:lineRule="exact"/>
      <w:ind w:firstLine="471"/>
    </w:pPr>
    <w:rPr>
      <w:rFonts w:ascii="Arial" w:hAnsi="Arial" w:cs="宋体"/>
      <w:bCs/>
      <w:szCs w:val="20"/>
    </w:rPr>
  </w:style>
  <w:style w:type="paragraph" w:customStyle="1" w:styleId="1918">
    <w:name w:val="报告表名字"/>
    <w:basedOn w:val="1"/>
    <w:next w:val="1"/>
    <w:qFormat/>
    <w:uiPriority w:val="0"/>
    <w:pPr>
      <w:tabs>
        <w:tab w:val="clear" w:pos="480"/>
      </w:tabs>
      <w:spacing w:line="480" w:lineRule="exact"/>
      <w:ind w:firstLine="480"/>
    </w:pPr>
    <w:rPr>
      <w:rFonts w:ascii="Arial" w:hAnsi="Arial"/>
      <w:bCs/>
    </w:rPr>
  </w:style>
  <w:style w:type="paragraph" w:customStyle="1" w:styleId="1919">
    <w:name w:val="样式 标题 1 + 首行缩进:  0.5 字符"/>
    <w:basedOn w:val="2"/>
    <w:qFormat/>
    <w:uiPriority w:val="0"/>
    <w:pPr>
      <w:keepNext w:val="0"/>
      <w:numPr>
        <w:numId w:val="0"/>
      </w:numPr>
      <w:tabs>
        <w:tab w:val="clear" w:pos="480"/>
      </w:tabs>
      <w:spacing w:beforeLines="150" w:after="120" w:line="480" w:lineRule="exact"/>
      <w:jc w:val="center"/>
    </w:pPr>
    <w:rPr>
      <w:rFonts w:ascii="Times New Roman" w:hAnsi="Arial" w:eastAsia="黑体" w:cs="宋体"/>
      <w:b w:val="0"/>
      <w:color w:val="FF0000"/>
      <w:kern w:val="0"/>
      <w:szCs w:val="20"/>
      <w:lang w:val="en-GB"/>
    </w:rPr>
  </w:style>
  <w:style w:type="paragraph" w:customStyle="1" w:styleId="1920">
    <w:name w:val="编号文字"/>
    <w:basedOn w:val="1"/>
    <w:qFormat/>
    <w:uiPriority w:val="0"/>
    <w:pPr>
      <w:tabs>
        <w:tab w:val="clear" w:pos="480"/>
      </w:tabs>
      <w:spacing w:line="480" w:lineRule="exact"/>
      <w:ind w:firstLine="471"/>
    </w:pPr>
    <w:rPr>
      <w:rFonts w:ascii="Arial" w:hAnsi="Arial"/>
      <w:bCs/>
    </w:rPr>
  </w:style>
  <w:style w:type="paragraph" w:customStyle="1" w:styleId="1921">
    <w:name w:val="样式 题注 + 黑色 居中"/>
    <w:basedOn w:val="21"/>
    <w:qFormat/>
    <w:uiPriority w:val="0"/>
    <w:pPr>
      <w:widowControl w:val="0"/>
      <w:adjustRightInd/>
      <w:snapToGrid/>
      <w:spacing w:before="0" w:after="0" w:line="240" w:lineRule="auto"/>
      <w:ind w:firstLine="0" w:firstLineChars="0"/>
    </w:pPr>
    <w:rPr>
      <w:rFonts w:ascii="黑体" w:eastAsia="黑体" w:cs="宋体"/>
      <w:bCs/>
      <w:szCs w:val="24"/>
    </w:rPr>
  </w:style>
  <w:style w:type="paragraph" w:customStyle="1" w:styleId="1922">
    <w:name w:val="样式 标题 3 + 黑体 小四"/>
    <w:basedOn w:val="4"/>
    <w:qFormat/>
    <w:uiPriority w:val="0"/>
    <w:pPr>
      <w:keepLines w:val="0"/>
      <w:numPr>
        <w:ilvl w:val="1"/>
        <w:numId w:val="0"/>
      </w:numPr>
      <w:tabs>
        <w:tab w:val="clear" w:pos="480"/>
        <w:tab w:val="clear" w:pos="840"/>
      </w:tabs>
      <w:spacing w:before="260" w:line="413" w:lineRule="auto"/>
    </w:pPr>
    <w:rPr>
      <w:rFonts w:ascii="黑体" w:hAnsi="黑体" w:eastAsia="黑体"/>
      <w:sz w:val="24"/>
      <w:szCs w:val="24"/>
    </w:rPr>
  </w:style>
  <w:style w:type="paragraph" w:customStyle="1" w:styleId="1923">
    <w:name w:val="样式 标题 1 + (中文) 黑体"/>
    <w:basedOn w:val="2"/>
    <w:qFormat/>
    <w:uiPriority w:val="0"/>
    <w:pPr>
      <w:pageBreakBefore/>
      <w:numPr>
        <w:numId w:val="0"/>
      </w:numPr>
      <w:tabs>
        <w:tab w:val="clear" w:pos="480"/>
      </w:tabs>
      <w:spacing w:beforeLines="150" w:after="120" w:line="576" w:lineRule="auto"/>
      <w:jc w:val="center"/>
    </w:pPr>
    <w:rPr>
      <w:rFonts w:ascii="Times New Roman" w:eastAsia="黑体"/>
      <w:b w:val="0"/>
      <w:bCs w:val="0"/>
      <w:color w:val="FF0000"/>
      <w:kern w:val="2"/>
      <w:szCs w:val="36"/>
      <w:lang w:val="en-GB"/>
    </w:rPr>
  </w:style>
  <w:style w:type="paragraph" w:customStyle="1" w:styleId="1924">
    <w:name w:val="样式 普通(网站) + ˎ̥ 11.5 磅 黑色 首行缩进:  0.81 厘米 段前: 自动 段后: 自动 行距: ..."/>
    <w:basedOn w:val="81"/>
    <w:qFormat/>
    <w:uiPriority w:val="0"/>
    <w:pPr>
      <w:spacing w:before="190" w:after="190" w:line="375" w:lineRule="atLeast"/>
      <w:ind w:firstLine="460"/>
    </w:pPr>
    <w:rPr>
      <w:rFonts w:ascii="ˎ̥" w:hAnsi="ˎ̥" w:eastAsia="宋体" w:cs="宋体"/>
      <w:bCs/>
      <w:color w:val="000000"/>
      <w:sz w:val="23"/>
      <w:szCs w:val="20"/>
    </w:rPr>
  </w:style>
  <w:style w:type="paragraph" w:customStyle="1" w:styleId="1925">
    <w:name w:val="样式 标题 2 + 首行缩进:  2 字符4"/>
    <w:basedOn w:val="3"/>
    <w:qFormat/>
    <w:uiPriority w:val="0"/>
    <w:pPr>
      <w:numPr>
        <w:ilvl w:val="0"/>
        <w:numId w:val="0"/>
      </w:numPr>
      <w:tabs>
        <w:tab w:val="left" w:pos="420"/>
        <w:tab w:val="clear" w:pos="480"/>
        <w:tab w:val="clear" w:pos="630"/>
      </w:tabs>
      <w:spacing w:beforeLines="50" w:afterLines="50" w:line="480" w:lineRule="exact"/>
      <w:ind w:firstLine="471"/>
      <w:jc w:val="left"/>
    </w:pPr>
    <w:rPr>
      <w:rFonts w:ascii="黑体" w:hAnsi="Arial" w:eastAsia="黑体" w:cs="宋体"/>
      <w:b w:val="0"/>
      <w:kern w:val="0"/>
      <w:sz w:val="24"/>
      <w:szCs w:val="24"/>
    </w:rPr>
  </w:style>
  <w:style w:type="paragraph" w:customStyle="1" w:styleId="1926">
    <w:name w:val="样式 表格名称 +"/>
    <w:basedOn w:val="1545"/>
    <w:qFormat/>
    <w:uiPriority w:val="0"/>
    <w:pPr>
      <w:keepNext/>
      <w:keepLines/>
      <w:wordWrap w:val="0"/>
      <w:topLinePunct/>
      <w:spacing w:line="240" w:lineRule="auto"/>
      <w:ind w:firstLine="471" w:firstLineChars="0"/>
    </w:pPr>
    <w:rPr>
      <w:rFonts w:ascii="黑体" w:hAnsi="宋体" w:eastAsia="黑体"/>
      <w:b w:val="0"/>
      <w:szCs w:val="24"/>
    </w:rPr>
  </w:style>
  <w:style w:type="paragraph" w:customStyle="1" w:styleId="1927">
    <w:name w:val="样式 报告表标题02 + 首行缩进:  2 字符"/>
    <w:basedOn w:val="1"/>
    <w:qFormat/>
    <w:uiPriority w:val="0"/>
    <w:pPr>
      <w:tabs>
        <w:tab w:val="clear" w:pos="480"/>
      </w:tabs>
      <w:spacing w:afterLines="50" w:line="480" w:lineRule="exact"/>
    </w:pPr>
    <w:rPr>
      <w:rFonts w:ascii="Arial" w:hAnsi="Arial" w:cs="宋体"/>
      <w:b/>
    </w:rPr>
  </w:style>
  <w:style w:type="paragraph" w:customStyle="1" w:styleId="1928">
    <w:name w:val="样式 标题 1"/>
    <w:basedOn w:val="84"/>
    <w:next w:val="1"/>
    <w:qFormat/>
    <w:uiPriority w:val="0"/>
    <w:pPr>
      <w:keepNext/>
      <w:pageBreakBefore/>
      <w:widowControl w:val="0"/>
      <w:adjustRightInd/>
      <w:snapToGrid/>
      <w:spacing w:before="120" w:after="120" w:line="520" w:lineRule="exact"/>
      <w:ind w:firstLine="471" w:firstLineChars="0"/>
    </w:pPr>
    <w:rPr>
      <w:rFonts w:ascii="黑体" w:eastAsia="黑体" w:cs="宋体"/>
      <w:color w:val="auto"/>
      <w:sz w:val="36"/>
      <w:szCs w:val="36"/>
    </w:rPr>
  </w:style>
  <w:style w:type="paragraph" w:customStyle="1" w:styleId="1929">
    <w:name w:val="样式 环评1 + 段前: 6 磅 段后: 6 磅 行距: 单倍行距"/>
    <w:basedOn w:val="1"/>
    <w:qFormat/>
    <w:uiPriority w:val="0"/>
    <w:pPr>
      <w:keepNext/>
      <w:keepLines/>
      <w:widowControl/>
      <w:tabs>
        <w:tab w:val="clear" w:pos="480"/>
      </w:tabs>
      <w:spacing w:before="120" w:after="120" w:line="240" w:lineRule="auto"/>
      <w:ind w:firstLine="471"/>
      <w:outlineLvl w:val="0"/>
    </w:pPr>
    <w:rPr>
      <w:rFonts w:ascii="黑体" w:hAnsi="Arial Rounded MT Bold" w:eastAsia="黑体" w:cs="宋体"/>
      <w:spacing w:val="20"/>
      <w:kern w:val="44"/>
      <w:sz w:val="48"/>
      <w:szCs w:val="48"/>
    </w:rPr>
  </w:style>
  <w:style w:type="paragraph" w:customStyle="1" w:styleId="1930">
    <w:name w:val="样式 标题 3 + 首行缩进:  0.5 字符"/>
    <w:basedOn w:val="4"/>
    <w:qFormat/>
    <w:uiPriority w:val="0"/>
    <w:pPr>
      <w:keepLines w:val="0"/>
      <w:widowControl/>
      <w:numPr>
        <w:ilvl w:val="1"/>
        <w:numId w:val="0"/>
      </w:numPr>
      <w:tabs>
        <w:tab w:val="left" w:pos="420"/>
        <w:tab w:val="clear" w:pos="480"/>
        <w:tab w:val="clear" w:pos="840"/>
      </w:tabs>
      <w:spacing w:beforeLines="50" w:after="50" w:line="480" w:lineRule="exact"/>
      <w:ind w:firstLine="471"/>
    </w:pPr>
    <w:rPr>
      <w:rFonts w:ascii="黑体" w:hAnsi="黑体" w:eastAsia="黑体" w:cs="宋体"/>
      <w:bCs w:val="0"/>
      <w:kern w:val="0"/>
      <w:sz w:val="24"/>
      <w:szCs w:val="24"/>
    </w:rPr>
  </w:style>
  <w:style w:type="paragraph" w:customStyle="1" w:styleId="1931">
    <w:name w:val="样式 标题 3ReHead 3 WSAh3B HeadH3Section小标题小节标题H31H32H33..."/>
    <w:basedOn w:val="4"/>
    <w:qFormat/>
    <w:uiPriority w:val="0"/>
    <w:pPr>
      <w:keepLines w:val="0"/>
      <w:numPr>
        <w:ilvl w:val="1"/>
        <w:numId w:val="0"/>
      </w:numPr>
      <w:tabs>
        <w:tab w:val="clear" w:pos="480"/>
        <w:tab w:val="clear" w:pos="840"/>
      </w:tabs>
      <w:spacing w:after="0" w:line="240" w:lineRule="auto"/>
      <w:ind w:firstLine="471"/>
    </w:pPr>
    <w:rPr>
      <w:rFonts w:ascii="黑体" w:hAnsi="黑体" w:eastAsia="黑体" w:cs="宋体"/>
      <w:b w:val="0"/>
      <w:bCs w:val="0"/>
      <w:sz w:val="24"/>
      <w:szCs w:val="24"/>
    </w:rPr>
  </w:style>
  <w:style w:type="paragraph" w:customStyle="1" w:styleId="1932">
    <w:name w:val="法律法规文字"/>
    <w:basedOn w:val="1"/>
    <w:qFormat/>
    <w:uiPriority w:val="0"/>
    <w:pPr>
      <w:numPr>
        <w:ilvl w:val="0"/>
        <w:numId w:val="24"/>
      </w:numPr>
      <w:tabs>
        <w:tab w:val="clear" w:pos="480"/>
      </w:tabs>
      <w:spacing w:line="480" w:lineRule="exact"/>
    </w:pPr>
    <w:rPr>
      <w:rFonts w:ascii="Arial" w:hAnsi="Arial"/>
      <w:bCs/>
      <w:szCs w:val="20"/>
    </w:rPr>
  </w:style>
  <w:style w:type="paragraph" w:customStyle="1" w:styleId="1933">
    <w:name w:val="样式 标题 1Head 1ws标题 1标1章..."/>
    <w:basedOn w:val="2"/>
    <w:qFormat/>
    <w:uiPriority w:val="0"/>
    <w:pPr>
      <w:pageBreakBefore/>
      <w:numPr>
        <w:numId w:val="0"/>
      </w:numPr>
      <w:tabs>
        <w:tab w:val="clear" w:pos="480"/>
      </w:tabs>
      <w:adjustRightInd w:val="0"/>
      <w:spacing w:beforeLines="50" w:after="120" w:line="480" w:lineRule="exact"/>
      <w:jc w:val="center"/>
      <w:textAlignment w:val="baseline"/>
    </w:pPr>
    <w:rPr>
      <w:rFonts w:ascii="Times New Roman" w:hAnsi="Arial" w:eastAsia="黑体" w:cs="宋体"/>
      <w:b w:val="0"/>
      <w:color w:val="FF0000"/>
      <w:sz w:val="30"/>
      <w:szCs w:val="20"/>
    </w:rPr>
  </w:style>
  <w:style w:type="paragraph" w:customStyle="1" w:styleId="1934">
    <w:name w:val="样式 首行缩进:  2 字符3"/>
    <w:basedOn w:val="1"/>
    <w:qFormat/>
    <w:uiPriority w:val="0"/>
    <w:pPr>
      <w:tabs>
        <w:tab w:val="clear" w:pos="480"/>
      </w:tabs>
      <w:spacing w:line="480" w:lineRule="exact"/>
      <w:ind w:firstLine="471"/>
    </w:pPr>
    <w:rPr>
      <w:rFonts w:ascii="Arial" w:hAnsi="Arial" w:cs="宋体"/>
      <w:bCs/>
    </w:rPr>
  </w:style>
  <w:style w:type="paragraph" w:customStyle="1" w:styleId="1935">
    <w:name w:val="样式 标题 1标题 1 Char Char标题 1 CharH1Heading 11level 1Level 1 H..."/>
    <w:basedOn w:val="2"/>
    <w:qFormat/>
    <w:uiPriority w:val="0"/>
    <w:pPr>
      <w:keepLines w:val="0"/>
      <w:pageBreakBefore/>
      <w:widowControl/>
      <w:numPr>
        <w:numId w:val="0"/>
      </w:numPr>
      <w:tabs>
        <w:tab w:val="right" w:pos="8640"/>
        <w:tab w:val="clear" w:pos="480"/>
      </w:tabs>
      <w:overflowPunct w:val="0"/>
      <w:autoSpaceDE w:val="0"/>
      <w:autoSpaceDN w:val="0"/>
      <w:adjustRightInd w:val="0"/>
      <w:spacing w:beforeLines="150" w:after="120"/>
      <w:jc w:val="center"/>
      <w:textAlignment w:val="baseline"/>
    </w:pPr>
    <w:rPr>
      <w:rFonts w:ascii="Times New Roman" w:eastAsia="黑体" w:cs="宋体"/>
      <w:b w:val="0"/>
      <w:bCs w:val="0"/>
      <w:color w:val="FF0000"/>
      <w:kern w:val="28"/>
      <w:szCs w:val="36"/>
    </w:rPr>
  </w:style>
  <w:style w:type="paragraph" w:customStyle="1" w:styleId="1936">
    <w:name w:val="样式 环评1.1.1.1 + 左侧:  1 字符 右侧:  1 字符"/>
    <w:basedOn w:val="1"/>
    <w:qFormat/>
    <w:uiPriority w:val="0"/>
    <w:pPr>
      <w:keepNext/>
      <w:keepLines/>
      <w:tabs>
        <w:tab w:val="clear" w:pos="480"/>
      </w:tabs>
      <w:spacing w:line="480" w:lineRule="exact"/>
      <w:ind w:firstLine="471"/>
      <w:outlineLvl w:val="3"/>
    </w:pPr>
    <w:rPr>
      <w:rFonts w:ascii="Arial" w:hAnsi="Arial" w:cs="宋体"/>
      <w:b/>
    </w:rPr>
  </w:style>
  <w:style w:type="paragraph" w:customStyle="1" w:styleId="1937">
    <w:name w:val="样式 标题 2标题 2 Char CharH2Heading 2 HiddenHeading 2 CCBSHD2节..."/>
    <w:basedOn w:val="3"/>
    <w:qFormat/>
    <w:uiPriority w:val="0"/>
    <w:pPr>
      <w:keepLines w:val="0"/>
      <w:widowControl/>
      <w:numPr>
        <w:ilvl w:val="0"/>
        <w:numId w:val="0"/>
      </w:numPr>
      <w:tabs>
        <w:tab w:val="left" w:pos="420"/>
        <w:tab w:val="right" w:pos="8640"/>
        <w:tab w:val="clear" w:pos="480"/>
        <w:tab w:val="clear" w:pos="630"/>
      </w:tabs>
      <w:overflowPunct w:val="0"/>
      <w:autoSpaceDE w:val="0"/>
      <w:autoSpaceDN w:val="0"/>
      <w:spacing w:beforeLines="50" w:afterLines="50"/>
      <w:ind w:firstLine="470"/>
      <w:jc w:val="left"/>
    </w:pPr>
    <w:rPr>
      <w:rFonts w:ascii="黑体" w:eastAsia="黑体" w:cs="宋体"/>
      <w:b w:val="0"/>
      <w:bCs w:val="0"/>
      <w:kern w:val="28"/>
      <w:sz w:val="28"/>
      <w:szCs w:val="28"/>
    </w:rPr>
  </w:style>
  <w:style w:type="paragraph" w:customStyle="1" w:styleId="1938">
    <w:name w:val="样式 标题 3标题 3 Char Char Char标题 3 Char Char Char Char Char Char标...1"/>
    <w:basedOn w:val="4"/>
    <w:qFormat/>
    <w:uiPriority w:val="0"/>
    <w:pPr>
      <w:keepLines w:val="0"/>
      <w:numPr>
        <w:ilvl w:val="1"/>
        <w:numId w:val="0"/>
      </w:numPr>
      <w:tabs>
        <w:tab w:val="clear" w:pos="480"/>
        <w:tab w:val="clear" w:pos="840"/>
      </w:tabs>
      <w:adjustRightInd w:val="0"/>
      <w:spacing w:after="0" w:line="360" w:lineRule="auto"/>
      <w:ind w:firstLine="471"/>
    </w:pPr>
    <w:rPr>
      <w:rFonts w:ascii="黑体" w:eastAsia="黑体" w:cs="宋体"/>
      <w:b w:val="0"/>
      <w:bCs w:val="0"/>
      <w:kern w:val="28"/>
      <w:sz w:val="24"/>
      <w:szCs w:val="24"/>
    </w:rPr>
  </w:style>
  <w:style w:type="paragraph" w:customStyle="1" w:styleId="1939">
    <w:name w:val="样式 (符号) 宋体 小四 行距: 1.5 倍行距"/>
    <w:basedOn w:val="1"/>
    <w:qFormat/>
    <w:uiPriority w:val="0"/>
    <w:pPr>
      <w:tabs>
        <w:tab w:val="clear" w:pos="480"/>
      </w:tabs>
      <w:ind w:firstLine="471"/>
    </w:pPr>
    <w:rPr>
      <w:rFonts w:hAnsi="宋体" w:cs="宋体"/>
      <w:bCs/>
      <w:szCs w:val="20"/>
    </w:rPr>
  </w:style>
  <w:style w:type="paragraph" w:customStyle="1" w:styleId="1940">
    <w:name w:val="分标题"/>
    <w:basedOn w:val="1"/>
    <w:semiHidden/>
    <w:qFormat/>
    <w:uiPriority w:val="0"/>
    <w:pPr>
      <w:keepNext/>
      <w:keepLines/>
      <w:suppressLineNumbers/>
      <w:tabs>
        <w:tab w:val="clear" w:pos="480"/>
      </w:tabs>
      <w:autoSpaceDE w:val="0"/>
      <w:autoSpaceDN w:val="0"/>
      <w:adjustRightInd w:val="0"/>
      <w:spacing w:after="120" w:line="400" w:lineRule="atLeast"/>
      <w:textAlignment w:val="baseline"/>
    </w:pPr>
    <w:rPr>
      <w:rFonts w:ascii="宋体" w:hAnsi="Tms Rmn" w:cs="宋体"/>
      <w:b/>
      <w:kern w:val="0"/>
      <w:u w:val="single"/>
      <w:lang w:val="en-GB"/>
    </w:rPr>
  </w:style>
  <w:style w:type="paragraph" w:customStyle="1" w:styleId="1941">
    <w:name w:val="条目"/>
    <w:basedOn w:val="1"/>
    <w:semiHidden/>
    <w:qFormat/>
    <w:uiPriority w:val="0"/>
    <w:pPr>
      <w:widowControl/>
      <w:tabs>
        <w:tab w:val="left" w:pos="1620"/>
        <w:tab w:val="clear" w:pos="480"/>
      </w:tabs>
      <w:overflowPunct w:val="0"/>
      <w:autoSpaceDE w:val="0"/>
      <w:autoSpaceDN w:val="0"/>
      <w:adjustRightInd w:val="0"/>
      <w:spacing w:before="60" w:after="60" w:line="400" w:lineRule="atLeast"/>
      <w:ind w:left="709"/>
      <w:textAlignment w:val="baseline"/>
    </w:pPr>
    <w:rPr>
      <w:rFonts w:ascii="宋体" w:hAnsi="Tms Rmn" w:cs="宋体"/>
      <w:bCs/>
      <w:kern w:val="0"/>
    </w:rPr>
  </w:style>
  <w:style w:type="character" w:customStyle="1" w:styleId="1942">
    <w:name w:val="小标题 Char Char"/>
    <w:semiHidden/>
    <w:qFormat/>
    <w:uiPriority w:val="0"/>
    <w:rPr>
      <w:rFonts w:ascii="Arial" w:hAnsi="Arial" w:eastAsia="宋体"/>
      <w:b/>
      <w:bCs/>
      <w:kern w:val="2"/>
      <w:sz w:val="24"/>
      <w:szCs w:val="24"/>
      <w:u w:val="words"/>
      <w:lang w:val="en-US" w:eastAsia="zh-CN" w:bidi="ar-SA"/>
    </w:rPr>
  </w:style>
  <w:style w:type="character" w:customStyle="1" w:styleId="1943">
    <w:name w:val="小标题1"/>
    <w:semiHidden/>
    <w:qFormat/>
    <w:uiPriority w:val="0"/>
    <w:rPr>
      <w:rFonts w:ascii="Arial" w:hAnsi="Arial" w:eastAsia="宋体"/>
      <w:b/>
      <w:bCs/>
      <w:kern w:val="2"/>
      <w:sz w:val="24"/>
      <w:szCs w:val="24"/>
      <w:u w:val="single"/>
      <w:lang w:val="en-US" w:eastAsia="zh-CN" w:bidi="ar-SA"/>
    </w:rPr>
  </w:style>
  <w:style w:type="paragraph" w:customStyle="1" w:styleId="1944">
    <w:name w:val="样式 报告 + 段前: 0.2 行 段后: 0.2 行 左  0 字符 首行缩进:  2 字符"/>
    <w:basedOn w:val="1"/>
    <w:semiHidden/>
    <w:qFormat/>
    <w:uiPriority w:val="0"/>
    <w:pPr>
      <w:tabs>
        <w:tab w:val="clear" w:pos="480"/>
      </w:tabs>
      <w:overflowPunct w:val="0"/>
      <w:autoSpaceDE w:val="0"/>
      <w:autoSpaceDN w:val="0"/>
      <w:adjustRightInd w:val="0"/>
      <w:spacing w:beforeLines="20" w:afterLines="20" w:line="440" w:lineRule="atLeast"/>
      <w:ind w:firstLine="480"/>
      <w:textAlignment w:val="baseline"/>
    </w:pPr>
    <w:rPr>
      <w:rFonts w:ascii="Arial" w:hAnsi="Arial"/>
      <w:bCs/>
      <w:kern w:val="0"/>
    </w:rPr>
  </w:style>
  <w:style w:type="paragraph" w:customStyle="1" w:styleId="1945">
    <w:name w:val="样式 报告 + 段前: 0.3 行 段后: 0.3 行1"/>
    <w:basedOn w:val="1"/>
    <w:semiHidden/>
    <w:qFormat/>
    <w:uiPriority w:val="0"/>
    <w:pPr>
      <w:tabs>
        <w:tab w:val="clear" w:pos="480"/>
      </w:tabs>
      <w:overflowPunct w:val="0"/>
      <w:autoSpaceDE w:val="0"/>
      <w:autoSpaceDN w:val="0"/>
      <w:adjustRightInd w:val="0"/>
      <w:spacing w:beforeLines="30" w:afterLines="30" w:line="440" w:lineRule="atLeast"/>
      <w:ind w:firstLine="540" w:firstLineChars="225"/>
      <w:textAlignment w:val="baseline"/>
    </w:pPr>
    <w:rPr>
      <w:rFonts w:ascii="Arial" w:hAnsi="Arial"/>
      <w:bCs/>
      <w:kern w:val="0"/>
    </w:rPr>
  </w:style>
  <w:style w:type="paragraph" w:customStyle="1" w:styleId="1946">
    <w:name w:val="样式 报告 + 首行缩进:  0.58 字符 Char"/>
    <w:basedOn w:val="1"/>
    <w:semiHidden/>
    <w:qFormat/>
    <w:uiPriority w:val="0"/>
    <w:pPr>
      <w:tabs>
        <w:tab w:val="clear" w:pos="480"/>
      </w:tabs>
      <w:overflowPunct w:val="0"/>
      <w:autoSpaceDE w:val="0"/>
      <w:autoSpaceDN w:val="0"/>
      <w:adjustRightInd w:val="0"/>
      <w:spacing w:beforeLines="10" w:afterLines="10" w:line="440" w:lineRule="atLeast"/>
      <w:textAlignment w:val="baseline"/>
    </w:pPr>
    <w:rPr>
      <w:rFonts w:ascii="Arial" w:hAnsi="Arial"/>
      <w:bCs/>
      <w:kern w:val="0"/>
    </w:rPr>
  </w:style>
  <w:style w:type="character" w:customStyle="1" w:styleId="1947">
    <w:name w:val="样式 报告 + 首行缩进:  0.58 字符 Char Char"/>
    <w:semiHidden/>
    <w:qFormat/>
    <w:uiPriority w:val="0"/>
    <w:rPr>
      <w:rFonts w:ascii="Arial" w:hAnsi="Arial" w:eastAsia="宋体"/>
      <w:kern w:val="2"/>
      <w:sz w:val="24"/>
      <w:szCs w:val="24"/>
      <w:lang w:val="en-US" w:eastAsia="zh-CN" w:bidi="ar-SA"/>
    </w:rPr>
  </w:style>
  <w:style w:type="paragraph" w:customStyle="1" w:styleId="1948">
    <w:name w:val="样式 报告 + 首行缩进:  2 字符"/>
    <w:basedOn w:val="1"/>
    <w:semiHidden/>
    <w:qFormat/>
    <w:uiPriority w:val="0"/>
    <w:pPr>
      <w:widowControl/>
      <w:tabs>
        <w:tab w:val="clear" w:pos="480"/>
      </w:tabs>
      <w:overflowPunct w:val="0"/>
      <w:autoSpaceDE w:val="0"/>
      <w:autoSpaceDN w:val="0"/>
      <w:adjustRightInd w:val="0"/>
      <w:spacing w:before="120" w:after="120" w:line="400" w:lineRule="atLeast"/>
      <w:ind w:firstLine="480"/>
      <w:textAlignment w:val="baseline"/>
    </w:pPr>
    <w:rPr>
      <w:rFonts w:ascii="Arial" w:hAnsi="Arial"/>
      <w:bCs/>
      <w:kern w:val="0"/>
    </w:rPr>
  </w:style>
  <w:style w:type="character" w:customStyle="1" w:styleId="1949">
    <w:name w:val="样式 报告 + 首行缩进:  2 字符 Char"/>
    <w:semiHidden/>
    <w:qFormat/>
    <w:uiPriority w:val="0"/>
    <w:rPr>
      <w:rFonts w:ascii="Arial" w:hAnsi="Arial" w:eastAsia="宋体"/>
      <w:kern w:val="2"/>
      <w:sz w:val="24"/>
      <w:szCs w:val="24"/>
      <w:lang w:val="en-US" w:eastAsia="zh-CN" w:bidi="ar-SA"/>
    </w:rPr>
  </w:style>
  <w:style w:type="paragraph" w:customStyle="1" w:styleId="1950">
    <w:name w:val="样式 报告 + 首行缩进:  2 字符 段前: 0.1 行 段后: 0.1 行"/>
    <w:basedOn w:val="1"/>
    <w:semiHidden/>
    <w:qFormat/>
    <w:uiPriority w:val="0"/>
    <w:pPr>
      <w:tabs>
        <w:tab w:val="clear" w:pos="480"/>
      </w:tabs>
      <w:overflowPunct w:val="0"/>
      <w:autoSpaceDE w:val="0"/>
      <w:autoSpaceDN w:val="0"/>
      <w:adjustRightInd w:val="0"/>
      <w:spacing w:beforeLines="10" w:afterLines="10" w:line="440" w:lineRule="atLeast"/>
      <w:ind w:firstLine="497" w:firstLineChars="207"/>
      <w:textAlignment w:val="baseline"/>
    </w:pPr>
    <w:rPr>
      <w:rFonts w:ascii="Arial" w:hAnsi="Arial"/>
      <w:bCs/>
      <w:kern w:val="0"/>
      <w:lang w:val="zh-CN"/>
    </w:rPr>
  </w:style>
  <w:style w:type="paragraph" w:customStyle="1" w:styleId="1951">
    <w:name w:val="样式 报告 + 首行缩进:  2 字符 段前: 0.3 行 段后: 0.3 行"/>
    <w:basedOn w:val="1"/>
    <w:semiHidden/>
    <w:qFormat/>
    <w:uiPriority w:val="0"/>
    <w:pPr>
      <w:tabs>
        <w:tab w:val="clear" w:pos="480"/>
      </w:tabs>
      <w:spacing w:before="93" w:after="93"/>
      <w:ind w:firstLine="480"/>
    </w:pPr>
    <w:rPr>
      <w:rFonts w:ascii="Arial" w:hAnsi="Arial"/>
      <w:bCs/>
      <w:color w:val="FF0000"/>
      <w:lang w:val="en-GB"/>
    </w:rPr>
  </w:style>
  <w:style w:type="paragraph" w:customStyle="1" w:styleId="1952">
    <w:name w:val="样式 报告 + 小四 段前: 0.3 行 段后: 0.3 行"/>
    <w:basedOn w:val="1"/>
    <w:semiHidden/>
    <w:qFormat/>
    <w:uiPriority w:val="0"/>
    <w:pPr>
      <w:tabs>
        <w:tab w:val="clear" w:pos="480"/>
      </w:tabs>
      <w:overflowPunct w:val="0"/>
      <w:autoSpaceDE w:val="0"/>
      <w:autoSpaceDN w:val="0"/>
      <w:adjustRightInd w:val="0"/>
      <w:spacing w:beforeLines="30" w:afterLines="30" w:line="440" w:lineRule="atLeast"/>
      <w:ind w:firstLine="540" w:firstLineChars="225"/>
      <w:textAlignment w:val="baseline"/>
    </w:pPr>
    <w:rPr>
      <w:rFonts w:ascii="Arial" w:hAnsi="Arial"/>
      <w:bCs/>
      <w:kern w:val="0"/>
    </w:rPr>
  </w:style>
  <w:style w:type="paragraph" w:customStyle="1" w:styleId="1953">
    <w:name w:val="样式 报告 Char + 首行缩进:  2 字符"/>
    <w:basedOn w:val="1"/>
    <w:semiHidden/>
    <w:qFormat/>
    <w:uiPriority w:val="0"/>
    <w:pPr>
      <w:widowControl/>
      <w:tabs>
        <w:tab w:val="clear" w:pos="480"/>
      </w:tabs>
      <w:overflowPunct w:val="0"/>
      <w:autoSpaceDE w:val="0"/>
      <w:autoSpaceDN w:val="0"/>
      <w:adjustRightInd w:val="0"/>
      <w:spacing w:before="120" w:after="120" w:line="400" w:lineRule="atLeast"/>
      <w:ind w:firstLine="480"/>
      <w:textAlignment w:val="baseline"/>
    </w:pPr>
    <w:rPr>
      <w:rFonts w:ascii="Arial" w:hAnsi="Arial"/>
      <w:bCs/>
    </w:rPr>
  </w:style>
  <w:style w:type="paragraph" w:customStyle="1" w:styleId="1954">
    <w:name w:val="样式 标题 2标题 2 CharH2título 2h2RN chapter段节 + 左侧:  0 厘米 首行缩..."/>
    <w:basedOn w:val="3"/>
    <w:semiHidden/>
    <w:qFormat/>
    <w:uiPriority w:val="0"/>
    <w:pPr>
      <w:keepNext w:val="0"/>
      <w:keepLines w:val="0"/>
      <w:numPr>
        <w:numId w:val="0"/>
      </w:numPr>
      <w:tabs>
        <w:tab w:val="left" w:pos="420"/>
        <w:tab w:val="left" w:pos="992"/>
        <w:tab w:val="clear" w:pos="480"/>
        <w:tab w:val="clear" w:pos="630"/>
      </w:tabs>
      <w:adjustRightInd w:val="0"/>
      <w:spacing w:beforeLines="100" w:afterLines="100" w:line="416" w:lineRule="atLeast"/>
      <w:ind w:left="992" w:hanging="567"/>
      <w:jc w:val="left"/>
      <w:textAlignment w:val="baseline"/>
    </w:pPr>
    <w:rPr>
      <w:rFonts w:ascii="黑体" w:hAnsi="Arial" w:eastAsia="黑体"/>
      <w:b w:val="0"/>
      <w:kern w:val="0"/>
      <w:sz w:val="28"/>
      <w:szCs w:val="28"/>
    </w:rPr>
  </w:style>
  <w:style w:type="paragraph" w:customStyle="1" w:styleId="1955">
    <w:name w:val="样式 标题 3标题3H3h33rd level第二层条标题 3 Char Char标题 31标题 3 Char ..."/>
    <w:basedOn w:val="4"/>
    <w:semiHidden/>
    <w:qFormat/>
    <w:uiPriority w:val="0"/>
    <w:pPr>
      <w:keepLines w:val="0"/>
      <w:numPr>
        <w:ilvl w:val="1"/>
        <w:numId w:val="0"/>
      </w:numPr>
      <w:tabs>
        <w:tab w:val="clear" w:pos="480"/>
        <w:tab w:val="clear" w:pos="840"/>
      </w:tabs>
      <w:adjustRightInd w:val="0"/>
      <w:spacing w:beforeLines="50" w:after="0" w:line="416" w:lineRule="atLeast"/>
      <w:ind w:firstLine="471"/>
      <w:textAlignment w:val="baseline"/>
    </w:pPr>
    <w:rPr>
      <w:rFonts w:ascii="Arial" w:hAnsi="Arial" w:eastAsia="黑体" w:cs="Arial"/>
      <w:b w:val="0"/>
      <w:color w:val="000000"/>
      <w:kern w:val="0"/>
      <w:sz w:val="24"/>
      <w:szCs w:val="24"/>
    </w:rPr>
  </w:style>
  <w:style w:type="paragraph" w:customStyle="1" w:styleId="1956">
    <w:name w:val="样式 标题 4 + 段前: 7.8 磅 段后: 0 磅 行距: 单倍行距"/>
    <w:basedOn w:val="5"/>
    <w:semiHidden/>
    <w:qFormat/>
    <w:uiPriority w:val="0"/>
    <w:pPr>
      <w:numPr>
        <w:numId w:val="0"/>
      </w:numPr>
      <w:tabs>
        <w:tab w:val="left" w:pos="864"/>
        <w:tab w:val="clear" w:pos="480"/>
      </w:tabs>
      <w:spacing w:beforeLines="50" w:after="0" w:line="240" w:lineRule="auto"/>
      <w:ind w:left="864" w:hanging="864"/>
    </w:pPr>
    <w:rPr>
      <w:rFonts w:ascii="Arial" w:hAnsi="Arial" w:eastAsia="宋体" w:cs="宋体"/>
      <w:b w:val="0"/>
      <w:bCs w:val="0"/>
      <w:i/>
      <w:sz w:val="24"/>
      <w:szCs w:val="20"/>
    </w:rPr>
  </w:style>
  <w:style w:type="paragraph" w:customStyle="1" w:styleId="1957">
    <w:name w:val="样式 表格标题 + 首行缩进:  0.61 字符"/>
    <w:basedOn w:val="174"/>
    <w:semiHidden/>
    <w:qFormat/>
    <w:uiPriority w:val="0"/>
    <w:pPr>
      <w:widowControl w:val="0"/>
      <w:wordWrap w:val="0"/>
      <w:snapToGrid w:val="0"/>
      <w:ind w:left="-143" w:leftChars="-68" w:firstLine="128" w:firstLineChars="61"/>
      <w:jc w:val="both"/>
    </w:pPr>
    <w:rPr>
      <w:rFonts w:ascii="Times New Roman" w:eastAsia="宋体" w:cs="宋体"/>
      <w:b w:val="0"/>
      <w:bCs/>
      <w:color w:val="auto"/>
      <w:sz w:val="21"/>
      <w:lang w:val="en-US"/>
    </w:rPr>
  </w:style>
  <w:style w:type="paragraph" w:customStyle="1" w:styleId="1958">
    <w:name w:val="样式 表格标题 + 五号 左侧:  -0.45 字符"/>
    <w:basedOn w:val="1"/>
    <w:qFormat/>
    <w:uiPriority w:val="0"/>
    <w:pPr>
      <w:tabs>
        <w:tab w:val="clear" w:pos="480"/>
      </w:tabs>
      <w:wordWrap w:val="0"/>
      <w:adjustRightInd w:val="0"/>
      <w:snapToGrid w:val="0"/>
      <w:spacing w:line="240" w:lineRule="auto"/>
      <w:ind w:left="105"/>
    </w:pPr>
    <w:rPr>
      <w:rFonts w:ascii="Arial" w:hAnsi="宋体"/>
      <w:b/>
      <w:sz w:val="21"/>
      <w:szCs w:val="21"/>
    </w:rPr>
  </w:style>
  <w:style w:type="paragraph" w:customStyle="1" w:styleId="1959">
    <w:name w:val="样式 表格标题 + 左侧:  -0.45 字符"/>
    <w:basedOn w:val="1"/>
    <w:qFormat/>
    <w:uiPriority w:val="0"/>
    <w:pPr>
      <w:tabs>
        <w:tab w:val="clear" w:pos="480"/>
      </w:tabs>
      <w:adjustRightInd w:val="0"/>
      <w:snapToGrid w:val="0"/>
      <w:spacing w:before="120" w:after="60" w:line="400" w:lineRule="exact"/>
      <w:ind w:left="-45" w:leftChars="-45"/>
      <w:jc w:val="center"/>
    </w:pPr>
    <w:rPr>
      <w:rFonts w:ascii="Times" w:hAnsi="Arial" w:eastAsia="仿宋_GB2312" w:cs="宋体"/>
      <w:b/>
      <w:szCs w:val="20"/>
    </w:rPr>
  </w:style>
  <w:style w:type="paragraph" w:customStyle="1" w:styleId="1960">
    <w:name w:val="样式 表格正文 + 五号"/>
    <w:qFormat/>
    <w:uiPriority w:val="0"/>
    <w:pPr>
      <w:jc w:val="center"/>
    </w:pPr>
    <w:rPr>
      <w:rFonts w:ascii="Times New Roman" w:hAnsi="Times New Roman" w:eastAsia="宋体" w:cs="Times New Roman"/>
      <w:kern w:val="2"/>
      <w:sz w:val="24"/>
      <w:szCs w:val="24"/>
      <w:lang w:val="en-US" w:eastAsia="zh-CN" w:bidi="ar-SA"/>
    </w:rPr>
  </w:style>
  <w:style w:type="paragraph" w:customStyle="1" w:styleId="1961">
    <w:name w:val="样式 段前: 0.3 行 段后: 0.3 行"/>
    <w:basedOn w:val="1"/>
    <w:semiHidden/>
    <w:qFormat/>
    <w:uiPriority w:val="0"/>
    <w:pPr>
      <w:tabs>
        <w:tab w:val="clear" w:pos="480"/>
      </w:tabs>
      <w:spacing w:before="93" w:after="93"/>
    </w:pPr>
    <w:rPr>
      <w:rFonts w:ascii="Arial" w:hAnsi="Arial"/>
      <w:bCs/>
    </w:rPr>
  </w:style>
  <w:style w:type="paragraph" w:customStyle="1" w:styleId="1962">
    <w:name w:val="样式 样式 样式 报告 + 首行缩进:  0.58 字符 Char + 黑色 首行缩进:  2 字符 段前: 0.1 行 段后:...1"/>
    <w:basedOn w:val="1"/>
    <w:semiHidden/>
    <w:qFormat/>
    <w:uiPriority w:val="0"/>
    <w:pPr>
      <w:tabs>
        <w:tab w:val="clear" w:pos="480"/>
      </w:tabs>
      <w:overflowPunct w:val="0"/>
      <w:autoSpaceDE w:val="0"/>
      <w:autoSpaceDN w:val="0"/>
      <w:adjustRightInd w:val="0"/>
      <w:spacing w:before="93" w:after="93"/>
      <w:ind w:firstLine="540" w:firstLineChars="225"/>
      <w:textAlignment w:val="baseline"/>
    </w:pPr>
    <w:rPr>
      <w:rFonts w:ascii="Arial" w:hAnsi="Arial" w:cs="Arial"/>
      <w:bCs/>
      <w:color w:val="000000"/>
      <w:kern w:val="0"/>
    </w:rPr>
  </w:style>
  <w:style w:type="paragraph" w:customStyle="1" w:styleId="1963">
    <w:name w:val="正文图五"/>
    <w:basedOn w:val="1"/>
    <w:semiHidden/>
    <w:qFormat/>
    <w:uiPriority w:val="0"/>
    <w:pPr>
      <w:tabs>
        <w:tab w:val="clear" w:pos="480"/>
      </w:tabs>
      <w:spacing w:line="240" w:lineRule="auto"/>
      <w:ind w:firstLine="471"/>
      <w:jc w:val="center"/>
    </w:pPr>
    <w:rPr>
      <w:rFonts w:ascii="Arial" w:hAnsi="Arial"/>
      <w:bCs/>
    </w:rPr>
  </w:style>
  <w:style w:type="paragraph" w:customStyle="1" w:styleId="1964">
    <w:name w:val="样式 表标题 + 首行缩进:  2 字符"/>
    <w:basedOn w:val="1"/>
    <w:qFormat/>
    <w:uiPriority w:val="0"/>
    <w:pPr>
      <w:tabs>
        <w:tab w:val="clear" w:pos="480"/>
      </w:tabs>
      <w:adjustRightInd w:val="0"/>
      <w:spacing w:line="480" w:lineRule="exact"/>
      <w:ind w:firstLine="471"/>
      <w:textAlignment w:val="baseline"/>
    </w:pPr>
    <w:rPr>
      <w:rFonts w:ascii="Arial" w:hAnsi="Arial" w:cs="宋体"/>
      <w:bCs/>
      <w:kern w:val="0"/>
      <w:szCs w:val="20"/>
    </w:rPr>
  </w:style>
  <w:style w:type="paragraph" w:customStyle="1" w:styleId="1965">
    <w:name w:val="样式 表格正文 + 首行缩进:  2 字符"/>
    <w:basedOn w:val="186"/>
    <w:qFormat/>
    <w:uiPriority w:val="0"/>
    <w:pPr/>
    <w:rPr>
      <w:rFonts w:ascii="Arial" w:hAnsi="Arial" w:eastAsia="宋体" w:cs="宋体"/>
      <w:bCs/>
      <w:snapToGrid w:val="0"/>
      <w:kern w:val="0"/>
      <w:sz w:val="24"/>
    </w:rPr>
  </w:style>
  <w:style w:type="paragraph" w:customStyle="1" w:styleId="1966">
    <w:name w:val="样式 纯文本 + 首行缩进:  2 字符"/>
    <w:basedOn w:val="45"/>
    <w:qFormat/>
    <w:uiPriority w:val="0"/>
    <w:pPr/>
    <w:rPr>
      <w:rFonts w:hint="eastAsia" w:ascii="Times New Roman" w:hAnsi="Times New Roman" w:cs="宋体"/>
      <w:bCs/>
      <w:szCs w:val="21"/>
    </w:rPr>
  </w:style>
  <w:style w:type="paragraph" w:customStyle="1" w:styleId="1967">
    <w:name w:val="样式 表标题 +"/>
    <w:basedOn w:val="6"/>
    <w:qFormat/>
    <w:uiPriority w:val="0"/>
    <w:pPr>
      <w:keepNext w:val="0"/>
      <w:keepLines w:val="0"/>
      <w:numPr>
        <w:ilvl w:val="0"/>
        <w:numId w:val="0"/>
      </w:numPr>
      <w:tabs>
        <w:tab w:val="clear" w:pos="480"/>
      </w:tabs>
      <w:adjustRightInd w:val="0"/>
      <w:spacing w:before="0" w:after="0" w:line="240" w:lineRule="auto"/>
      <w:textAlignment w:val="baseline"/>
      <w:outlineLvl w:val="9"/>
    </w:pPr>
    <w:rPr>
      <w:rFonts w:ascii="Times New Roman" w:hAnsi="Times New Roman" w:eastAsia="宋体" w:cs="宋体"/>
      <w:bCs/>
      <w:kern w:val="0"/>
    </w:rPr>
  </w:style>
  <w:style w:type="paragraph" w:customStyle="1" w:styleId="1968">
    <w:name w:val="样式 样式 纯文本 + 首行缩进:  2 字符 +"/>
    <w:basedOn w:val="1966"/>
    <w:qFormat/>
    <w:uiPriority w:val="0"/>
    <w:pPr/>
    <w:rPr>
      <w:szCs w:val="20"/>
    </w:rPr>
  </w:style>
  <w:style w:type="paragraph" w:customStyle="1" w:styleId="1969">
    <w:name w:val="样式 标题 4Subsection标题 14标题 4 Char款标题1.1.1.1H4四 + 加粗"/>
    <w:basedOn w:val="5"/>
    <w:link w:val="1994"/>
    <w:qFormat/>
    <w:uiPriority w:val="0"/>
    <w:pPr>
      <w:numPr>
        <w:ilvl w:val="0"/>
        <w:numId w:val="0"/>
      </w:numPr>
      <w:tabs>
        <w:tab w:val="clear" w:pos="480"/>
      </w:tabs>
      <w:spacing w:beforeLines="50" w:after="0" w:line="480" w:lineRule="exact"/>
      <w:ind w:firstLine="471"/>
      <w:textAlignment w:val="baseline"/>
    </w:pPr>
    <w:rPr>
      <w:rFonts w:ascii="Arial" w:hAnsi="Arial" w:eastAsia="宋体"/>
      <w:b w:val="0"/>
      <w:kern w:val="0"/>
      <w:sz w:val="24"/>
      <w:szCs w:val="24"/>
      <w:lang w:val="en-US"/>
    </w:rPr>
  </w:style>
  <w:style w:type="paragraph" w:customStyle="1" w:styleId="1970">
    <w:name w:val="样式 标题 4Subsection标题 14标题 4 Char款标题1.1.1.1H4四 + 加粗1"/>
    <w:basedOn w:val="5"/>
    <w:link w:val="1995"/>
    <w:qFormat/>
    <w:uiPriority w:val="0"/>
    <w:pPr>
      <w:numPr>
        <w:ilvl w:val="0"/>
        <w:numId w:val="0"/>
      </w:numPr>
      <w:tabs>
        <w:tab w:val="clear" w:pos="480"/>
      </w:tabs>
      <w:spacing w:beforeLines="50" w:after="0"/>
      <w:ind w:firstLine="471"/>
      <w:textAlignment w:val="baseline"/>
    </w:pPr>
    <w:rPr>
      <w:rFonts w:ascii="Arial" w:hAnsi="Arial" w:eastAsia="宋体"/>
      <w:b w:val="0"/>
      <w:kern w:val="0"/>
      <w:sz w:val="24"/>
      <w:szCs w:val="24"/>
      <w:lang w:val="en-US"/>
    </w:rPr>
  </w:style>
  <w:style w:type="paragraph" w:customStyle="1" w:styleId="1971">
    <w:name w:val="编号文字1"/>
    <w:basedOn w:val="1"/>
    <w:qFormat/>
    <w:uiPriority w:val="0"/>
    <w:pPr>
      <w:numPr>
        <w:ilvl w:val="0"/>
        <w:numId w:val="25"/>
      </w:numPr>
      <w:tabs>
        <w:tab w:val="clear" w:pos="480"/>
      </w:tabs>
      <w:spacing w:line="480" w:lineRule="exact"/>
    </w:pPr>
    <w:rPr>
      <w:rFonts w:ascii="Arial" w:hAnsi="Arial"/>
      <w:bCs/>
    </w:rPr>
  </w:style>
  <w:style w:type="paragraph" w:customStyle="1" w:styleId="1972">
    <w:name w:val="编号文字2"/>
    <w:basedOn w:val="1971"/>
    <w:qFormat/>
    <w:uiPriority w:val="0"/>
    <w:pPr>
      <w:numPr>
        <w:numId w:val="26"/>
      </w:numPr>
      <w:tabs>
        <w:tab w:val="left" w:pos="471"/>
      </w:tabs>
    </w:pPr>
  </w:style>
  <w:style w:type="paragraph" w:customStyle="1" w:styleId="1973">
    <w:name w:val="编号文字3"/>
    <w:basedOn w:val="1920"/>
    <w:qFormat/>
    <w:uiPriority w:val="0"/>
    <w:pPr>
      <w:numPr>
        <w:ilvl w:val="0"/>
        <w:numId w:val="27"/>
      </w:numPr>
    </w:pPr>
  </w:style>
  <w:style w:type="paragraph" w:customStyle="1" w:styleId="1974">
    <w:name w:val="编号文字4"/>
    <w:basedOn w:val="1920"/>
    <w:qFormat/>
    <w:uiPriority w:val="0"/>
    <w:pPr>
      <w:numPr>
        <w:ilvl w:val="0"/>
        <w:numId w:val="28"/>
      </w:numPr>
    </w:pPr>
  </w:style>
  <w:style w:type="paragraph" w:customStyle="1" w:styleId="1975">
    <w:name w:val="环评1.1"/>
    <w:basedOn w:val="3"/>
    <w:next w:val="1"/>
    <w:qFormat/>
    <w:uiPriority w:val="0"/>
    <w:pPr>
      <w:numPr>
        <w:ilvl w:val="0"/>
        <w:numId w:val="0"/>
      </w:numPr>
      <w:tabs>
        <w:tab w:val="left" w:pos="420"/>
        <w:tab w:val="clear" w:pos="480"/>
        <w:tab w:val="clear" w:pos="630"/>
      </w:tabs>
      <w:spacing w:beforeLines="50" w:afterLines="50" w:line="480" w:lineRule="exact"/>
      <w:ind w:firstLine="470"/>
      <w:jc w:val="left"/>
      <w:outlineLvl w:val="2"/>
    </w:pPr>
    <w:rPr>
      <w:rFonts w:ascii="黑体" w:hAnsi="Arial Rounded MT Bold" w:eastAsia="黑体"/>
      <w:b w:val="0"/>
      <w:bCs w:val="0"/>
      <w:sz w:val="28"/>
      <w:szCs w:val="28"/>
    </w:rPr>
  </w:style>
  <w:style w:type="paragraph" w:customStyle="1" w:styleId="1976">
    <w:name w:val="环评1.1.1"/>
    <w:basedOn w:val="4"/>
    <w:next w:val="1"/>
    <w:qFormat/>
    <w:uiPriority w:val="0"/>
    <w:pPr>
      <w:keepLines w:val="0"/>
      <w:numPr>
        <w:ilvl w:val="1"/>
        <w:numId w:val="0"/>
      </w:numPr>
      <w:tabs>
        <w:tab w:val="clear" w:pos="480"/>
        <w:tab w:val="clear" w:pos="840"/>
      </w:tabs>
      <w:spacing w:after="0" w:line="480" w:lineRule="exact"/>
      <w:ind w:firstLine="471"/>
    </w:pPr>
    <w:rPr>
      <w:rFonts w:ascii="黑体" w:hAnsi="黑体" w:eastAsia="黑体"/>
      <w:b w:val="0"/>
      <w:bCs w:val="0"/>
      <w:sz w:val="24"/>
      <w:szCs w:val="24"/>
    </w:rPr>
  </w:style>
  <w:style w:type="paragraph" w:customStyle="1" w:styleId="1977">
    <w:name w:val="样式 公式 + 段前: 0.3 行 段后: 0.3 行1"/>
    <w:basedOn w:val="292"/>
    <w:qFormat/>
    <w:uiPriority w:val="0"/>
    <w:pPr>
      <w:keepLines/>
      <w:wordWrap w:val="0"/>
      <w:topLinePunct/>
      <w:adjustRightInd/>
      <w:snapToGrid w:val="0"/>
      <w:spacing w:beforeLines="30" w:afterLines="30" w:line="240" w:lineRule="auto"/>
      <w:ind w:firstLine="482"/>
      <w:jc w:val="both"/>
      <w:textAlignment w:val="auto"/>
    </w:pPr>
    <w:rPr>
      <w:rFonts w:cs="宋体"/>
      <w:color w:val="000000"/>
      <w:spacing w:val="-4"/>
      <w:kern w:val="2"/>
      <w:szCs w:val="20"/>
    </w:rPr>
  </w:style>
  <w:style w:type="paragraph" w:customStyle="1" w:styleId="1978">
    <w:name w:val="样式 公式 + 段前: 0.3 行 段后: 0.3 行2"/>
    <w:basedOn w:val="292"/>
    <w:qFormat/>
    <w:uiPriority w:val="0"/>
    <w:pPr>
      <w:keepLines/>
      <w:wordWrap w:val="0"/>
      <w:topLinePunct/>
      <w:adjustRightInd/>
      <w:snapToGrid w:val="0"/>
      <w:spacing w:beforeLines="30" w:afterLines="30" w:line="240" w:lineRule="auto"/>
      <w:ind w:firstLine="482"/>
      <w:jc w:val="both"/>
      <w:textAlignment w:val="auto"/>
    </w:pPr>
    <w:rPr>
      <w:rFonts w:cs="宋体"/>
      <w:color w:val="000000"/>
      <w:spacing w:val="-4"/>
      <w:kern w:val="2"/>
      <w:szCs w:val="20"/>
    </w:rPr>
  </w:style>
  <w:style w:type="paragraph" w:customStyle="1" w:styleId="1979">
    <w:name w:val="样式 公式 + 段前: 0.3 行 段后: 0.3 行3"/>
    <w:basedOn w:val="292"/>
    <w:qFormat/>
    <w:uiPriority w:val="0"/>
    <w:pPr>
      <w:keepLines/>
      <w:wordWrap w:val="0"/>
      <w:topLinePunct/>
      <w:adjustRightInd/>
      <w:snapToGrid w:val="0"/>
      <w:spacing w:line="240" w:lineRule="auto"/>
      <w:ind w:firstLine="482"/>
      <w:jc w:val="both"/>
      <w:textAlignment w:val="auto"/>
    </w:pPr>
    <w:rPr>
      <w:rFonts w:cs="宋体"/>
      <w:color w:val="000000"/>
      <w:spacing w:val="-4"/>
      <w:kern w:val="2"/>
      <w:szCs w:val="20"/>
    </w:rPr>
  </w:style>
  <w:style w:type="paragraph" w:customStyle="1" w:styleId="1980">
    <w:name w:val="样式 表格名称 + 首行缩进:  11.95 字符"/>
    <w:basedOn w:val="1545"/>
    <w:qFormat/>
    <w:uiPriority w:val="0"/>
    <w:pPr>
      <w:keepLines/>
      <w:widowControl/>
      <w:wordWrap w:val="0"/>
      <w:topLinePunct/>
      <w:spacing w:line="240" w:lineRule="auto"/>
      <w:ind w:firstLine="471" w:firstLineChars="0"/>
    </w:pPr>
    <w:rPr>
      <w:rFonts w:ascii="黑体" w:hAnsi="Arial" w:eastAsia="黑体" w:cs="宋体"/>
      <w:b w:val="0"/>
      <w:snapToGrid w:val="0"/>
      <w:lang w:val="eu-ES"/>
    </w:rPr>
  </w:style>
  <w:style w:type="paragraph" w:customStyle="1" w:styleId="1981">
    <w:name w:val="样式 标题 2H21 + 左侧:  0.83 厘米 首行缩进:  0 厘米"/>
    <w:basedOn w:val="3"/>
    <w:qFormat/>
    <w:uiPriority w:val="0"/>
    <w:pPr>
      <w:numPr>
        <w:ilvl w:val="0"/>
        <w:numId w:val="0"/>
      </w:numPr>
      <w:tabs>
        <w:tab w:val="left" w:pos="420"/>
        <w:tab w:val="clear" w:pos="480"/>
        <w:tab w:val="clear" w:pos="630"/>
      </w:tabs>
      <w:spacing w:beforeLines="50" w:afterLines="50" w:line="480" w:lineRule="exact"/>
      <w:ind w:firstLine="470"/>
      <w:jc w:val="left"/>
    </w:pPr>
    <w:rPr>
      <w:rFonts w:ascii="黑体" w:hAnsi="Arial" w:eastAsia="黑体" w:cs="宋体"/>
      <w:b w:val="0"/>
      <w:bCs w:val="0"/>
      <w:sz w:val="28"/>
      <w:szCs w:val="20"/>
    </w:rPr>
  </w:style>
  <w:style w:type="paragraph" w:customStyle="1" w:styleId="1982">
    <w:name w:val="样式 四号 右"/>
    <w:basedOn w:val="1"/>
    <w:qFormat/>
    <w:uiPriority w:val="0"/>
    <w:pPr>
      <w:tabs>
        <w:tab w:val="clear" w:pos="480"/>
      </w:tabs>
      <w:spacing w:line="480" w:lineRule="exact"/>
      <w:jc w:val="right"/>
    </w:pPr>
    <w:rPr>
      <w:rFonts w:ascii="Arial" w:hAnsi="Arial" w:cs="宋体"/>
      <w:bCs/>
    </w:rPr>
  </w:style>
  <w:style w:type="paragraph" w:customStyle="1" w:styleId="1983">
    <w:name w:val="样式 首行缩进:  0.74 厘米"/>
    <w:basedOn w:val="1"/>
    <w:qFormat/>
    <w:uiPriority w:val="0"/>
    <w:pPr>
      <w:tabs>
        <w:tab w:val="clear" w:pos="480"/>
      </w:tabs>
      <w:spacing w:line="480" w:lineRule="exact"/>
      <w:ind w:firstLine="420"/>
    </w:pPr>
    <w:rPr>
      <w:rFonts w:ascii="Arial" w:hAnsi="Arial" w:cs="宋体"/>
      <w:bCs/>
    </w:rPr>
  </w:style>
  <w:style w:type="paragraph" w:customStyle="1" w:styleId="1984">
    <w:name w:val="样式 图片 + 两端对齐 段前: 0.5 行 段后: 0.5 行"/>
    <w:basedOn w:val="7"/>
    <w:qFormat/>
    <w:uiPriority w:val="0"/>
    <w:pPr>
      <w:keepNext w:val="0"/>
      <w:keepLines w:val="0"/>
      <w:numPr>
        <w:ilvl w:val="0"/>
        <w:numId w:val="0"/>
      </w:numPr>
      <w:tabs>
        <w:tab w:val="clear" w:pos="480"/>
      </w:tabs>
      <w:wordWrap w:val="0"/>
      <w:topLinePunct/>
      <w:autoSpaceDE/>
      <w:autoSpaceDN/>
      <w:snapToGrid w:val="0"/>
      <w:spacing w:beforeLines="50" w:afterLines="50" w:line="240" w:lineRule="auto"/>
      <w:jc w:val="center"/>
      <w:textAlignment w:val="auto"/>
      <w:outlineLvl w:val="9"/>
    </w:pPr>
    <w:rPr>
      <w:rFonts w:ascii="黑体" w:hAnsi="Times New Roman" w:eastAsia="黑体" w:cs="宋体"/>
      <w:b w:val="0"/>
      <w:bCs/>
      <w:color w:val="000000"/>
      <w:kern w:val="2"/>
      <w:szCs w:val="24"/>
      <w:lang w:val="eu-ES"/>
    </w:rPr>
  </w:style>
  <w:style w:type="paragraph" w:customStyle="1" w:styleId="1985">
    <w:name w:val="样式 标题 1文章标题章标题H1H11H12一、 + 首行缩进:  1.55 厘米 段前: 7.8 磅 段后: ..."/>
    <w:basedOn w:val="2"/>
    <w:qFormat/>
    <w:uiPriority w:val="0"/>
    <w:pPr>
      <w:pageBreakBefore/>
      <w:numPr>
        <w:numId w:val="0"/>
      </w:numPr>
      <w:tabs>
        <w:tab w:val="clear" w:pos="480"/>
      </w:tabs>
      <w:spacing w:beforeLines="150" w:after="120" w:line="480" w:lineRule="exact"/>
      <w:jc w:val="center"/>
    </w:pPr>
    <w:rPr>
      <w:rFonts w:ascii="Times New Roman" w:hAnsi="Arial" w:eastAsia="黑体" w:cs="宋体"/>
      <w:b w:val="0"/>
      <w:color w:val="FF0000"/>
      <w:sz w:val="44"/>
    </w:rPr>
  </w:style>
  <w:style w:type="paragraph" w:customStyle="1" w:styleId="1986">
    <w:name w:val="样式 标题 2H21节标题H21 + 两端对齐 左侧:  0.83 厘米 悬挂缩进: 4.71 字符 段前: 0...."/>
    <w:basedOn w:val="3"/>
    <w:qFormat/>
    <w:uiPriority w:val="0"/>
    <w:pPr>
      <w:numPr>
        <w:ilvl w:val="0"/>
        <w:numId w:val="0"/>
      </w:numPr>
      <w:tabs>
        <w:tab w:val="left" w:pos="420"/>
        <w:tab w:val="clear" w:pos="480"/>
        <w:tab w:val="clear" w:pos="630"/>
      </w:tabs>
      <w:spacing w:beforeLines="50" w:afterLines="50" w:line="480" w:lineRule="exact"/>
      <w:ind w:left="471" w:hanging="471"/>
      <w:jc w:val="left"/>
    </w:pPr>
    <w:rPr>
      <w:rFonts w:ascii="Arial" w:hAnsi="Arial" w:eastAsia="黑体" w:cs="宋体"/>
      <w:b w:val="0"/>
      <w:bCs w:val="0"/>
      <w:sz w:val="28"/>
      <w:szCs w:val="28"/>
    </w:rPr>
  </w:style>
  <w:style w:type="paragraph" w:customStyle="1" w:styleId="1987">
    <w:name w:val="样式 样式 标题 2H21节标题H21 + 两端对齐 左侧:  0.83 厘米 悬挂缩进: 4.71 字符 段前: 0.... ..."/>
    <w:basedOn w:val="1986"/>
    <w:qFormat/>
    <w:uiPriority w:val="0"/>
    <w:pPr>
      <w:ind w:left="0" w:firstLine="0"/>
    </w:pPr>
    <w:rPr>
      <w:szCs w:val="20"/>
    </w:rPr>
  </w:style>
  <w:style w:type="paragraph" w:customStyle="1" w:styleId="1988">
    <w:name w:val="样式 表头 + 行距: 固定值 24 磅"/>
    <w:basedOn w:val="1"/>
    <w:qFormat/>
    <w:uiPriority w:val="0"/>
    <w:pPr>
      <w:tabs>
        <w:tab w:val="clear" w:pos="480"/>
      </w:tabs>
      <w:spacing w:line="480" w:lineRule="exact"/>
      <w:ind w:firstLine="471"/>
      <w:jc w:val="left"/>
    </w:pPr>
    <w:rPr>
      <w:rFonts w:eastAsia="黑体" w:cs="宋体"/>
      <w:bCs/>
      <w:szCs w:val="20"/>
    </w:rPr>
  </w:style>
  <w:style w:type="paragraph" w:customStyle="1" w:styleId="1989">
    <w:name w:val="样式 表格文字 + 楷体_GB2312 四号 橙色"/>
    <w:basedOn w:val="225"/>
    <w:qFormat/>
    <w:uiPriority w:val="0"/>
    <w:pPr>
      <w:wordWrap w:val="0"/>
      <w:topLinePunct/>
    </w:pPr>
    <w:rPr>
      <w:rFonts w:ascii="Arial" w:hAnsi="Arial" w:eastAsia="楷体_GB2312" w:cs="Arial Unicode MS"/>
      <w:b/>
      <w:szCs w:val="21"/>
      <w:lang w:val="eu-ES"/>
    </w:rPr>
  </w:style>
  <w:style w:type="paragraph" w:customStyle="1" w:styleId="1990">
    <w:name w:val="样式 标题 3H3B Head小节标题H31H32H33u3标题 3 Char Char Char标题 3 C..."/>
    <w:basedOn w:val="4"/>
    <w:next w:val="219"/>
    <w:qFormat/>
    <w:uiPriority w:val="0"/>
    <w:pPr>
      <w:keepLines w:val="0"/>
      <w:numPr>
        <w:ilvl w:val="1"/>
        <w:numId w:val="0"/>
      </w:numPr>
      <w:tabs>
        <w:tab w:val="clear" w:pos="480"/>
        <w:tab w:val="clear" w:pos="840"/>
      </w:tabs>
      <w:spacing w:after="0" w:line="480" w:lineRule="exact"/>
      <w:ind w:firstLine="471"/>
    </w:pPr>
    <w:rPr>
      <w:rFonts w:ascii="黑体" w:hAnsi="黑体" w:eastAsia="黑体" w:cs="宋体"/>
      <w:b w:val="0"/>
      <w:bCs w:val="0"/>
      <w:sz w:val="24"/>
      <w:szCs w:val="20"/>
    </w:rPr>
  </w:style>
  <w:style w:type="character" w:customStyle="1" w:styleId="1991">
    <w:name w:val="公式 Char"/>
    <w:link w:val="292"/>
    <w:qFormat/>
    <w:uiPriority w:val="0"/>
    <w:rPr>
      <w:rFonts w:eastAsia="宋体"/>
      <w:sz w:val="24"/>
      <w:szCs w:val="24"/>
      <w:lang w:val="en-US" w:eastAsia="zh-CN" w:bidi="ar-SA"/>
    </w:rPr>
  </w:style>
  <w:style w:type="paragraph" w:customStyle="1" w:styleId="1992">
    <w:name w:val="样式 标题 3H3B Head小节标题H31H32H33u3标题 3 Char Char Char标题 3 C...1"/>
    <w:basedOn w:val="4"/>
    <w:next w:val="219"/>
    <w:qFormat/>
    <w:uiPriority w:val="0"/>
    <w:pPr>
      <w:keepLines w:val="0"/>
      <w:numPr>
        <w:ilvl w:val="1"/>
        <w:numId w:val="0"/>
      </w:numPr>
      <w:tabs>
        <w:tab w:val="clear" w:pos="480"/>
        <w:tab w:val="clear" w:pos="840"/>
      </w:tabs>
      <w:spacing w:after="0" w:line="480" w:lineRule="exact"/>
      <w:ind w:firstLine="471"/>
    </w:pPr>
    <w:rPr>
      <w:rFonts w:ascii="黑体" w:hAnsi="黑体" w:eastAsia="黑体" w:cs="宋体"/>
      <w:b w:val="0"/>
      <w:bCs w:val="0"/>
      <w:sz w:val="24"/>
      <w:szCs w:val="20"/>
    </w:rPr>
  </w:style>
  <w:style w:type="character" w:customStyle="1" w:styleId="1993">
    <w:name w:val="图片 Char"/>
    <w:qFormat/>
    <w:uiPriority w:val="0"/>
    <w:rPr>
      <w:rFonts w:ascii="Arial" w:hAnsi="Arial" w:eastAsia="黑体"/>
      <w:b/>
      <w:kern w:val="2"/>
      <w:sz w:val="24"/>
      <w:lang w:val="en-US" w:eastAsia="zh-CN" w:bidi="ar-SA"/>
    </w:rPr>
  </w:style>
  <w:style w:type="character" w:customStyle="1" w:styleId="1994">
    <w:name w:val="样式 标题 4Subsection标题 14标题 4 Char款标题1.1.1.1H4四 + 加粗 Char"/>
    <w:link w:val="1969"/>
    <w:qFormat/>
    <w:uiPriority w:val="0"/>
    <w:rPr>
      <w:rFonts w:ascii="Arial" w:hAnsi="Arial" w:eastAsia="宋体"/>
      <w:bCs/>
      <w:sz w:val="24"/>
      <w:szCs w:val="24"/>
      <w:lang w:val="en-US" w:eastAsia="zh-CN" w:bidi="ar-SA"/>
    </w:rPr>
  </w:style>
  <w:style w:type="character" w:customStyle="1" w:styleId="1995">
    <w:name w:val="样式 标题 4Subsection标题 14标题 4 Char款标题1.1.1.1H4四 + 加粗1 Char"/>
    <w:link w:val="1970"/>
    <w:qFormat/>
    <w:uiPriority w:val="0"/>
    <w:rPr>
      <w:rFonts w:ascii="Arial" w:hAnsi="Arial" w:eastAsia="宋体"/>
      <w:bCs/>
      <w:sz w:val="24"/>
      <w:szCs w:val="24"/>
      <w:lang w:val="en-US" w:eastAsia="zh-CN" w:bidi="ar-SA"/>
    </w:rPr>
  </w:style>
  <w:style w:type="paragraph" w:customStyle="1" w:styleId="1996">
    <w:name w:val="样式 标题 4Subsection标题 14标题 4 Char款标题1.1.1.1H4四 + (西文) Times ..."/>
    <w:basedOn w:val="5"/>
    <w:next w:val="1"/>
    <w:link w:val="1997"/>
    <w:qFormat/>
    <w:uiPriority w:val="0"/>
    <w:pPr>
      <w:numPr>
        <w:ilvl w:val="0"/>
        <w:numId w:val="0"/>
      </w:numPr>
      <w:tabs>
        <w:tab w:val="clear" w:pos="480"/>
      </w:tabs>
      <w:spacing w:beforeLines="50" w:after="0" w:line="480" w:lineRule="exact"/>
      <w:ind w:firstLine="471"/>
      <w:textAlignment w:val="baseline"/>
    </w:pPr>
    <w:rPr>
      <w:rFonts w:ascii="Arial" w:hAnsi="Arial" w:eastAsia="宋体" w:cs="Arial"/>
      <w:bCs w:val="0"/>
      <w:kern w:val="0"/>
      <w:sz w:val="24"/>
      <w:szCs w:val="24"/>
      <w:lang w:val="en-US"/>
    </w:rPr>
  </w:style>
  <w:style w:type="character" w:customStyle="1" w:styleId="1997">
    <w:name w:val="样式 标题 4Subsection标题 14标题 4 Char款标题1.1.1.1H4四 + (西文) Times ... Char"/>
    <w:link w:val="1996"/>
    <w:qFormat/>
    <w:uiPriority w:val="0"/>
    <w:rPr>
      <w:rFonts w:ascii="Arial" w:hAnsi="Arial" w:eastAsia="宋体" w:cs="Arial"/>
      <w:b/>
      <w:sz w:val="24"/>
      <w:szCs w:val="24"/>
      <w:lang w:val="en-US" w:eastAsia="zh-CN" w:bidi="ar-SA"/>
    </w:rPr>
  </w:style>
  <w:style w:type="paragraph" w:customStyle="1" w:styleId="1998">
    <w:name w:val="样式 仿宋_GB2312 四号"/>
    <w:basedOn w:val="1"/>
    <w:qFormat/>
    <w:uiPriority w:val="0"/>
    <w:pPr>
      <w:tabs>
        <w:tab w:val="clear" w:pos="480"/>
      </w:tabs>
      <w:adjustRightInd w:val="0"/>
      <w:spacing w:line="480" w:lineRule="exact"/>
      <w:ind w:firstLine="480"/>
      <w:textAlignment w:val="baseline"/>
    </w:pPr>
    <w:rPr>
      <w:rFonts w:ascii="宋体" w:hAnsi="宋体"/>
      <w:szCs w:val="20"/>
    </w:rPr>
  </w:style>
  <w:style w:type="paragraph" w:customStyle="1" w:styleId="1999">
    <w:name w:val="样式 表格文字 + 段后: 6 磅"/>
    <w:basedOn w:val="225"/>
    <w:qFormat/>
    <w:uiPriority w:val="0"/>
    <w:pPr>
      <w:wordWrap w:val="0"/>
      <w:topLinePunct/>
      <w:spacing w:after="120"/>
      <w:ind w:firstLine="210" w:firstLineChars="100"/>
    </w:pPr>
    <w:rPr>
      <w:rFonts w:ascii="Arial" w:hAnsi="Arial" w:cs="宋体"/>
      <w:color w:val="000000"/>
      <w:kern w:val="0"/>
      <w:szCs w:val="20"/>
      <w:lang w:val="eu-ES"/>
    </w:rPr>
  </w:style>
  <w:style w:type="paragraph" w:customStyle="1" w:styleId="2000">
    <w:name w:val="麦志勤标题四"/>
    <w:basedOn w:val="1"/>
    <w:qFormat/>
    <w:uiPriority w:val="0"/>
    <w:pPr>
      <w:tabs>
        <w:tab w:val="clear" w:pos="480"/>
      </w:tabs>
      <w:adjustRightInd w:val="0"/>
      <w:snapToGrid w:val="0"/>
      <w:spacing w:beforeLines="100" w:line="300" w:lineRule="auto"/>
      <w:outlineLvl w:val="3"/>
    </w:pPr>
    <w:rPr>
      <w:rFonts w:ascii="黑体" w:eastAsia="黑体"/>
      <w:snapToGrid w:val="0"/>
      <w:kern w:val="0"/>
      <w:sz w:val="30"/>
    </w:rPr>
  </w:style>
  <w:style w:type="paragraph" w:customStyle="1" w:styleId="2001">
    <w:name w:val="麦志勤正文"/>
    <w:basedOn w:val="1"/>
    <w:qFormat/>
    <w:uiPriority w:val="0"/>
    <w:pPr>
      <w:tabs>
        <w:tab w:val="clear" w:pos="480"/>
      </w:tabs>
      <w:adjustRightInd w:val="0"/>
      <w:snapToGrid w:val="0"/>
      <w:spacing w:beforeLines="20" w:line="300" w:lineRule="auto"/>
    </w:pPr>
    <w:rPr>
      <w:rFonts w:ascii="宋体" w:hAnsi="宋体" w:cs="Courier New"/>
      <w:snapToGrid w:val="0"/>
      <w:kern w:val="0"/>
      <w:szCs w:val="21"/>
      <w:lang w:val="en-GB"/>
    </w:rPr>
  </w:style>
  <w:style w:type="paragraph" w:customStyle="1" w:styleId="2002">
    <w:name w:val="样式 表格文字 + 段后: 6 磅1"/>
    <w:basedOn w:val="225"/>
    <w:qFormat/>
    <w:uiPriority w:val="0"/>
    <w:pPr>
      <w:wordWrap w:val="0"/>
      <w:topLinePunct/>
    </w:pPr>
    <w:rPr>
      <w:rFonts w:ascii="Arial" w:hAnsi="Arial" w:cs="宋体"/>
      <w:color w:val="000000"/>
      <w:szCs w:val="20"/>
      <w:lang w:val="eu-ES"/>
    </w:rPr>
  </w:style>
  <w:style w:type="character" w:customStyle="1" w:styleId="2003">
    <w:name w:val="正文（首行缩进两字） Char3"/>
    <w:qFormat/>
    <w:uiPriority w:val="0"/>
    <w:rPr>
      <w:rFonts w:eastAsia="仿宋_GB2312"/>
      <w:kern w:val="2"/>
      <w:sz w:val="24"/>
      <w:lang w:val="en-US" w:eastAsia="zh-CN" w:bidi="ar-SA"/>
    </w:rPr>
  </w:style>
  <w:style w:type="paragraph" w:customStyle="1" w:styleId="2004">
    <w:name w:val="样式 zhang正文 + (中文) 宋体"/>
    <w:basedOn w:val="1"/>
    <w:qFormat/>
    <w:uiPriority w:val="0"/>
    <w:pPr>
      <w:tabs>
        <w:tab w:val="clear" w:pos="480"/>
      </w:tabs>
      <w:autoSpaceDE w:val="0"/>
      <w:autoSpaceDN w:val="0"/>
      <w:adjustRightInd w:val="0"/>
      <w:snapToGrid w:val="0"/>
      <w:ind w:firstLine="539"/>
      <w:textAlignment w:val="baseline"/>
    </w:pPr>
    <w:rPr>
      <w:color w:val="000000"/>
      <w:kern w:val="0"/>
      <w:szCs w:val="20"/>
    </w:rPr>
  </w:style>
  <w:style w:type="character" w:customStyle="1" w:styleId="2005">
    <w:name w:val="毕一级 Char"/>
    <w:link w:val="2006"/>
    <w:qFormat/>
    <w:uiPriority w:val="0"/>
    <w:rPr>
      <w:rFonts w:eastAsia="黑体"/>
      <w:kern w:val="2"/>
      <w:sz w:val="36"/>
      <w:szCs w:val="24"/>
      <w:lang w:val="en-US" w:eastAsia="zh-CN" w:bidi="ar-SA"/>
    </w:rPr>
  </w:style>
  <w:style w:type="paragraph" w:customStyle="1" w:styleId="2006">
    <w:name w:val="毕一级"/>
    <w:basedOn w:val="1"/>
    <w:link w:val="2005"/>
    <w:qFormat/>
    <w:uiPriority w:val="0"/>
    <w:pPr>
      <w:tabs>
        <w:tab w:val="left" w:pos="0"/>
        <w:tab w:val="clear" w:pos="480"/>
      </w:tabs>
      <w:spacing w:before="300" w:after="300" w:line="520" w:lineRule="exact"/>
      <w:jc w:val="center"/>
    </w:pPr>
    <w:rPr>
      <w:rFonts w:eastAsia="黑体"/>
      <w:sz w:val="36"/>
    </w:rPr>
  </w:style>
  <w:style w:type="character" w:customStyle="1" w:styleId="2007">
    <w:name w:val="d1"/>
    <w:qFormat/>
    <w:uiPriority w:val="0"/>
    <w:rPr>
      <w:rFonts w:hint="default" w:ascii="ˎ̥" w:hAnsi="ˎ̥" w:eastAsia="宋体" w:cs="宋体"/>
      <w:color w:val="5C5C5C"/>
      <w:kern w:val="2"/>
      <w:sz w:val="23"/>
      <w:szCs w:val="23"/>
      <w:u w:val="none"/>
      <w:lang w:val="en-US" w:eastAsia="zh-CN" w:bidi="ar-SA"/>
    </w:rPr>
  </w:style>
  <w:style w:type="character" w:customStyle="1" w:styleId="2008">
    <w:name w:val="osx285"/>
    <w:qFormat/>
    <w:uiPriority w:val="0"/>
    <w:rPr>
      <w:rFonts w:ascii="宋体" w:hAnsi="宋体" w:eastAsia="宋体" w:cs="宋体"/>
      <w:kern w:val="2"/>
      <w:sz w:val="24"/>
      <w:szCs w:val="24"/>
      <w:lang w:val="en-US" w:eastAsia="zh-CN" w:bidi="ar-SA"/>
    </w:rPr>
  </w:style>
  <w:style w:type="character" w:customStyle="1" w:styleId="2009">
    <w:name w:val="图片（杨） Char"/>
    <w:link w:val="2010"/>
    <w:qFormat/>
    <w:uiPriority w:val="0"/>
    <w:rPr>
      <w:rFonts w:eastAsia="宋体"/>
      <w:kern w:val="2"/>
      <w:sz w:val="24"/>
      <w:szCs w:val="24"/>
      <w:lang w:val="en-US" w:eastAsia="zh-CN" w:bidi="ar-SA"/>
    </w:rPr>
  </w:style>
  <w:style w:type="paragraph" w:customStyle="1" w:styleId="2010">
    <w:name w:val="图片（杨）"/>
    <w:basedOn w:val="2011"/>
    <w:link w:val="2009"/>
    <w:qFormat/>
    <w:uiPriority w:val="0"/>
    <w:pPr>
      <w:spacing w:beforeLines="50"/>
    </w:pPr>
    <w:rPr>
      <w:rFonts w:eastAsia="宋体"/>
    </w:rPr>
  </w:style>
  <w:style w:type="paragraph" w:customStyle="1" w:styleId="2011">
    <w:name w:val="图名（杨）"/>
    <w:basedOn w:val="1"/>
    <w:link w:val="2018"/>
    <w:qFormat/>
    <w:uiPriority w:val="0"/>
    <w:pPr>
      <w:tabs>
        <w:tab w:val="clear" w:pos="480"/>
      </w:tabs>
      <w:spacing w:line="240" w:lineRule="auto"/>
      <w:jc w:val="center"/>
    </w:pPr>
    <w:rPr>
      <w:rFonts w:eastAsia="黑体"/>
    </w:rPr>
  </w:style>
  <w:style w:type="character" w:customStyle="1" w:styleId="2012">
    <w:name w:val="顺德-正文 Char"/>
    <w:link w:val="2013"/>
    <w:qFormat/>
    <w:uiPriority w:val="0"/>
    <w:rPr>
      <w:rFonts w:ascii="宋体" w:hAnsi="宋体" w:eastAsia="宋体" w:cs="宋体"/>
      <w:color w:val="000000"/>
      <w:kern w:val="2"/>
      <w:sz w:val="24"/>
      <w:lang w:val="en-US" w:eastAsia="zh-CN" w:bidi="ar-SA"/>
    </w:rPr>
  </w:style>
  <w:style w:type="paragraph" w:customStyle="1" w:styleId="2013">
    <w:name w:val="顺德-正文"/>
    <w:basedOn w:val="1"/>
    <w:link w:val="2012"/>
    <w:qFormat/>
    <w:uiPriority w:val="0"/>
    <w:pPr>
      <w:tabs>
        <w:tab w:val="clear" w:pos="480"/>
      </w:tabs>
      <w:ind w:firstLine="480"/>
      <w:jc w:val="left"/>
    </w:pPr>
    <w:rPr>
      <w:rFonts w:ascii="宋体" w:hAnsi="宋体" w:cs="宋体"/>
      <w:color w:val="000000"/>
      <w:szCs w:val="20"/>
    </w:rPr>
  </w:style>
  <w:style w:type="character" w:customStyle="1" w:styleId="2014">
    <w:name w:val="中气附件 Char"/>
    <w:link w:val="2015"/>
    <w:qFormat/>
    <w:uiPriority w:val="0"/>
    <w:rPr>
      <w:rFonts w:eastAsia="黑体"/>
      <w:b/>
      <w:bCs/>
      <w:smallCaps/>
      <w:kern w:val="44"/>
      <w:sz w:val="32"/>
      <w:szCs w:val="44"/>
      <w:lang w:val="en-US" w:eastAsia="zh-CN" w:bidi="ar-SA"/>
    </w:rPr>
  </w:style>
  <w:style w:type="paragraph" w:customStyle="1" w:styleId="2015">
    <w:name w:val="中气附件"/>
    <w:basedOn w:val="2"/>
    <w:link w:val="2014"/>
    <w:qFormat/>
    <w:uiPriority w:val="0"/>
    <w:pPr>
      <w:numPr>
        <w:numId w:val="0"/>
      </w:numPr>
      <w:tabs>
        <w:tab w:val="clear" w:pos="480"/>
      </w:tabs>
      <w:spacing w:before="0" w:after="0"/>
      <w:jc w:val="right"/>
    </w:pPr>
    <w:rPr>
      <w:rFonts w:ascii="Times New Roman" w:eastAsia="黑体"/>
      <w:smallCaps/>
      <w:sz w:val="32"/>
      <w:lang w:val="en-US"/>
    </w:rPr>
  </w:style>
  <w:style w:type="character" w:customStyle="1" w:styleId="2016">
    <w:name w:val="表格内容1 Char"/>
    <w:qFormat/>
    <w:uiPriority w:val="0"/>
    <w:rPr>
      <w:rFonts w:ascii="宋体" w:hAnsi="宋体" w:eastAsia="宋体" w:cs="宋体"/>
      <w:kern w:val="2"/>
      <w:sz w:val="21"/>
      <w:szCs w:val="24"/>
      <w:lang w:val="en-US" w:eastAsia="zh-CN" w:bidi="ar-SA"/>
    </w:rPr>
  </w:style>
  <w:style w:type="character" w:customStyle="1" w:styleId="2017">
    <w:name w:val="表头 Char Char Char"/>
    <w:qFormat/>
    <w:uiPriority w:val="0"/>
    <w:rPr>
      <w:rFonts w:ascii="楷体_GB2312" w:hAnsi="宋体" w:eastAsia="宋体"/>
      <w:b/>
      <w:snapToGrid w:val="0"/>
      <w:sz w:val="24"/>
      <w:szCs w:val="24"/>
      <w:lang w:val="en-US" w:eastAsia="zh-CN" w:bidi="ar-SA"/>
    </w:rPr>
  </w:style>
  <w:style w:type="character" w:customStyle="1" w:styleId="2018">
    <w:name w:val="图名（杨） Char Char"/>
    <w:link w:val="2011"/>
    <w:qFormat/>
    <w:uiPriority w:val="0"/>
    <w:rPr>
      <w:rFonts w:eastAsia="黑体"/>
      <w:kern w:val="2"/>
      <w:sz w:val="24"/>
      <w:szCs w:val="24"/>
      <w:lang w:val="en-US" w:eastAsia="zh-CN" w:bidi="ar-SA"/>
    </w:rPr>
  </w:style>
  <w:style w:type="character" w:customStyle="1" w:styleId="2019">
    <w:name w:val="第3级标题 Char"/>
    <w:link w:val="1879"/>
    <w:qFormat/>
    <w:uiPriority w:val="0"/>
    <w:rPr>
      <w:rFonts w:eastAsia="华文中宋"/>
      <w:b/>
      <w:bCs/>
      <w:kern w:val="2"/>
      <w:sz w:val="30"/>
      <w:szCs w:val="30"/>
      <w:lang w:val="zh-CN"/>
    </w:rPr>
  </w:style>
  <w:style w:type="character" w:customStyle="1" w:styleId="2020">
    <w:name w:val="样式 段落 Char + Char"/>
    <w:qFormat/>
    <w:uiPriority w:val="0"/>
    <w:rPr>
      <w:rFonts w:ascii="宋体" w:hAnsi="宋体" w:eastAsia="宋体" w:cs="宋体"/>
      <w:kern w:val="2"/>
      <w:sz w:val="24"/>
      <w:szCs w:val="24"/>
      <w:lang w:val="en-US" w:eastAsia="zh-CN" w:bidi="ar-SA"/>
    </w:rPr>
  </w:style>
  <w:style w:type="character" w:customStyle="1" w:styleId="2021">
    <w:name w:val="表头（杨） Char"/>
    <w:link w:val="2022"/>
    <w:qFormat/>
    <w:uiPriority w:val="0"/>
    <w:rPr>
      <w:rFonts w:ascii="宋体" w:hAnsi="宋体" w:eastAsia="宋体"/>
      <w:spacing w:val="10"/>
      <w:sz w:val="24"/>
      <w:szCs w:val="24"/>
      <w:lang w:val="en-US" w:eastAsia="zh-CN" w:bidi="ar-SA"/>
    </w:rPr>
  </w:style>
  <w:style w:type="paragraph" w:customStyle="1" w:styleId="2022">
    <w:name w:val="表头（杨）"/>
    <w:basedOn w:val="1"/>
    <w:link w:val="2021"/>
    <w:qFormat/>
    <w:uiPriority w:val="0"/>
    <w:pPr>
      <w:tabs>
        <w:tab w:val="clear" w:pos="480"/>
      </w:tabs>
      <w:spacing w:line="440" w:lineRule="exact"/>
      <w:jc w:val="center"/>
    </w:pPr>
    <w:rPr>
      <w:rFonts w:ascii="宋体" w:hAnsi="宋体"/>
      <w:spacing w:val="10"/>
      <w:kern w:val="0"/>
    </w:rPr>
  </w:style>
  <w:style w:type="character" w:customStyle="1" w:styleId="2023">
    <w:name w:val="段落 Char Char Char"/>
    <w:qFormat/>
    <w:uiPriority w:val="0"/>
    <w:rPr>
      <w:rFonts w:ascii="宋体" w:hAnsi="宋体" w:eastAsia="宋体" w:cs="宋体"/>
      <w:kern w:val="2"/>
      <w:sz w:val="24"/>
      <w:szCs w:val="24"/>
      <w:lang w:val="en-US" w:eastAsia="zh-CN" w:bidi="ar-SA"/>
    </w:rPr>
  </w:style>
  <w:style w:type="character" w:customStyle="1" w:styleId="2024">
    <w:name w:val="文章正文格式 Char"/>
    <w:link w:val="2025"/>
    <w:qFormat/>
    <w:uiPriority w:val="0"/>
    <w:rPr>
      <w:rFonts w:ascii="宋体" w:eastAsia="宋体"/>
      <w:spacing w:val="8"/>
      <w:kern w:val="2"/>
      <w:sz w:val="28"/>
      <w:szCs w:val="28"/>
      <w:lang w:val="en-US" w:eastAsia="zh-CN" w:bidi="ar-SA"/>
    </w:rPr>
  </w:style>
  <w:style w:type="paragraph" w:customStyle="1" w:styleId="2025">
    <w:name w:val="文章正文格式"/>
    <w:basedOn w:val="1"/>
    <w:link w:val="2024"/>
    <w:qFormat/>
    <w:uiPriority w:val="0"/>
    <w:pPr>
      <w:tabs>
        <w:tab w:val="clear" w:pos="480"/>
      </w:tabs>
      <w:snapToGrid w:val="0"/>
      <w:spacing w:line="540" w:lineRule="atLeast"/>
      <w:ind w:firstLine="578"/>
    </w:pPr>
    <w:rPr>
      <w:rFonts w:ascii="宋体"/>
      <w:spacing w:val="8"/>
      <w:sz w:val="28"/>
      <w:szCs w:val="28"/>
    </w:rPr>
  </w:style>
  <w:style w:type="character" w:customStyle="1" w:styleId="2026">
    <w:name w:val="t10l201"/>
    <w:qFormat/>
    <w:uiPriority w:val="0"/>
    <w:rPr>
      <w:rFonts w:ascii="宋体" w:hAnsi="宋体" w:eastAsia="宋体" w:cs="宋体"/>
      <w:kern w:val="2"/>
      <w:sz w:val="21"/>
      <w:szCs w:val="21"/>
      <w:lang w:val="en-US" w:eastAsia="zh-CN" w:bidi="ar-SA"/>
    </w:rPr>
  </w:style>
  <w:style w:type="character" w:customStyle="1" w:styleId="2027">
    <w:name w:val="引用 Char"/>
    <w:link w:val="2028"/>
    <w:qFormat/>
    <w:uiPriority w:val="0"/>
    <w:rPr>
      <w:rFonts w:eastAsia="宋体"/>
      <w:i/>
      <w:iCs/>
      <w:color w:val="000000"/>
      <w:kern w:val="2"/>
      <w:sz w:val="24"/>
      <w:szCs w:val="24"/>
      <w:lang w:val="en-US" w:eastAsia="zh-CN" w:bidi="ar-SA"/>
    </w:rPr>
  </w:style>
  <w:style w:type="paragraph" w:styleId="2028">
    <w:name w:val="Quote"/>
    <w:basedOn w:val="1"/>
    <w:next w:val="1"/>
    <w:link w:val="2027"/>
    <w:qFormat/>
    <w:uiPriority w:val="0"/>
    <w:pPr>
      <w:tabs>
        <w:tab w:val="left" w:pos="1830"/>
        <w:tab w:val="clear" w:pos="480"/>
      </w:tabs>
      <w:ind w:left="1830"/>
    </w:pPr>
    <w:rPr>
      <w:i/>
      <w:iCs/>
      <w:color w:val="000000"/>
    </w:rPr>
  </w:style>
  <w:style w:type="character" w:customStyle="1" w:styleId="2029">
    <w:name w:val="ily663"/>
    <w:qFormat/>
    <w:uiPriority w:val="0"/>
    <w:rPr>
      <w:rFonts w:ascii="宋体" w:hAnsi="宋体" w:eastAsia="宋体" w:cs="宋体"/>
      <w:kern w:val="2"/>
      <w:sz w:val="24"/>
      <w:szCs w:val="24"/>
      <w:lang w:val="en-US" w:eastAsia="zh-CN" w:bidi="ar-SA"/>
    </w:rPr>
  </w:style>
  <w:style w:type="character" w:customStyle="1" w:styleId="2030">
    <w:name w:val="样式 0 + 加粗 Char"/>
    <w:link w:val="2031"/>
    <w:qFormat/>
    <w:uiPriority w:val="0"/>
    <w:rPr>
      <w:rFonts w:eastAsia="宋体"/>
      <w:b/>
      <w:bCs/>
      <w:sz w:val="21"/>
      <w:szCs w:val="21"/>
      <w:lang w:val="en-US" w:eastAsia="zh-CN" w:bidi="ar-SA"/>
    </w:rPr>
  </w:style>
  <w:style w:type="paragraph" w:customStyle="1" w:styleId="2031">
    <w:name w:val="样式 0 + 加粗"/>
    <w:basedOn w:val="1"/>
    <w:link w:val="2030"/>
    <w:qFormat/>
    <w:uiPriority w:val="0"/>
    <w:pPr>
      <w:tabs>
        <w:tab w:val="clear" w:pos="480"/>
      </w:tabs>
      <w:spacing w:line="440" w:lineRule="exact"/>
    </w:pPr>
    <w:rPr>
      <w:b/>
      <w:bCs/>
      <w:kern w:val="0"/>
      <w:sz w:val="21"/>
      <w:szCs w:val="21"/>
    </w:rPr>
  </w:style>
  <w:style w:type="character" w:customStyle="1" w:styleId="2032">
    <w:name w:val="样式 zhang正文 + (中文) 宋体 Char"/>
    <w:qFormat/>
    <w:uiPriority w:val="0"/>
    <w:rPr>
      <w:rFonts w:ascii="宋体" w:hAnsi="宋体" w:eastAsia="宋体" w:cs="宋体"/>
      <w:kern w:val="2"/>
      <w:sz w:val="24"/>
      <w:szCs w:val="24"/>
      <w:lang w:val="en-US" w:eastAsia="zh-CN" w:bidi="ar-SA"/>
    </w:rPr>
  </w:style>
  <w:style w:type="character" w:customStyle="1" w:styleId="2033">
    <w:name w:val="本文标题2 Char"/>
    <w:qFormat/>
    <w:uiPriority w:val="0"/>
    <w:rPr>
      <w:rFonts w:eastAsia="宋体"/>
      <w:b/>
      <w:bCs/>
      <w:smallCaps/>
      <w:kern w:val="2"/>
      <w:sz w:val="32"/>
      <w:szCs w:val="32"/>
      <w:lang w:val="en-US" w:eastAsia="zh-CN" w:bidi="ar-SA"/>
    </w:rPr>
  </w:style>
  <w:style w:type="paragraph" w:customStyle="1" w:styleId="2034">
    <w:name w:val="第1级标题"/>
    <w:basedOn w:val="2"/>
    <w:next w:val="1"/>
    <w:qFormat/>
    <w:uiPriority w:val="0"/>
    <w:pPr>
      <w:numPr>
        <w:numId w:val="0"/>
      </w:numPr>
      <w:tabs>
        <w:tab w:val="clear" w:pos="480"/>
      </w:tabs>
      <w:spacing w:before="100" w:beforeAutospacing="1" w:after="100" w:afterAutospacing="1" w:line="560" w:lineRule="exact"/>
      <w:jc w:val="center"/>
    </w:pPr>
    <w:rPr>
      <w:rFonts w:ascii="Times New Roman" w:eastAsia="华文中宋"/>
      <w:color w:val="FF0000"/>
      <w:szCs w:val="36"/>
    </w:rPr>
  </w:style>
  <w:style w:type="paragraph" w:customStyle="1" w:styleId="2035">
    <w:name w:val="中气附图"/>
    <w:basedOn w:val="84"/>
    <w:qFormat/>
    <w:uiPriority w:val="0"/>
    <w:pPr>
      <w:widowControl w:val="0"/>
      <w:tabs>
        <w:tab w:val="left" w:pos="360"/>
        <w:tab w:val="left" w:pos="1188"/>
      </w:tabs>
      <w:adjustRightInd/>
      <w:snapToGrid/>
      <w:spacing w:before="0" w:after="0"/>
      <w:ind w:left="1188" w:hanging="720" w:firstLineChars="0"/>
    </w:pPr>
    <w:rPr>
      <w:rFonts w:eastAsia="黑体"/>
      <w:color w:val="auto"/>
      <w:sz w:val="32"/>
    </w:rPr>
  </w:style>
  <w:style w:type="paragraph" w:customStyle="1" w:styleId="2036">
    <w:name w:val="条文"/>
    <w:basedOn w:val="20"/>
    <w:qFormat/>
    <w:uiPriority w:val="0"/>
    <w:pPr>
      <w:tabs>
        <w:tab w:val="left" w:pos="1287"/>
        <w:tab w:val="left" w:pos="1472"/>
        <w:tab w:val="clear" w:pos="480"/>
      </w:tabs>
      <w:spacing w:beforeLines="50"/>
      <w:ind w:firstLine="567" w:firstLineChars="0"/>
    </w:pPr>
    <w:rPr>
      <w:sz w:val="28"/>
    </w:rPr>
  </w:style>
  <w:style w:type="paragraph" w:customStyle="1" w:styleId="2037">
    <w:name w:val="样式 [正文格式] + 小四 首行缩进:  2 字符"/>
    <w:basedOn w:val="1"/>
    <w:qFormat/>
    <w:uiPriority w:val="0"/>
    <w:pPr>
      <w:ind w:firstLine="480"/>
    </w:pPr>
  </w:style>
  <w:style w:type="paragraph" w:customStyle="1" w:styleId="2038">
    <w:name w:val="样式 样式 正文格式 + 段前: 0.5 行 + 首行缩进:  2 字符 段前: 0.5 行"/>
    <w:basedOn w:val="1"/>
    <w:qFormat/>
    <w:uiPriority w:val="0"/>
    <w:pPr>
      <w:widowControl/>
      <w:tabs>
        <w:tab w:val="clear" w:pos="480"/>
      </w:tabs>
      <w:spacing w:beforeLines="50" w:line="440" w:lineRule="exact"/>
      <w:ind w:firstLine="560"/>
      <w:jc w:val="left"/>
    </w:pPr>
    <w:rPr>
      <w:rFonts w:eastAsia="仿宋_GB2312" w:cs="宋体"/>
      <w:sz w:val="28"/>
      <w:szCs w:val="20"/>
    </w:rPr>
  </w:style>
  <w:style w:type="paragraph" w:customStyle="1" w:styleId="2039">
    <w:name w:val="样式 标题 1Head 1wsa一、h1标题2标题 1 CharPart'Document1.标题 1标1章..."/>
    <w:basedOn w:val="2"/>
    <w:qFormat/>
    <w:uiPriority w:val="0"/>
    <w:pPr>
      <w:numPr>
        <w:numId w:val="0"/>
      </w:numPr>
      <w:tabs>
        <w:tab w:val="clear" w:pos="480"/>
      </w:tabs>
      <w:adjustRightInd w:val="0"/>
      <w:spacing w:before="156" w:after="156" w:line="440" w:lineRule="exact"/>
      <w:textAlignment w:val="baseline"/>
    </w:pPr>
    <w:rPr>
      <w:rFonts w:ascii="Times New Roman" w:eastAsia="方正大标宋简体" w:cs="宋体"/>
      <w:color w:val="FF0000"/>
      <w:sz w:val="32"/>
      <w:szCs w:val="20"/>
    </w:rPr>
  </w:style>
  <w:style w:type="paragraph" w:customStyle="1" w:styleId="2040">
    <w:name w:val="编制依据"/>
    <w:basedOn w:val="20"/>
    <w:qFormat/>
    <w:uiPriority w:val="0"/>
    <w:pPr>
      <w:tabs>
        <w:tab w:val="left" w:pos="1304"/>
        <w:tab w:val="clear" w:pos="480"/>
      </w:tabs>
      <w:spacing w:line="500" w:lineRule="exact"/>
      <w:ind w:left="1304" w:hanging="850" w:firstLineChars="0"/>
    </w:pPr>
    <w:rPr>
      <w:spacing w:val="-4"/>
      <w:sz w:val="28"/>
    </w:rPr>
  </w:style>
  <w:style w:type="paragraph" w:customStyle="1" w:styleId="2041">
    <w:name w:val="Char Char Char Char Char Char Char Char Char Char Char Char1 Char Char Char Char Char Char Char"/>
    <w:basedOn w:val="1"/>
    <w:qFormat/>
    <w:uiPriority w:val="0"/>
    <w:pPr>
      <w:tabs>
        <w:tab w:val="clear" w:pos="480"/>
      </w:tabs>
      <w:spacing w:line="240" w:lineRule="auto"/>
    </w:pPr>
    <w:rPr>
      <w:sz w:val="21"/>
    </w:rPr>
  </w:style>
  <w:style w:type="paragraph" w:customStyle="1" w:styleId="2042">
    <w:name w:val="标题 23"/>
    <w:basedOn w:val="1"/>
    <w:qFormat/>
    <w:uiPriority w:val="0"/>
    <w:pPr>
      <w:tabs>
        <w:tab w:val="clear" w:pos="480"/>
      </w:tabs>
      <w:spacing w:line="240" w:lineRule="auto"/>
    </w:pPr>
    <w:rPr>
      <w:sz w:val="21"/>
    </w:rPr>
  </w:style>
  <w:style w:type="paragraph" w:customStyle="1" w:styleId="2043">
    <w:name w:val="标题 21"/>
    <w:basedOn w:val="1"/>
    <w:qFormat/>
    <w:uiPriority w:val="0"/>
    <w:pPr>
      <w:tabs>
        <w:tab w:val="clear" w:pos="480"/>
      </w:tabs>
      <w:spacing w:line="240" w:lineRule="auto"/>
    </w:pPr>
    <w:rPr>
      <w:sz w:val="21"/>
    </w:rPr>
  </w:style>
  <w:style w:type="paragraph" w:customStyle="1" w:styleId="2044">
    <w:name w:val="毕二级"/>
    <w:basedOn w:val="1"/>
    <w:qFormat/>
    <w:uiPriority w:val="0"/>
    <w:pPr>
      <w:tabs>
        <w:tab w:val="clear" w:pos="480"/>
      </w:tabs>
      <w:spacing w:beforeLines="50" w:afterLines="50"/>
      <w:jc w:val="left"/>
    </w:pPr>
    <w:rPr>
      <w:rFonts w:eastAsia="黑体"/>
      <w:sz w:val="30"/>
    </w:rPr>
  </w:style>
  <w:style w:type="paragraph" w:customStyle="1" w:styleId="2045">
    <w:name w:val="样式 [正文格式] + 12.5 磅"/>
    <w:basedOn w:val="1"/>
    <w:next w:val="1"/>
    <w:qFormat/>
    <w:uiPriority w:val="0"/>
  </w:style>
  <w:style w:type="paragraph" w:customStyle="1" w:styleId="2046">
    <w:name w:val="【图片格式】"/>
    <w:next w:val="1876"/>
    <w:qFormat/>
    <w:uiPriority w:val="0"/>
    <w:pPr>
      <w:tabs>
        <w:tab w:val="left" w:pos="576"/>
      </w:tabs>
      <w:ind w:left="576" w:hanging="576"/>
      <w:jc w:val="center"/>
    </w:pPr>
    <w:rPr>
      <w:rFonts w:ascii="Times New Roman" w:hAnsi="Times New Roman" w:eastAsia="宋体" w:cs="Times New Roman"/>
      <w:kern w:val="2"/>
      <w:sz w:val="25"/>
      <w:szCs w:val="24"/>
      <w:lang w:val="en-US" w:eastAsia="zh-CN" w:bidi="ar-SA"/>
    </w:rPr>
  </w:style>
  <w:style w:type="paragraph" w:customStyle="1" w:styleId="2047">
    <w:name w:val="样式 0 + 黑体 加粗 紫罗兰"/>
    <w:basedOn w:val="1"/>
    <w:qFormat/>
    <w:uiPriority w:val="0"/>
    <w:pPr>
      <w:tabs>
        <w:tab w:val="clear" w:pos="480"/>
      </w:tabs>
      <w:spacing w:line="440" w:lineRule="exact"/>
    </w:pPr>
    <w:rPr>
      <w:rFonts w:ascii="黑体" w:hAnsi="黑体" w:eastAsia="黑体" w:cs="宋体"/>
      <w:b/>
      <w:bCs/>
      <w:color w:val="800080"/>
      <w:spacing w:val="10"/>
      <w:kern w:val="0"/>
      <w:szCs w:val="20"/>
    </w:rPr>
  </w:style>
  <w:style w:type="paragraph" w:customStyle="1" w:styleId="2048">
    <w:name w:val="第4级标题"/>
    <w:basedOn w:val="5"/>
    <w:next w:val="1"/>
    <w:qFormat/>
    <w:uiPriority w:val="0"/>
    <w:pPr>
      <w:numPr>
        <w:ilvl w:val="0"/>
        <w:numId w:val="0"/>
      </w:numPr>
      <w:tabs>
        <w:tab w:val="left" w:pos="864"/>
        <w:tab w:val="clear" w:pos="480"/>
      </w:tabs>
      <w:spacing w:beforeLines="50" w:beforeAutospacing="1" w:after="100" w:afterAutospacing="1" w:line="460" w:lineRule="exact"/>
      <w:ind w:left="864" w:hanging="864"/>
    </w:pPr>
    <w:rPr>
      <w:rFonts w:ascii="Times New Roman" w:hAnsi="Times New Roman" w:eastAsia="华文中宋"/>
    </w:rPr>
  </w:style>
  <w:style w:type="paragraph" w:customStyle="1" w:styleId="2049">
    <w:name w:val="样式 第2级标题 + (中文) 宋体"/>
    <w:basedOn w:val="1"/>
    <w:qFormat/>
    <w:uiPriority w:val="0"/>
    <w:pPr>
      <w:tabs>
        <w:tab w:val="left" w:pos="1800"/>
        <w:tab w:val="left" w:pos="1984"/>
      </w:tabs>
      <w:spacing w:before="156" w:after="156"/>
      <w:ind w:left="1984" w:hanging="708"/>
    </w:pPr>
    <w:rPr>
      <w:smallCaps/>
    </w:rPr>
  </w:style>
  <w:style w:type="paragraph" w:customStyle="1" w:styleId="2050">
    <w:name w:val="样式 [正文格式] + 首行缩进:  2 字符"/>
    <w:basedOn w:val="1"/>
    <w:qFormat/>
    <w:uiPriority w:val="0"/>
    <w:pPr>
      <w:ind w:firstLine="480"/>
    </w:pPr>
  </w:style>
  <w:style w:type="paragraph" w:customStyle="1" w:styleId="2051">
    <w:name w:val="默认段落字体 Para Char Char Char1 Char Char Char Char"/>
    <w:basedOn w:val="1"/>
    <w:qFormat/>
    <w:uiPriority w:val="0"/>
    <w:pPr>
      <w:tabs>
        <w:tab w:val="clear" w:pos="480"/>
      </w:tabs>
      <w:spacing w:line="240" w:lineRule="auto"/>
    </w:pPr>
  </w:style>
  <w:style w:type="paragraph" w:customStyle="1" w:styleId="2052">
    <w:name w:val="样式 小四 黑色 首行缩进:  0.85 厘米 行距: 固定值 22 磅"/>
    <w:basedOn w:val="1"/>
    <w:qFormat/>
    <w:uiPriority w:val="0"/>
    <w:pPr>
      <w:tabs>
        <w:tab w:val="clear" w:pos="480"/>
      </w:tabs>
      <w:spacing w:line="440" w:lineRule="exact"/>
      <w:ind w:firstLine="482"/>
    </w:pPr>
    <w:rPr>
      <w:rFonts w:cs="宋体"/>
      <w:color w:val="000000"/>
      <w:szCs w:val="20"/>
    </w:rPr>
  </w:style>
  <w:style w:type="paragraph" w:customStyle="1" w:styleId="2053">
    <w:name w:val="标题 11"/>
    <w:basedOn w:val="1"/>
    <w:qFormat/>
    <w:uiPriority w:val="0"/>
    <w:pPr>
      <w:tabs>
        <w:tab w:val="clear" w:pos="480"/>
      </w:tabs>
      <w:spacing w:line="240" w:lineRule="auto"/>
    </w:pPr>
    <w:rPr>
      <w:sz w:val="21"/>
    </w:rPr>
  </w:style>
  <w:style w:type="paragraph" w:customStyle="1" w:styleId="2054">
    <w:name w:val="本文标题1"/>
    <w:basedOn w:val="2039"/>
    <w:qFormat/>
    <w:uiPriority w:val="0"/>
    <w:pPr>
      <w:spacing w:before="0" w:after="0"/>
      <w:jc w:val="center"/>
    </w:pPr>
    <w:rPr>
      <w:rFonts w:ascii="方正大标宋简体" w:cs="Times New Roman"/>
      <w:sz w:val="36"/>
      <w:szCs w:val="36"/>
    </w:rPr>
  </w:style>
  <w:style w:type="paragraph" w:customStyle="1" w:styleId="2055">
    <w:name w:val="样式 标题 2 + 段前: 7.8 磅"/>
    <w:basedOn w:val="3"/>
    <w:qFormat/>
    <w:uiPriority w:val="0"/>
    <w:pPr>
      <w:keepNext w:val="0"/>
      <w:keepLines w:val="0"/>
      <w:numPr>
        <w:numId w:val="0"/>
      </w:numPr>
      <w:tabs>
        <w:tab w:val="left" w:pos="697"/>
        <w:tab w:val="clear" w:pos="480"/>
        <w:tab w:val="clear" w:pos="630"/>
      </w:tabs>
      <w:spacing w:before="0" w:after="0"/>
      <w:ind w:left="360" w:hanging="360"/>
    </w:pPr>
    <w:rPr>
      <w:rFonts w:eastAsia="黑体" w:cs="宋体"/>
      <w:sz w:val="30"/>
      <w:szCs w:val="20"/>
    </w:rPr>
  </w:style>
  <w:style w:type="paragraph" w:customStyle="1" w:styleId="2056">
    <w:name w:val="段落 Char Char"/>
    <w:basedOn w:val="1"/>
    <w:qFormat/>
    <w:uiPriority w:val="0"/>
    <w:pPr>
      <w:tabs>
        <w:tab w:val="clear" w:pos="480"/>
      </w:tabs>
      <w:topLinePunct/>
      <w:snapToGrid w:val="0"/>
    </w:pPr>
  </w:style>
  <w:style w:type="paragraph" w:customStyle="1" w:styleId="2057">
    <w:name w:val="标题 32"/>
    <w:basedOn w:val="1"/>
    <w:qFormat/>
    <w:uiPriority w:val="0"/>
    <w:pPr>
      <w:tabs>
        <w:tab w:val="clear" w:pos="480"/>
      </w:tabs>
      <w:spacing w:line="240" w:lineRule="auto"/>
    </w:pPr>
    <w:rPr>
      <w:sz w:val="21"/>
    </w:rPr>
  </w:style>
  <w:style w:type="paragraph" w:customStyle="1" w:styleId="2058">
    <w:name w:val="样式 首行缩进 Char + 首行缩进:  2.57 字符"/>
    <w:basedOn w:val="1"/>
    <w:qFormat/>
    <w:uiPriority w:val="0"/>
    <w:pPr>
      <w:tabs>
        <w:tab w:val="clear" w:pos="480"/>
      </w:tabs>
      <w:spacing w:beforeLines="50" w:afterLines="50"/>
      <w:ind w:firstLine="480"/>
    </w:pPr>
    <w:rPr>
      <w:color w:val="000000"/>
    </w:rPr>
  </w:style>
  <w:style w:type="paragraph" w:customStyle="1" w:styleId="2059">
    <w:name w:val="本文标题 3"/>
    <w:basedOn w:val="1"/>
    <w:qFormat/>
    <w:uiPriority w:val="0"/>
    <w:pPr>
      <w:tabs>
        <w:tab w:val="left" w:pos="0"/>
        <w:tab w:val="clear" w:pos="480"/>
      </w:tabs>
      <w:spacing w:line="240" w:lineRule="auto"/>
    </w:pPr>
    <w:rPr>
      <w:sz w:val="21"/>
    </w:rPr>
  </w:style>
  <w:style w:type="paragraph" w:customStyle="1" w:styleId="2060">
    <w:name w:val="文本框10号"/>
    <w:basedOn w:val="1"/>
    <w:qFormat/>
    <w:uiPriority w:val="0"/>
    <w:pPr>
      <w:tabs>
        <w:tab w:val="clear" w:pos="480"/>
      </w:tabs>
      <w:spacing w:line="240" w:lineRule="auto"/>
    </w:pPr>
    <w:rPr>
      <w:sz w:val="20"/>
      <w:szCs w:val="20"/>
    </w:rPr>
  </w:style>
  <w:style w:type="paragraph" w:customStyle="1" w:styleId="2061">
    <w:name w:val="图表"/>
    <w:basedOn w:val="1"/>
    <w:qFormat/>
    <w:uiPriority w:val="0"/>
    <w:pPr>
      <w:tabs>
        <w:tab w:val="clear" w:pos="480"/>
      </w:tabs>
      <w:spacing w:afterLines="50" w:line="240" w:lineRule="auto"/>
      <w:jc w:val="center"/>
    </w:pPr>
    <w:rPr>
      <w:bCs/>
    </w:rPr>
  </w:style>
  <w:style w:type="paragraph" w:customStyle="1" w:styleId="2062">
    <w:name w:val="wpsplain"/>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063">
    <w:name w:val="仿宋体"/>
    <w:basedOn w:val="1"/>
    <w:qFormat/>
    <w:uiPriority w:val="0"/>
    <w:pPr>
      <w:widowControl/>
      <w:tabs>
        <w:tab w:val="clear" w:pos="480"/>
      </w:tabs>
      <w:spacing w:line="844" w:lineRule="atLeast"/>
      <w:ind w:firstLine="419"/>
      <w:textAlignment w:val="baseline"/>
    </w:pPr>
    <w:rPr>
      <w:rFonts w:eastAsia="仿宋_GB2312"/>
      <w:color w:val="000000"/>
      <w:kern w:val="0"/>
      <w:sz w:val="31"/>
      <w:szCs w:val="20"/>
      <w:u w:color="000000"/>
    </w:rPr>
  </w:style>
  <w:style w:type="paragraph" w:customStyle="1" w:styleId="2064">
    <w:name w:val="表内小四中"/>
    <w:basedOn w:val="1"/>
    <w:qFormat/>
    <w:uiPriority w:val="0"/>
    <w:pPr>
      <w:tabs>
        <w:tab w:val="clear" w:pos="480"/>
      </w:tabs>
      <w:adjustRightInd w:val="0"/>
      <w:snapToGrid w:val="0"/>
      <w:spacing w:line="240" w:lineRule="auto"/>
      <w:ind w:left="-131" w:right="-132"/>
      <w:jc w:val="center"/>
      <w:textAlignment w:val="baseline"/>
    </w:pPr>
    <w:rPr>
      <w:kern w:val="0"/>
      <w:szCs w:val="20"/>
    </w:rPr>
  </w:style>
  <w:style w:type="paragraph" w:customStyle="1" w:styleId="2065">
    <w:name w:val="正文 + 首行缩进:  2 字符"/>
    <w:basedOn w:val="1"/>
    <w:qFormat/>
    <w:uiPriority w:val="0"/>
    <w:pPr>
      <w:tabs>
        <w:tab w:val="clear" w:pos="480"/>
      </w:tabs>
      <w:spacing w:line="460" w:lineRule="exact"/>
      <w:ind w:firstLine="480"/>
    </w:pPr>
    <w:rPr>
      <w:szCs w:val="20"/>
    </w:rPr>
  </w:style>
  <w:style w:type="paragraph" w:customStyle="1" w:styleId="2066">
    <w:name w:val="样式 毕二级 + 段前: 0.5 行 段后: 0.5 行"/>
    <w:basedOn w:val="1"/>
    <w:qFormat/>
    <w:uiPriority w:val="0"/>
    <w:pPr>
      <w:tabs>
        <w:tab w:val="left" w:pos="900"/>
        <w:tab w:val="clear" w:pos="480"/>
      </w:tabs>
      <w:spacing w:before="120" w:after="120"/>
      <w:ind w:left="480" w:firstLine="567"/>
    </w:pPr>
    <w:rPr>
      <w:rFonts w:cs="宋体"/>
      <w:bCs/>
      <w:szCs w:val="20"/>
    </w:rPr>
  </w:style>
  <w:style w:type="paragraph" w:customStyle="1" w:styleId="2067">
    <w:name w:val="表（杨）"/>
    <w:basedOn w:val="1"/>
    <w:qFormat/>
    <w:uiPriority w:val="0"/>
    <w:pPr>
      <w:tabs>
        <w:tab w:val="clear" w:pos="480"/>
      </w:tabs>
      <w:overflowPunct w:val="0"/>
      <w:autoSpaceDE w:val="0"/>
      <w:autoSpaceDN w:val="0"/>
      <w:spacing w:line="240" w:lineRule="auto"/>
      <w:jc w:val="center"/>
    </w:pPr>
    <w:rPr>
      <w:rFonts w:ascii="宋体" w:hAnsi="宋体"/>
      <w:color w:val="FF0000"/>
      <w:kern w:val="0"/>
      <w:sz w:val="21"/>
    </w:rPr>
  </w:style>
  <w:style w:type="paragraph" w:customStyle="1" w:styleId="2068">
    <w:name w:val="样式 正文缩进正文（首行缩进两字）正文（首行缩进两字） Char Char Char Char Char Char Char..."/>
    <w:basedOn w:val="20"/>
    <w:qFormat/>
    <w:uiPriority w:val="0"/>
    <w:pPr>
      <w:tabs>
        <w:tab w:val="left" w:pos="3360"/>
        <w:tab w:val="clear" w:pos="480"/>
      </w:tabs>
      <w:adjustRightInd w:val="0"/>
      <w:snapToGrid w:val="0"/>
      <w:ind w:firstLine="480"/>
      <w:textAlignment w:val="baseline"/>
    </w:pPr>
    <w:rPr>
      <w:rFonts w:ascii="宋体" w:hAnsi="宋体" w:cs="宋体"/>
      <w:snapToGrid w:val="0"/>
      <w:kern w:val="0"/>
    </w:rPr>
  </w:style>
  <w:style w:type="paragraph" w:customStyle="1" w:styleId="2069">
    <w:name w:val="本文标题 2"/>
    <w:basedOn w:val="1"/>
    <w:qFormat/>
    <w:uiPriority w:val="0"/>
    <w:pPr>
      <w:tabs>
        <w:tab w:val="left" w:pos="0"/>
        <w:tab w:val="clear" w:pos="480"/>
      </w:tabs>
      <w:spacing w:line="240" w:lineRule="auto"/>
    </w:pPr>
    <w:rPr>
      <w:sz w:val="21"/>
    </w:rPr>
  </w:style>
  <w:style w:type="paragraph" w:customStyle="1" w:styleId="2070">
    <w:name w:val="本文标题4"/>
    <w:basedOn w:val="5"/>
    <w:qFormat/>
    <w:uiPriority w:val="0"/>
    <w:pPr>
      <w:numPr>
        <w:ilvl w:val="0"/>
        <w:numId w:val="0"/>
      </w:numPr>
      <w:tabs>
        <w:tab w:val="left" w:pos="0"/>
        <w:tab w:val="clear" w:pos="480"/>
      </w:tabs>
      <w:adjustRightInd w:val="0"/>
      <w:spacing w:beforeLines="50" w:after="0" w:line="440" w:lineRule="exact"/>
      <w:jc w:val="left"/>
      <w:textAlignment w:val="baseline"/>
    </w:pPr>
    <w:rPr>
      <w:rFonts w:ascii="Times New Roman" w:hAnsi="Times New Roman" w:eastAsia="宋体"/>
      <w:b w:val="0"/>
      <w:bCs w:val="0"/>
      <w:kern w:val="0"/>
      <w:sz w:val="24"/>
      <w:szCs w:val="24"/>
    </w:rPr>
  </w:style>
  <w:style w:type="paragraph" w:customStyle="1" w:styleId="2071">
    <w:name w:val="图例"/>
    <w:basedOn w:val="1"/>
    <w:qFormat/>
    <w:uiPriority w:val="0"/>
    <w:pPr>
      <w:tabs>
        <w:tab w:val="clear" w:pos="480"/>
      </w:tabs>
      <w:spacing w:line="240" w:lineRule="auto"/>
      <w:jc w:val="center"/>
    </w:pPr>
    <w:rPr>
      <w:b/>
      <w:sz w:val="21"/>
    </w:rPr>
  </w:style>
  <w:style w:type="paragraph" w:customStyle="1" w:styleId="2072">
    <w:name w:val="标题 22"/>
    <w:basedOn w:val="1"/>
    <w:qFormat/>
    <w:uiPriority w:val="0"/>
    <w:pPr>
      <w:tabs>
        <w:tab w:val="clear" w:pos="480"/>
      </w:tabs>
      <w:spacing w:line="240" w:lineRule="auto"/>
    </w:pPr>
    <w:rPr>
      <w:sz w:val="21"/>
    </w:rPr>
  </w:style>
  <w:style w:type="paragraph" w:customStyle="1" w:styleId="2073">
    <w:name w:val="样式 宋体 小四 行距: 固定值 20 磅"/>
    <w:basedOn w:val="1"/>
    <w:qFormat/>
    <w:uiPriority w:val="0"/>
    <w:pPr>
      <w:tabs>
        <w:tab w:val="clear" w:pos="480"/>
      </w:tabs>
    </w:pPr>
    <w:rPr>
      <w:rFonts w:ascii="宋体" w:hAnsi="宋体" w:cs="宋体"/>
      <w:szCs w:val="20"/>
    </w:rPr>
  </w:style>
  <w:style w:type="paragraph" w:customStyle="1" w:styleId="2074">
    <w:name w:val="样式 (西文) 楷体_GB2312 (中文) 楷体_GB2312 (符号) 宋体 小四 首行缩进:  0.8 厘米 行..."/>
    <w:basedOn w:val="1"/>
    <w:qFormat/>
    <w:uiPriority w:val="0"/>
    <w:pPr>
      <w:tabs>
        <w:tab w:val="clear" w:pos="480"/>
      </w:tabs>
      <w:ind w:firstLine="559" w:firstLineChars="233"/>
    </w:pPr>
    <w:rPr>
      <w:rFonts w:ascii="宋体" w:hAnsi="宋体"/>
    </w:rPr>
  </w:style>
  <w:style w:type="paragraph" w:customStyle="1" w:styleId="2075">
    <w:name w:val="样式 表（杨） + 两端对齐"/>
    <w:basedOn w:val="2067"/>
    <w:qFormat/>
    <w:uiPriority w:val="0"/>
    <w:pPr/>
    <w:rPr>
      <w:rFonts w:cs="宋体"/>
      <w:szCs w:val="20"/>
    </w:rPr>
  </w:style>
  <w:style w:type="paragraph" w:customStyle="1" w:styleId="2076">
    <w:name w:val="样式 五号 左侧:  0.99 厘米"/>
    <w:basedOn w:val="1"/>
    <w:qFormat/>
    <w:uiPriority w:val="0"/>
    <w:pPr>
      <w:tabs>
        <w:tab w:val="left" w:pos="378"/>
        <w:tab w:val="clear" w:pos="480"/>
      </w:tabs>
      <w:adjustRightInd w:val="0"/>
      <w:snapToGrid w:val="0"/>
      <w:spacing w:line="240" w:lineRule="auto"/>
      <w:jc w:val="center"/>
    </w:pPr>
    <w:rPr>
      <w:rFonts w:cs="宋体"/>
      <w:sz w:val="21"/>
      <w:szCs w:val="20"/>
    </w:rPr>
  </w:style>
  <w:style w:type="paragraph" w:customStyle="1" w:styleId="2077">
    <w:name w:val="样式 12.5 磅 行距: 固定值 23 磅"/>
    <w:basedOn w:val="1"/>
    <w:qFormat/>
    <w:uiPriority w:val="0"/>
    <w:pPr>
      <w:tabs>
        <w:tab w:val="clear" w:pos="480"/>
      </w:tabs>
      <w:spacing w:line="460" w:lineRule="exact"/>
      <w:ind w:firstLine="500"/>
    </w:pPr>
    <w:rPr>
      <w:rFonts w:cs="宋体"/>
      <w:sz w:val="25"/>
      <w:szCs w:val="20"/>
    </w:rPr>
  </w:style>
  <w:style w:type="paragraph" w:customStyle="1" w:styleId="2078">
    <w:name w:val="样式 标题 4 + 段前: 1 行"/>
    <w:basedOn w:val="5"/>
    <w:qFormat/>
    <w:uiPriority w:val="0"/>
    <w:pPr>
      <w:keepNext w:val="0"/>
      <w:numPr>
        <w:ilvl w:val="0"/>
        <w:numId w:val="0"/>
      </w:numPr>
      <w:tabs>
        <w:tab w:val="left" w:pos="864"/>
        <w:tab w:val="clear" w:pos="480"/>
      </w:tabs>
      <w:spacing w:beforeLines="100" w:after="0" w:line="500" w:lineRule="atLeast"/>
    </w:pPr>
    <w:rPr>
      <w:rFonts w:ascii="Times New Roman" w:hAnsi="Times New Roman" w:cs="宋体"/>
    </w:rPr>
  </w:style>
  <w:style w:type="paragraph" w:customStyle="1" w:styleId="2079">
    <w:name w:val="样式 表头 + 小四"/>
    <w:basedOn w:val="73"/>
    <w:qFormat/>
    <w:uiPriority w:val="0"/>
    <w:pPr>
      <w:ind w:left="420" w:leftChars="0" w:firstLine="0" w:firstLineChars="0"/>
      <w:jc w:val="center"/>
    </w:pPr>
    <w:rPr>
      <w:b/>
      <w:bCs/>
      <w:sz w:val="24"/>
      <w:szCs w:val="20"/>
    </w:rPr>
  </w:style>
  <w:style w:type="paragraph" w:customStyle="1" w:styleId="2080">
    <w:name w:val="Y表格_正文"/>
    <w:qFormat/>
    <w:uiPriority w:val="0"/>
    <w:pPr>
      <w:widowControl w:val="0"/>
      <w:spacing w:line="0" w:lineRule="atLeast"/>
      <w:jc w:val="center"/>
    </w:pPr>
    <w:rPr>
      <w:rFonts w:ascii="Times New Roman" w:hAnsi="Times New Roman" w:eastAsia="宋体" w:cs="Times New Roman"/>
      <w:kern w:val="2"/>
      <w:sz w:val="21"/>
      <w:szCs w:val="21"/>
      <w:lang w:val="en-US" w:eastAsia="zh-CN" w:bidi="ar-SA"/>
    </w:rPr>
  </w:style>
  <w:style w:type="paragraph" w:customStyle="1" w:styleId="2081">
    <w:name w:val="标题二"/>
    <w:basedOn w:val="1"/>
    <w:next w:val="86"/>
    <w:semiHidden/>
    <w:qFormat/>
    <w:uiPriority w:val="0"/>
    <w:pPr>
      <w:tabs>
        <w:tab w:val="clear" w:pos="480"/>
      </w:tabs>
      <w:spacing w:line="960" w:lineRule="exact"/>
      <w:outlineLvl w:val="1"/>
    </w:pPr>
    <w:rPr>
      <w:rFonts w:ascii="Arial" w:hAnsi="Arial" w:eastAsia="黑体"/>
      <w:sz w:val="32"/>
      <w:szCs w:val="32"/>
    </w:rPr>
  </w:style>
  <w:style w:type="character" w:customStyle="1" w:styleId="2082">
    <w:name w:val="编号 Char"/>
    <w:qFormat/>
    <w:uiPriority w:val="0"/>
    <w:rPr>
      <w:rFonts w:eastAsia="宋体"/>
      <w:kern w:val="2"/>
      <w:sz w:val="24"/>
      <w:szCs w:val="24"/>
      <w:lang w:val="en-US" w:eastAsia="zh-CN" w:bidi="ar-SA"/>
    </w:rPr>
  </w:style>
  <w:style w:type="paragraph" w:customStyle="1" w:styleId="2083">
    <w:name w:val="表格（小）"/>
    <w:basedOn w:val="1"/>
    <w:qFormat/>
    <w:uiPriority w:val="0"/>
    <w:pPr>
      <w:tabs>
        <w:tab w:val="clear" w:pos="480"/>
      </w:tabs>
      <w:adjustRightInd w:val="0"/>
      <w:snapToGrid w:val="0"/>
      <w:spacing w:line="240" w:lineRule="auto"/>
      <w:jc w:val="center"/>
    </w:pPr>
    <w:rPr>
      <w:rFonts w:ascii="宋体" w:hAnsi="宋体"/>
      <w:snapToGrid w:val="0"/>
      <w:spacing w:val="6"/>
      <w:kern w:val="0"/>
      <w:sz w:val="21"/>
      <w:szCs w:val="20"/>
    </w:rPr>
  </w:style>
  <w:style w:type="character" w:customStyle="1" w:styleId="2084">
    <w:name w:val="公式 Char Char"/>
    <w:semiHidden/>
    <w:qFormat/>
    <w:uiPriority w:val="0"/>
    <w:rPr>
      <w:rFonts w:eastAsia="宋体"/>
      <w:kern w:val="2"/>
      <w:sz w:val="24"/>
      <w:szCs w:val="24"/>
      <w:lang w:val="en-US" w:eastAsia="zh-CN" w:bidi="ar-SA"/>
    </w:rPr>
  </w:style>
  <w:style w:type="character" w:customStyle="1" w:styleId="2085">
    <w:name w:val="正文 首行缩进:  2 字符 Char Char"/>
    <w:semiHidden/>
    <w:qFormat/>
    <w:uiPriority w:val="0"/>
    <w:rPr>
      <w:rFonts w:eastAsia="宋体" w:cs="宋体"/>
      <w:kern w:val="44"/>
      <w:sz w:val="24"/>
      <w:lang w:val="en-US" w:eastAsia="zh-CN" w:bidi="ar-SA"/>
    </w:rPr>
  </w:style>
  <w:style w:type="paragraph" w:customStyle="1" w:styleId="2086">
    <w:name w:val="Char Char Char Char Char Char Char Char Char Char Char Char Char Char Char Char"/>
    <w:basedOn w:val="1"/>
    <w:qFormat/>
    <w:uiPriority w:val="0"/>
    <w:pPr>
      <w:tabs>
        <w:tab w:val="clear" w:pos="480"/>
      </w:tabs>
      <w:spacing w:line="240" w:lineRule="auto"/>
    </w:pPr>
    <w:rPr>
      <w:sz w:val="21"/>
    </w:rPr>
  </w:style>
  <w:style w:type="paragraph" w:customStyle="1" w:styleId="2087">
    <w:name w:val="表格项目"/>
    <w:basedOn w:val="1"/>
    <w:semiHidden/>
    <w:qFormat/>
    <w:uiPriority w:val="0"/>
    <w:pPr>
      <w:tabs>
        <w:tab w:val="clear" w:pos="480"/>
      </w:tabs>
      <w:spacing w:beforeLines="30" w:afterLines="30" w:line="240" w:lineRule="auto"/>
    </w:pPr>
  </w:style>
  <w:style w:type="paragraph" w:customStyle="1" w:styleId="2088">
    <w:name w:val="网格"/>
    <w:next w:val="1"/>
    <w:semiHidden/>
    <w:qFormat/>
    <w:uiPriority w:val="0"/>
    <w:pPr>
      <w:pBdr>
        <w:top w:val="single" w:color="auto" w:sz="12" w:space="1"/>
        <w:bottom w:val="single" w:color="auto" w:sz="12" w:space="1"/>
        <w:between w:val="single" w:color="auto" w:sz="4" w:space="1"/>
      </w:pBdr>
      <w:jc w:val="center"/>
    </w:pPr>
    <w:rPr>
      <w:rFonts w:ascii="Times New Roman" w:hAnsi="Times New Roman" w:eastAsia="宋体" w:cs="Times New Roman"/>
      <w:kern w:val="2"/>
      <w:sz w:val="21"/>
      <w:szCs w:val="24"/>
      <w:lang w:val="en-US" w:eastAsia="zh-CN" w:bidi="ar-SA"/>
    </w:rPr>
  </w:style>
  <w:style w:type="paragraph" w:customStyle="1" w:styleId="2089">
    <w:name w:val="Char Char Char Char Char Char Char Char Char Char Char Char Char Char Char Char Char Char Char Char Char Char"/>
    <w:basedOn w:val="1"/>
    <w:semiHidden/>
    <w:qFormat/>
    <w:uiPriority w:val="0"/>
    <w:pPr>
      <w:tabs>
        <w:tab w:val="clear" w:pos="480"/>
      </w:tabs>
      <w:spacing w:line="240" w:lineRule="auto"/>
      <w:ind w:firstLine="468" w:firstLineChars="195"/>
    </w:pPr>
    <w:rPr>
      <w:sz w:val="21"/>
    </w:rPr>
  </w:style>
  <w:style w:type="paragraph" w:customStyle="1" w:styleId="2090">
    <w:name w:val="样式 标题 3 + 黑体 四号 非加粗 行距: 固定值 36 磅"/>
    <w:basedOn w:val="4"/>
    <w:semiHidden/>
    <w:qFormat/>
    <w:uiPriority w:val="0"/>
    <w:pPr>
      <w:numPr>
        <w:ilvl w:val="0"/>
        <w:numId w:val="0"/>
      </w:numPr>
      <w:tabs>
        <w:tab w:val="clear" w:pos="480"/>
        <w:tab w:val="clear" w:pos="840"/>
      </w:tabs>
      <w:spacing w:before="0" w:after="0" w:line="720" w:lineRule="exact"/>
    </w:pPr>
    <w:rPr>
      <w:rFonts w:ascii="黑体" w:hAnsi="黑体" w:eastAsia="黑体"/>
      <w:b w:val="0"/>
      <w:bCs w:val="0"/>
      <w:kern w:val="0"/>
      <w:sz w:val="28"/>
      <w:szCs w:val="20"/>
    </w:rPr>
  </w:style>
  <w:style w:type="paragraph" w:customStyle="1" w:styleId="2091">
    <w:name w:val="表格内文字 Char"/>
    <w:basedOn w:val="1"/>
    <w:semiHidden/>
    <w:qFormat/>
    <w:uiPriority w:val="0"/>
    <w:pPr>
      <w:tabs>
        <w:tab w:val="clear" w:pos="480"/>
      </w:tabs>
      <w:kinsoku w:val="0"/>
      <w:wordWrap w:val="0"/>
      <w:overflowPunct w:val="0"/>
      <w:spacing w:line="360" w:lineRule="exact"/>
      <w:jc w:val="center"/>
    </w:pPr>
    <w:rPr>
      <w:rFonts w:ascii="宋体" w:hAnsi="宋体" w:cs="Arial"/>
      <w:snapToGrid w:val="0"/>
      <w:kern w:val="44"/>
      <w:szCs w:val="48"/>
    </w:rPr>
  </w:style>
  <w:style w:type="paragraph" w:customStyle="1" w:styleId="2092">
    <w:name w:val="样式 标题 1 + 华文新魏 小一 非加粗 居中 段前: 0 磅 段后: 0 磅 行距: 固定值 60 磅"/>
    <w:basedOn w:val="2"/>
    <w:semiHidden/>
    <w:qFormat/>
    <w:uiPriority w:val="0"/>
    <w:pPr>
      <w:numPr>
        <w:numId w:val="0"/>
      </w:numPr>
      <w:tabs>
        <w:tab w:val="left" w:pos="420"/>
        <w:tab w:val="left" w:pos="1440"/>
        <w:tab w:val="clear" w:pos="480"/>
      </w:tabs>
      <w:adjustRightInd w:val="0"/>
      <w:spacing w:before="180" w:after="120" w:line="1200" w:lineRule="exact"/>
      <w:ind w:left="1440" w:hanging="1440"/>
      <w:jc w:val="center"/>
      <w:textAlignment w:val="baseline"/>
    </w:pPr>
    <w:rPr>
      <w:rFonts w:ascii="华文新魏" w:eastAsia="华文新魏"/>
      <w:b w:val="0"/>
      <w:bCs w:val="0"/>
      <w:sz w:val="48"/>
      <w:szCs w:val="48"/>
    </w:rPr>
  </w:style>
  <w:style w:type="paragraph" w:customStyle="1" w:styleId="2093">
    <w:name w:val="样式 标题 3 Char Char + 黑体 四号 非加粗 段前: 0 磅 段后: 0 磅 行距: 固定值 36 磅"/>
    <w:basedOn w:val="4"/>
    <w:semiHidden/>
    <w:qFormat/>
    <w:uiPriority w:val="0"/>
    <w:pPr>
      <w:numPr>
        <w:ilvl w:val="0"/>
        <w:numId w:val="0"/>
      </w:numPr>
      <w:tabs>
        <w:tab w:val="clear" w:pos="480"/>
        <w:tab w:val="clear" w:pos="840"/>
      </w:tabs>
      <w:spacing w:before="0" w:after="0" w:line="720" w:lineRule="exact"/>
    </w:pPr>
    <w:rPr>
      <w:rFonts w:ascii="黑体" w:eastAsia="黑体"/>
      <w:b w:val="0"/>
      <w:bCs w:val="0"/>
      <w:sz w:val="28"/>
      <w:szCs w:val="28"/>
    </w:rPr>
  </w:style>
  <w:style w:type="paragraph" w:customStyle="1" w:styleId="2094">
    <w:name w:val="样式 居中"/>
    <w:basedOn w:val="1"/>
    <w:semiHidden/>
    <w:qFormat/>
    <w:uiPriority w:val="0"/>
    <w:pPr>
      <w:tabs>
        <w:tab w:val="clear" w:pos="480"/>
      </w:tabs>
      <w:spacing w:line="520" w:lineRule="exact"/>
      <w:jc w:val="center"/>
    </w:pPr>
    <w:rPr>
      <w:kern w:val="44"/>
      <w:szCs w:val="20"/>
    </w:rPr>
  </w:style>
  <w:style w:type="paragraph" w:customStyle="1" w:styleId="2095">
    <w:name w:val="样式 正文 首行缩进:  2 字符 + 加粗 首行缩进:  2 字符"/>
    <w:basedOn w:val="1837"/>
    <w:semiHidden/>
    <w:qFormat/>
    <w:uiPriority w:val="0"/>
    <w:pPr>
      <w:ind w:firstLine="482"/>
    </w:pPr>
    <w:rPr>
      <w:bCs/>
      <w:szCs w:val="24"/>
    </w:rPr>
  </w:style>
  <w:style w:type="paragraph" w:customStyle="1" w:styleId="2096">
    <w:name w:val="样式 正文 首行缩进:  2 字符 + 加粗 首行缩进:  2 字符1"/>
    <w:basedOn w:val="1837"/>
    <w:semiHidden/>
    <w:qFormat/>
    <w:uiPriority w:val="0"/>
    <w:pPr>
      <w:ind w:firstLine="482"/>
    </w:pPr>
    <w:rPr>
      <w:bCs/>
      <w:szCs w:val="24"/>
    </w:rPr>
  </w:style>
  <w:style w:type="paragraph" w:customStyle="1" w:styleId="2097">
    <w:name w:val="样式 样式 样式 首行缩进:  2 字符 + 首行缩进:  2 字符 + 首行缩进:  2 字符"/>
    <w:basedOn w:val="1"/>
    <w:semiHidden/>
    <w:qFormat/>
    <w:uiPriority w:val="0"/>
    <w:pPr>
      <w:tabs>
        <w:tab w:val="clear" w:pos="480"/>
      </w:tabs>
      <w:spacing w:line="520" w:lineRule="exact"/>
    </w:pPr>
    <w:rPr>
      <w:szCs w:val="20"/>
    </w:rPr>
  </w:style>
  <w:style w:type="paragraph" w:customStyle="1" w:styleId="2098">
    <w:name w:val="样式 五号 居中"/>
    <w:basedOn w:val="1"/>
    <w:semiHidden/>
    <w:qFormat/>
    <w:uiPriority w:val="0"/>
    <w:pPr>
      <w:tabs>
        <w:tab w:val="clear" w:pos="480"/>
      </w:tabs>
      <w:spacing w:line="360" w:lineRule="exact"/>
      <w:jc w:val="center"/>
    </w:pPr>
    <w:rPr>
      <w:kern w:val="44"/>
      <w:szCs w:val="20"/>
    </w:rPr>
  </w:style>
  <w:style w:type="paragraph" w:customStyle="1" w:styleId="2099">
    <w:name w:val="样式 五号 居中 行距: 固定值 18 磅"/>
    <w:basedOn w:val="1"/>
    <w:semiHidden/>
    <w:qFormat/>
    <w:uiPriority w:val="0"/>
    <w:pPr>
      <w:tabs>
        <w:tab w:val="clear" w:pos="480"/>
      </w:tabs>
      <w:spacing w:line="360" w:lineRule="exact"/>
      <w:jc w:val="center"/>
    </w:pPr>
    <w:rPr>
      <w:kern w:val="44"/>
      <w:szCs w:val="20"/>
    </w:rPr>
  </w:style>
  <w:style w:type="paragraph" w:customStyle="1" w:styleId="2100">
    <w:name w:val="样式 五号 行距: 固定值 18 磅"/>
    <w:basedOn w:val="1"/>
    <w:semiHidden/>
    <w:qFormat/>
    <w:uiPriority w:val="0"/>
    <w:pPr>
      <w:tabs>
        <w:tab w:val="clear" w:pos="480"/>
      </w:tabs>
      <w:spacing w:line="360" w:lineRule="exact"/>
    </w:pPr>
    <w:rPr>
      <w:kern w:val="44"/>
      <w:szCs w:val="21"/>
    </w:rPr>
  </w:style>
  <w:style w:type="character" w:customStyle="1" w:styleId="2101">
    <w:name w:val="样式 五号"/>
    <w:semiHidden/>
    <w:qFormat/>
    <w:uiPriority w:val="0"/>
    <w:rPr>
      <w:rFonts w:eastAsia="宋体"/>
      <w:sz w:val="21"/>
    </w:rPr>
  </w:style>
  <w:style w:type="paragraph" w:customStyle="1" w:styleId="2102">
    <w:name w:val="样式 正文 首行缩进:  2 字符 Char + 黑体 首行缩进:  0 字符2"/>
    <w:basedOn w:val="1"/>
    <w:semiHidden/>
    <w:qFormat/>
    <w:uiPriority w:val="0"/>
    <w:pPr>
      <w:tabs>
        <w:tab w:val="clear" w:pos="480"/>
      </w:tabs>
      <w:spacing w:line="520" w:lineRule="exact"/>
    </w:pPr>
    <w:rPr>
      <w:rFonts w:ascii="黑体" w:eastAsia="黑体" w:cs="Arial"/>
      <w:kern w:val="44"/>
      <w:szCs w:val="48"/>
    </w:rPr>
  </w:style>
  <w:style w:type="character" w:customStyle="1" w:styleId="2103">
    <w:name w:val="表格内文字 Char Char"/>
    <w:qFormat/>
    <w:uiPriority w:val="0"/>
    <w:rPr>
      <w:rFonts w:ascii="宋体" w:hAnsi="宋体" w:eastAsia="宋体" w:cs="Arial"/>
      <w:snapToGrid w:val="0"/>
      <w:kern w:val="44"/>
      <w:sz w:val="21"/>
      <w:szCs w:val="48"/>
      <w:lang w:val="en-US" w:eastAsia="zh-CN" w:bidi="ar-SA"/>
    </w:rPr>
  </w:style>
  <w:style w:type="paragraph" w:customStyle="1" w:styleId="2104">
    <w:name w:val="图表文字"/>
    <w:basedOn w:val="1"/>
    <w:qFormat/>
    <w:uiPriority w:val="0"/>
    <w:pPr>
      <w:tabs>
        <w:tab w:val="clear" w:pos="480"/>
      </w:tabs>
      <w:spacing w:line="320" w:lineRule="exact"/>
      <w:jc w:val="center"/>
    </w:pPr>
    <w:rPr>
      <w:bCs/>
    </w:rPr>
  </w:style>
  <w:style w:type="paragraph" w:customStyle="1" w:styleId="2105">
    <w:name w:val="正文 首行缩进:  2 字符"/>
    <w:basedOn w:val="1"/>
    <w:qFormat/>
    <w:uiPriority w:val="0"/>
    <w:pPr>
      <w:tabs>
        <w:tab w:val="clear" w:pos="480"/>
      </w:tabs>
      <w:spacing w:line="520" w:lineRule="exact"/>
      <w:ind w:firstLine="480"/>
    </w:pPr>
    <w:rPr>
      <w:kern w:val="44"/>
      <w:szCs w:val="20"/>
    </w:rPr>
  </w:style>
  <w:style w:type="paragraph" w:customStyle="1" w:styleId="2106">
    <w:name w:val="样式 正文 首行缩进:  2 字符 Char + 黑体 首行缩进:  0 字符"/>
    <w:basedOn w:val="1"/>
    <w:semiHidden/>
    <w:qFormat/>
    <w:uiPriority w:val="0"/>
    <w:pPr>
      <w:tabs>
        <w:tab w:val="clear" w:pos="480"/>
      </w:tabs>
      <w:spacing w:line="520" w:lineRule="exact"/>
    </w:pPr>
    <w:rPr>
      <w:rFonts w:ascii="黑体" w:hAnsi="黑体" w:eastAsia="黑体" w:cs="Arial"/>
      <w:kern w:val="44"/>
      <w:szCs w:val="48"/>
    </w:rPr>
  </w:style>
  <w:style w:type="paragraph" w:customStyle="1" w:styleId="2107">
    <w:name w:val="样式 正文 首行缩进:  2 字符 Char + 黑体 首行缩进:  0 字符1"/>
    <w:basedOn w:val="1"/>
    <w:semiHidden/>
    <w:qFormat/>
    <w:uiPriority w:val="0"/>
    <w:pPr>
      <w:tabs>
        <w:tab w:val="clear" w:pos="480"/>
      </w:tabs>
      <w:spacing w:line="520" w:lineRule="exact"/>
    </w:pPr>
    <w:rPr>
      <w:rFonts w:ascii="黑体" w:hAnsi="黑体" w:eastAsia="黑体" w:cs="Arial"/>
      <w:kern w:val="0"/>
      <w:szCs w:val="48"/>
    </w:rPr>
  </w:style>
  <w:style w:type="paragraph" w:customStyle="1" w:styleId="2108">
    <w:name w:val="样式 正文 首行缩进:  2 字符 Char + (中文) 黑体"/>
    <w:basedOn w:val="1"/>
    <w:semiHidden/>
    <w:qFormat/>
    <w:uiPriority w:val="0"/>
    <w:pPr>
      <w:tabs>
        <w:tab w:val="clear" w:pos="480"/>
      </w:tabs>
      <w:spacing w:line="520" w:lineRule="exact"/>
    </w:pPr>
    <w:rPr>
      <w:rFonts w:eastAsia="黑体" w:cs="Arial"/>
      <w:kern w:val="44"/>
      <w:szCs w:val="48"/>
    </w:rPr>
  </w:style>
  <w:style w:type="character" w:customStyle="1" w:styleId="2109">
    <w:name w:val="样式 正文 首行缩进:  2 字符 Char + (中文) 黑体 Char"/>
    <w:semiHidden/>
    <w:qFormat/>
    <w:uiPriority w:val="0"/>
    <w:rPr>
      <w:rFonts w:eastAsia="黑体" w:cs="Arial"/>
      <w:kern w:val="44"/>
      <w:sz w:val="24"/>
      <w:szCs w:val="48"/>
      <w:lang w:val="en-US" w:eastAsia="zh-CN" w:bidi="ar-SA"/>
    </w:rPr>
  </w:style>
  <w:style w:type="paragraph" w:customStyle="1" w:styleId="2110">
    <w:name w:val="样式 正文 首行缩进:  2 字符 Char + 红色"/>
    <w:basedOn w:val="1"/>
    <w:semiHidden/>
    <w:qFormat/>
    <w:uiPriority w:val="0"/>
    <w:pPr>
      <w:tabs>
        <w:tab w:val="clear" w:pos="480"/>
      </w:tabs>
      <w:spacing w:line="520" w:lineRule="exact"/>
    </w:pPr>
    <w:rPr>
      <w:rFonts w:cs="Arial"/>
      <w:color w:val="FF0000"/>
      <w:szCs w:val="48"/>
    </w:rPr>
  </w:style>
  <w:style w:type="character" w:customStyle="1" w:styleId="2111">
    <w:name w:val="样式 正文 首行缩进:  2 字符 Char + 红色 Char"/>
    <w:semiHidden/>
    <w:qFormat/>
    <w:uiPriority w:val="0"/>
    <w:rPr>
      <w:rFonts w:eastAsia="宋体" w:cs="Arial"/>
      <w:color w:val="FF0000"/>
      <w:kern w:val="2"/>
      <w:sz w:val="24"/>
      <w:szCs w:val="48"/>
      <w:lang w:val="en-US" w:eastAsia="zh-CN" w:bidi="ar-SA"/>
    </w:rPr>
  </w:style>
  <w:style w:type="paragraph" w:customStyle="1" w:styleId="2112">
    <w:name w:val="样式 正文 首行缩进:  2 字符 Char + 黑体"/>
    <w:basedOn w:val="1837"/>
    <w:semiHidden/>
    <w:qFormat/>
    <w:uiPriority w:val="0"/>
    <w:pPr>
      <w:ind w:firstLine="0" w:firstLineChars="0"/>
    </w:pPr>
    <w:rPr>
      <w:rFonts w:ascii="黑体" w:hAnsi="黑体" w:eastAsia="黑体"/>
    </w:rPr>
  </w:style>
  <w:style w:type="paragraph" w:customStyle="1" w:styleId="2113">
    <w:name w:val="样式 黑体"/>
    <w:basedOn w:val="1"/>
    <w:semiHidden/>
    <w:qFormat/>
    <w:uiPriority w:val="0"/>
    <w:pPr>
      <w:tabs>
        <w:tab w:val="clear" w:pos="480"/>
      </w:tabs>
      <w:spacing w:line="520" w:lineRule="exact"/>
    </w:pPr>
    <w:rPr>
      <w:rFonts w:ascii="黑体" w:hAnsi="黑体" w:eastAsia="黑体" w:cs="Arial"/>
      <w:kern w:val="0"/>
      <w:szCs w:val="48"/>
    </w:rPr>
  </w:style>
  <w:style w:type="character" w:customStyle="1" w:styleId="2114">
    <w:name w:val="样式 黑体 Char"/>
    <w:semiHidden/>
    <w:qFormat/>
    <w:uiPriority w:val="0"/>
    <w:rPr>
      <w:rFonts w:ascii="黑体" w:hAnsi="黑体" w:eastAsia="黑体" w:cs="Arial"/>
      <w:sz w:val="24"/>
      <w:szCs w:val="48"/>
      <w:lang w:val="en-US" w:eastAsia="zh-CN" w:bidi="ar-SA"/>
    </w:rPr>
  </w:style>
  <w:style w:type="paragraph" w:customStyle="1" w:styleId="2115">
    <w:name w:val="样式 样式 正文 首行缩进:  2 字符 Char + 黑体 首行缩进:  0 字符2 +"/>
    <w:basedOn w:val="1"/>
    <w:semiHidden/>
    <w:qFormat/>
    <w:uiPriority w:val="0"/>
    <w:pPr>
      <w:tabs>
        <w:tab w:val="clear" w:pos="480"/>
      </w:tabs>
      <w:spacing w:line="520" w:lineRule="exact"/>
    </w:pPr>
    <w:rPr>
      <w:rFonts w:cs="Arial"/>
      <w:kern w:val="0"/>
      <w:szCs w:val="48"/>
    </w:rPr>
  </w:style>
  <w:style w:type="character" w:customStyle="1" w:styleId="2116">
    <w:name w:val="样式 正文 首行缩进:  2 字符 Char + 黑体 首行缩进:  0 字符 Char"/>
    <w:semiHidden/>
    <w:qFormat/>
    <w:uiPriority w:val="0"/>
    <w:rPr>
      <w:rFonts w:ascii="黑体" w:hAnsi="黑体" w:eastAsia="黑体" w:cs="Arial"/>
      <w:kern w:val="44"/>
      <w:sz w:val="24"/>
      <w:szCs w:val="48"/>
      <w:lang w:val="en-US" w:eastAsia="zh-CN" w:bidi="ar-SA"/>
    </w:rPr>
  </w:style>
  <w:style w:type="paragraph" w:customStyle="1" w:styleId="2117">
    <w:name w:val="样式 五号 居中1"/>
    <w:basedOn w:val="1"/>
    <w:semiHidden/>
    <w:qFormat/>
    <w:uiPriority w:val="0"/>
    <w:pPr>
      <w:tabs>
        <w:tab w:val="clear" w:pos="480"/>
      </w:tabs>
      <w:spacing w:line="360" w:lineRule="exact"/>
      <w:jc w:val="center"/>
    </w:pPr>
    <w:rPr>
      <w:kern w:val="0"/>
      <w:szCs w:val="20"/>
    </w:rPr>
  </w:style>
  <w:style w:type="paragraph" w:customStyle="1" w:styleId="2118">
    <w:name w:val="样式 正文 首行缩进:  2 字符 Char + 居中"/>
    <w:basedOn w:val="1837"/>
    <w:semiHidden/>
    <w:qFormat/>
    <w:uiPriority w:val="0"/>
    <w:pPr>
      <w:ind w:firstLine="0" w:firstLineChars="0"/>
      <w:jc w:val="center"/>
    </w:pPr>
  </w:style>
  <w:style w:type="character" w:customStyle="1" w:styleId="2119">
    <w:name w:val="f241"/>
    <w:semiHidden/>
    <w:qFormat/>
    <w:uiPriority w:val="0"/>
    <w:rPr>
      <w:sz w:val="48"/>
      <w:szCs w:val="48"/>
    </w:rPr>
  </w:style>
  <w:style w:type="character" w:customStyle="1" w:styleId="2120">
    <w:name w:val="MTEquationSection"/>
    <w:semiHidden/>
    <w:qFormat/>
    <w:uiPriority w:val="0"/>
    <w:rPr>
      <w:vanish/>
      <w:color w:val="FF0000"/>
    </w:rPr>
  </w:style>
  <w:style w:type="paragraph" w:customStyle="1" w:styleId="2121">
    <w:name w:val="Char Char Char Char Char Char Char Char Char Char Char Char Char Char Char Char Char Char Char Char Char Char Char Char Char Char Char Char Char Char Char Char Char Char"/>
    <w:basedOn w:val="1"/>
    <w:semiHidden/>
    <w:qFormat/>
    <w:uiPriority w:val="0"/>
    <w:pPr>
      <w:tabs>
        <w:tab w:val="clear" w:pos="480"/>
      </w:tabs>
      <w:spacing w:line="240" w:lineRule="auto"/>
    </w:pPr>
    <w:rPr>
      <w:sz w:val="21"/>
    </w:rPr>
  </w:style>
  <w:style w:type="paragraph" w:customStyle="1" w:styleId="2122">
    <w:name w:val="Char Char Char Char Char Char Char Char Char Char Char Char Char Char Char Char Char Char Char Char Char Char Char Char Char Char Char Char Char Char Char"/>
    <w:basedOn w:val="1"/>
    <w:semiHidden/>
    <w:qFormat/>
    <w:uiPriority w:val="0"/>
    <w:pPr>
      <w:tabs>
        <w:tab w:val="clear" w:pos="480"/>
      </w:tabs>
      <w:spacing w:line="240" w:lineRule="auto"/>
    </w:pPr>
    <w:rPr>
      <w:sz w:val="21"/>
    </w:rPr>
  </w:style>
  <w:style w:type="paragraph" w:customStyle="1" w:styleId="2123">
    <w:name w:val="Char Char Char1 Char Char Char Char Char"/>
    <w:basedOn w:val="1"/>
    <w:semiHidden/>
    <w:qFormat/>
    <w:uiPriority w:val="0"/>
    <w:pPr>
      <w:tabs>
        <w:tab w:val="clear" w:pos="480"/>
      </w:tabs>
      <w:spacing w:line="240" w:lineRule="auto"/>
    </w:pPr>
    <w:rPr>
      <w:sz w:val="21"/>
    </w:rPr>
  </w:style>
  <w:style w:type="paragraph" w:customStyle="1" w:styleId="2124">
    <w:name w:val="水专题1"/>
    <w:basedOn w:val="1"/>
    <w:semiHidden/>
    <w:qFormat/>
    <w:uiPriority w:val="0"/>
    <w:pPr>
      <w:tabs>
        <w:tab w:val="clear" w:pos="480"/>
      </w:tabs>
      <w:autoSpaceDE w:val="0"/>
      <w:autoSpaceDN w:val="0"/>
      <w:adjustRightInd w:val="0"/>
      <w:spacing w:line="240" w:lineRule="auto"/>
      <w:textAlignment w:val="baseline"/>
    </w:pPr>
    <w:rPr>
      <w:sz w:val="21"/>
      <w:szCs w:val="20"/>
    </w:rPr>
  </w:style>
  <w:style w:type="paragraph" w:customStyle="1" w:styleId="2125">
    <w:name w:val="样式 正文缩进"/>
    <w:basedOn w:val="20"/>
    <w:semiHidden/>
    <w:qFormat/>
    <w:uiPriority w:val="0"/>
    <w:pPr>
      <w:tabs>
        <w:tab w:val="clear" w:pos="480"/>
      </w:tabs>
      <w:ind w:firstLine="480"/>
      <w:jc w:val="left"/>
    </w:pPr>
    <w:rPr>
      <w:rFonts w:cs="宋体"/>
      <w:kern w:val="0"/>
      <w:szCs w:val="20"/>
    </w:rPr>
  </w:style>
  <w:style w:type="paragraph" w:customStyle="1" w:styleId="2126">
    <w:name w:val="Char Char Char Char Char Char Char Char Char1 Char"/>
    <w:basedOn w:val="1"/>
    <w:qFormat/>
    <w:uiPriority w:val="0"/>
    <w:pPr>
      <w:tabs>
        <w:tab w:val="clear" w:pos="480"/>
      </w:tabs>
      <w:spacing w:line="240" w:lineRule="auto"/>
    </w:pPr>
  </w:style>
  <w:style w:type="character" w:customStyle="1" w:styleId="2127">
    <w:name w:val="样式9 Char"/>
    <w:link w:val="628"/>
    <w:qFormat/>
    <w:uiPriority w:val="0"/>
    <w:rPr>
      <w:rFonts w:ascii="宋体" w:eastAsia="宋体"/>
      <w:snapToGrid w:val="0"/>
      <w:kern w:val="2"/>
      <w:sz w:val="24"/>
      <w:szCs w:val="24"/>
      <w:lang w:val="en-US" w:eastAsia="zh-CN" w:bidi="ar-SA"/>
    </w:rPr>
  </w:style>
  <w:style w:type="paragraph" w:customStyle="1" w:styleId="2128">
    <w:name w:val="Char Char Char Char Char Char Char Char Char Char Char Char Char Char Char Char Char Char Char Char Char Char Char Char Char Char Char Char Char Char Char Char Char Char Char Char Char Char Char Char Char Char Char Char Char Char Char Char"/>
    <w:basedOn w:val="1"/>
    <w:semiHidden/>
    <w:qFormat/>
    <w:uiPriority w:val="0"/>
    <w:pPr>
      <w:tabs>
        <w:tab w:val="clear" w:pos="480"/>
      </w:tabs>
      <w:spacing w:line="240" w:lineRule="auto"/>
    </w:pPr>
    <w:rPr>
      <w:sz w:val="21"/>
    </w:rPr>
  </w:style>
  <w:style w:type="character" w:customStyle="1" w:styleId="2129">
    <w:name w:val="fontstyle01"/>
    <w:qFormat/>
    <w:uiPriority w:val="0"/>
    <w:rPr>
      <w:rFonts w:hint="eastAsia" w:ascii="宋体" w:hAnsi="宋体" w:eastAsia="宋体"/>
      <w:color w:val="000000"/>
      <w:sz w:val="24"/>
      <w:szCs w:val="24"/>
    </w:rPr>
  </w:style>
  <w:style w:type="paragraph" w:customStyle="1" w:styleId="2130">
    <w:name w:val="公式段落 Char"/>
    <w:basedOn w:val="1"/>
    <w:semiHidden/>
    <w:qFormat/>
    <w:uiPriority w:val="0"/>
    <w:pPr>
      <w:tabs>
        <w:tab w:val="clear" w:pos="480"/>
      </w:tabs>
      <w:adjustRightInd w:val="0"/>
      <w:snapToGrid w:val="0"/>
      <w:spacing w:beforeLines="50"/>
      <w:ind w:firstLine="480"/>
      <w:textAlignment w:val="baseline"/>
    </w:pPr>
    <w:rPr>
      <w:snapToGrid w:val="0"/>
      <w:color w:val="000000"/>
      <w:kern w:val="0"/>
      <w:szCs w:val="21"/>
    </w:rPr>
  </w:style>
  <w:style w:type="paragraph" w:customStyle="1" w:styleId="2131">
    <w:name w:val="样式 公式段落 Char + 段前: 0.5 行1"/>
    <w:basedOn w:val="2130"/>
    <w:semiHidden/>
    <w:qFormat/>
    <w:uiPriority w:val="0"/>
    <w:pPr>
      <w:spacing w:beforeLines="0" w:line="520" w:lineRule="exact"/>
      <w:textAlignment w:val="center"/>
    </w:pPr>
    <w:rPr>
      <w:rFonts w:ascii="宋体" w:hAnsi="宋体"/>
      <w:bCs/>
      <w:szCs w:val="24"/>
    </w:rPr>
  </w:style>
  <w:style w:type="character" w:customStyle="1" w:styleId="2132">
    <w:name w:val="纯文本 Char"/>
    <w:link w:val="45"/>
    <w:qFormat/>
    <w:uiPriority w:val="0"/>
    <w:rPr>
      <w:rFonts w:ascii="宋体" w:hAnsi="Courier New" w:eastAsia="宋体"/>
      <w:kern w:val="2"/>
      <w:sz w:val="21"/>
      <w:lang w:val="en-US" w:eastAsia="zh-CN" w:bidi="ar-SA"/>
    </w:rPr>
  </w:style>
  <w:style w:type="paragraph" w:customStyle="1" w:styleId="2133">
    <w:name w:val="要点2"/>
    <w:basedOn w:val="1"/>
    <w:qFormat/>
    <w:uiPriority w:val="0"/>
    <w:pPr>
      <w:tabs>
        <w:tab w:val="clear" w:pos="480"/>
      </w:tabs>
      <w:adjustRightInd w:val="0"/>
      <w:snapToGrid w:val="0"/>
      <w:spacing w:beforeLines="20" w:line="360" w:lineRule="exact"/>
      <w:ind w:right="567" w:rightChars="270"/>
    </w:pPr>
    <w:rPr>
      <w:sz w:val="21"/>
      <w:szCs w:val="20"/>
    </w:rPr>
  </w:style>
  <w:style w:type="character" w:customStyle="1" w:styleId="2134">
    <w:name w:val="fontstyle21"/>
    <w:qFormat/>
    <w:uiPriority w:val="0"/>
    <w:rPr>
      <w:rFonts w:hint="default" w:ascii="TimesNewRomanPS-BoldMT" w:hAnsi="TimesNewRomanPS-BoldMT"/>
      <w:b/>
      <w:bCs/>
      <w:color w:val="000000"/>
      <w:sz w:val="28"/>
      <w:szCs w:val="28"/>
    </w:rPr>
  </w:style>
  <w:style w:type="paragraph" w:customStyle="1" w:styleId="2135">
    <w:name w:val="TTT3"/>
    <w:basedOn w:val="4"/>
    <w:qFormat/>
    <w:uiPriority w:val="0"/>
    <w:pPr>
      <w:spacing w:before="60" w:after="60" w:line="360" w:lineRule="auto"/>
    </w:pPr>
    <w:rPr>
      <w:rFonts w:ascii="宋体" w:hAnsi="宋体" w:eastAsia="宋体" w:cs="宋体"/>
      <w:szCs w:val="20"/>
    </w:rPr>
  </w:style>
  <w:style w:type="paragraph" w:customStyle="1" w:styleId="2136">
    <w:name w:val="样式 标题 2SeHead wsa2标题 1.1节H21Chapter TitleChapter节标题 1.1...1"/>
    <w:basedOn w:val="3"/>
    <w:qFormat/>
    <w:uiPriority w:val="0"/>
    <w:pPr>
      <w:numPr>
        <w:numId w:val="10"/>
      </w:numPr>
      <w:tabs>
        <w:tab w:val="left" w:pos="711"/>
        <w:tab w:val="left" w:pos="855"/>
        <w:tab w:val="clear" w:pos="480"/>
        <w:tab w:val="clear" w:pos="630"/>
      </w:tabs>
      <w:adjustRightInd w:val="0"/>
      <w:spacing w:before="120"/>
      <w:textAlignment w:val="baseline"/>
    </w:pPr>
    <w:rPr>
      <w:rFonts w:ascii="Arial" w:eastAsia="仿宋_GB2312" w:cs="Arial"/>
      <w:sz w:val="30"/>
      <w:szCs w:val="30"/>
    </w:rPr>
  </w:style>
  <w:style w:type="paragraph" w:customStyle="1" w:styleId="2137">
    <w:name w:val="样式 宋体 小四 行距: 固定值 26 磅"/>
    <w:basedOn w:val="1"/>
    <w:link w:val="2138"/>
    <w:qFormat/>
    <w:uiPriority w:val="0"/>
    <w:pPr>
      <w:tabs>
        <w:tab w:val="clear" w:pos="480"/>
      </w:tabs>
      <w:spacing w:line="520" w:lineRule="exact"/>
      <w:ind w:firstLine="480"/>
    </w:pPr>
    <w:rPr>
      <w:rFonts w:cs="宋体"/>
    </w:rPr>
  </w:style>
  <w:style w:type="character" w:customStyle="1" w:styleId="2138">
    <w:name w:val="样式 宋体 小四 行距: 固定值 26 磅 Char"/>
    <w:link w:val="2137"/>
    <w:qFormat/>
    <w:uiPriority w:val="0"/>
    <w:rPr>
      <w:rFonts w:eastAsia="宋体" w:cs="宋体"/>
      <w:kern w:val="2"/>
      <w:sz w:val="24"/>
      <w:szCs w:val="24"/>
      <w:lang w:val="en-US" w:eastAsia="zh-CN" w:bidi="ar-SA"/>
    </w:rPr>
  </w:style>
  <w:style w:type="character" w:customStyle="1" w:styleId="2139">
    <w:name w:val="fontstyle11"/>
    <w:qFormat/>
    <w:uiPriority w:val="0"/>
    <w:rPr>
      <w:rFonts w:hint="default" w:ascii="TimesNewRomanPSMT" w:hAnsi="TimesNewRomanPSMT"/>
      <w:color w:val="000000"/>
      <w:sz w:val="24"/>
      <w:szCs w:val="24"/>
    </w:rPr>
  </w:style>
  <w:style w:type="paragraph" w:customStyle="1" w:styleId="2140">
    <w:name w:val="样式 标题 44级标题 + 段前: 0 磅 段后: 0 磅 行距: 固定值 26 磅"/>
    <w:basedOn w:val="5"/>
    <w:qFormat/>
    <w:uiPriority w:val="0"/>
    <w:pPr>
      <w:numPr>
        <w:ilvl w:val="0"/>
        <w:numId w:val="0"/>
      </w:numPr>
      <w:tabs>
        <w:tab w:val="clear" w:pos="480"/>
      </w:tabs>
      <w:spacing w:before="0" w:after="0" w:line="520" w:lineRule="exact"/>
    </w:pPr>
    <w:rPr>
      <w:rFonts w:ascii="Arial" w:hAnsi="Arial" w:eastAsia="黑体" w:cs="宋体"/>
      <w:sz w:val="24"/>
      <w:szCs w:val="20"/>
    </w:rPr>
  </w:style>
  <w:style w:type="paragraph" w:customStyle="1" w:styleId="2141">
    <w:name w:val="样式 标题 5 + 首行缩进:  0.85 厘米"/>
    <w:basedOn w:val="6"/>
    <w:semiHidden/>
    <w:qFormat/>
    <w:uiPriority w:val="0"/>
    <w:pPr>
      <w:numPr>
        <w:ilvl w:val="0"/>
        <w:numId w:val="0"/>
      </w:numPr>
      <w:tabs>
        <w:tab w:val="clear" w:pos="480"/>
      </w:tabs>
      <w:adjustRightInd w:val="0"/>
      <w:snapToGrid w:val="0"/>
      <w:spacing w:beforeLines="50" w:after="0"/>
      <w:ind w:firstLine="482"/>
    </w:pPr>
    <w:rPr>
      <w:rFonts w:ascii="黑体" w:hAnsi="Times New Roman" w:eastAsia="黑体"/>
      <w:b w:val="0"/>
      <w:bCs/>
      <w:sz w:val="30"/>
    </w:rPr>
  </w:style>
  <w:style w:type="paragraph" w:customStyle="1" w:styleId="2142">
    <w:name w:val="样式 样式 样式 样式 标题 3 + 右侧:  1 字符 + 左侧:  1 字符 + 左  0 字符 + 左侧:  1 字符 ..."/>
    <w:basedOn w:val="5"/>
    <w:qFormat/>
    <w:uiPriority w:val="0"/>
    <w:pPr>
      <w:numPr>
        <w:ilvl w:val="0"/>
        <w:numId w:val="0"/>
      </w:numPr>
      <w:tabs>
        <w:tab w:val="left" w:pos="1680"/>
        <w:tab w:val="clear" w:pos="480"/>
      </w:tabs>
      <w:spacing w:before="0" w:after="0" w:line="240" w:lineRule="auto"/>
      <w:ind w:left="1680" w:right="100" w:rightChars="100" w:hanging="420"/>
      <w:jc w:val="left"/>
    </w:pPr>
    <w:rPr>
      <w:rFonts w:ascii="Arial" w:hAnsi="Arial" w:eastAsia="黑体"/>
      <w:bCs w:val="0"/>
      <w:sz w:val="21"/>
      <w:szCs w:val="20"/>
    </w:rPr>
  </w:style>
  <w:style w:type="paragraph" w:customStyle="1" w:styleId="2143">
    <w:name w:val="正文LA"/>
    <w:qFormat/>
    <w:uiPriority w:val="0"/>
    <w:pPr>
      <w:tabs>
        <w:tab w:val="left" w:pos="0"/>
      </w:tabs>
      <w:adjustRightInd w:val="0"/>
      <w:spacing w:beforeLines="50" w:line="360" w:lineRule="auto"/>
      <w:ind w:firstLine="225" w:firstLineChars="225"/>
      <w:jc w:val="both"/>
    </w:pPr>
    <w:rPr>
      <w:rFonts w:ascii="宋体" w:hAnsi="宋体" w:eastAsia="宋体" w:cs="Times New Roman"/>
      <w:snapToGrid w:val="0"/>
      <w:kern w:val="2"/>
      <w:sz w:val="24"/>
      <w:szCs w:val="24"/>
      <w:lang w:val="en-US" w:eastAsia="zh-CN" w:bidi="ar-SA"/>
    </w:rPr>
  </w:style>
  <w:style w:type="character" w:customStyle="1" w:styleId="2144">
    <w:name w:val="h5 Char"/>
    <w:qFormat/>
    <w:uiPriority w:val="0"/>
    <w:rPr>
      <w:rFonts w:eastAsia="宋体"/>
      <w:b/>
      <w:bCs/>
      <w:kern w:val="2"/>
      <w:sz w:val="28"/>
      <w:szCs w:val="28"/>
      <w:lang w:val="en-US" w:eastAsia="zh-CN" w:bidi="ar-SA"/>
    </w:rPr>
  </w:style>
  <w:style w:type="paragraph" w:customStyle="1" w:styleId="2145">
    <w:name w:val="Char Char Char Char Char Char Char Char Char Char Char Char Char Char Char Char2"/>
    <w:basedOn w:val="1"/>
    <w:semiHidden/>
    <w:qFormat/>
    <w:uiPriority w:val="0"/>
    <w:pPr>
      <w:tabs>
        <w:tab w:val="clear" w:pos="480"/>
      </w:tabs>
      <w:spacing w:line="240" w:lineRule="auto"/>
    </w:pPr>
    <w:rPr>
      <w:sz w:val="21"/>
    </w:rPr>
  </w:style>
  <w:style w:type="paragraph" w:customStyle="1" w:styleId="2146">
    <w:name w:val="Char Char Char Char Char Char Char Char Char Char Char Char Char Char Char Char Char Char Char Char Char Char3"/>
    <w:basedOn w:val="1"/>
    <w:semiHidden/>
    <w:qFormat/>
    <w:uiPriority w:val="0"/>
    <w:pPr>
      <w:tabs>
        <w:tab w:val="clear" w:pos="480"/>
      </w:tabs>
      <w:spacing w:line="240" w:lineRule="auto"/>
      <w:ind w:firstLine="468" w:firstLineChars="195"/>
    </w:pPr>
    <w:rPr>
      <w:sz w:val="21"/>
    </w:rPr>
  </w:style>
  <w:style w:type="paragraph" w:customStyle="1" w:styleId="2147">
    <w:name w:val="Char Char Char Char Char Char Char Char Char Char Char Char Char Char Char Char Char Char Char Char Char Char Char Char Char Char Char Char Char Char Char Char Char Char3"/>
    <w:basedOn w:val="1"/>
    <w:semiHidden/>
    <w:qFormat/>
    <w:uiPriority w:val="0"/>
    <w:pPr>
      <w:tabs>
        <w:tab w:val="clear" w:pos="480"/>
      </w:tabs>
      <w:spacing w:line="240" w:lineRule="auto"/>
    </w:pPr>
    <w:rPr>
      <w:sz w:val="21"/>
    </w:rPr>
  </w:style>
  <w:style w:type="paragraph" w:customStyle="1" w:styleId="2148">
    <w:name w:val="Char Char Char Char Char Char Char Char Char Char Char Char Char Char Char Char Char Char Char Char Char Char Char Char Char Char Char Char Char Char Char3"/>
    <w:basedOn w:val="1"/>
    <w:semiHidden/>
    <w:qFormat/>
    <w:uiPriority w:val="0"/>
    <w:pPr>
      <w:tabs>
        <w:tab w:val="clear" w:pos="480"/>
      </w:tabs>
      <w:spacing w:line="240" w:lineRule="auto"/>
    </w:pPr>
    <w:rPr>
      <w:sz w:val="21"/>
    </w:rPr>
  </w:style>
  <w:style w:type="paragraph" w:customStyle="1" w:styleId="2149">
    <w:name w:val="Char Char Char1 Char Char Char Char Char2"/>
    <w:basedOn w:val="1"/>
    <w:semiHidden/>
    <w:qFormat/>
    <w:uiPriority w:val="0"/>
    <w:pPr>
      <w:tabs>
        <w:tab w:val="clear" w:pos="480"/>
      </w:tabs>
      <w:spacing w:line="240" w:lineRule="auto"/>
    </w:pPr>
    <w:rPr>
      <w:sz w:val="21"/>
    </w:rPr>
  </w:style>
  <w:style w:type="paragraph" w:customStyle="1" w:styleId="2150">
    <w:name w:val="Char Char Char Char Char Char Char Char Char Char Char Char Char Char Char Char Char Char Char3"/>
    <w:basedOn w:val="1"/>
    <w:semiHidden/>
    <w:qFormat/>
    <w:uiPriority w:val="0"/>
    <w:pPr>
      <w:tabs>
        <w:tab w:val="clear" w:pos="480"/>
      </w:tabs>
      <w:adjustRightInd w:val="0"/>
      <w:spacing w:line="360" w:lineRule="atLeast"/>
      <w:textAlignment w:val="baseline"/>
    </w:pPr>
  </w:style>
  <w:style w:type="paragraph" w:customStyle="1" w:styleId="2151">
    <w:name w:val="Char Char Char Char Char Char Char Char Char1 Char2"/>
    <w:basedOn w:val="1"/>
    <w:semiHidden/>
    <w:qFormat/>
    <w:uiPriority w:val="0"/>
    <w:pPr>
      <w:tabs>
        <w:tab w:val="clear" w:pos="480"/>
      </w:tabs>
      <w:spacing w:line="240" w:lineRule="auto"/>
    </w:pPr>
  </w:style>
  <w:style w:type="paragraph" w:customStyle="1" w:styleId="2152">
    <w:name w:val="Char Char Char Char Char Char Char Char Char Char Char Char Char Char Char Char Char Char Char Char Char Char Char Char Char Char Char Char Char Char Char Char Char Char Char Char Char Char Char Char Char Char Char Char Char Char Char Char2"/>
    <w:basedOn w:val="1"/>
    <w:semiHidden/>
    <w:qFormat/>
    <w:uiPriority w:val="0"/>
    <w:pPr>
      <w:tabs>
        <w:tab w:val="clear" w:pos="480"/>
      </w:tabs>
      <w:spacing w:line="240" w:lineRule="auto"/>
    </w:pPr>
    <w:rPr>
      <w:sz w:val="21"/>
    </w:rPr>
  </w:style>
  <w:style w:type="paragraph" w:customStyle="1" w:styleId="2153">
    <w:name w:val="Char1 Char Char Char1 Char Char Char2"/>
    <w:basedOn w:val="1"/>
    <w:qFormat/>
    <w:uiPriority w:val="0"/>
    <w:pPr>
      <w:tabs>
        <w:tab w:val="clear" w:pos="480"/>
      </w:tabs>
    </w:pPr>
    <w:rPr>
      <w:rFonts w:ascii="宋体" w:hAnsi="宋体" w:cs="宋体"/>
    </w:rPr>
  </w:style>
  <w:style w:type="character" w:customStyle="1" w:styleId="2154">
    <w:name w:val="表头 Char Char"/>
    <w:qFormat/>
    <w:uiPriority w:val="0"/>
    <w:rPr>
      <w:rFonts w:ascii="黑体" w:hAnsi="宋体" w:eastAsia="黑体"/>
      <w:kern w:val="2"/>
      <w:sz w:val="24"/>
      <w:lang w:val="en-US" w:eastAsia="zh-CN"/>
    </w:rPr>
  </w:style>
  <w:style w:type="character" w:customStyle="1" w:styleId="2155">
    <w:name w:val="表格内文字 Char Char Char"/>
    <w:qFormat/>
    <w:uiPriority w:val="0"/>
    <w:rPr>
      <w:rFonts w:ascii="宋体" w:hAnsi="宋体" w:eastAsia="宋体"/>
      <w:snapToGrid w:val="0"/>
      <w:kern w:val="44"/>
    </w:rPr>
  </w:style>
  <w:style w:type="character" w:customStyle="1" w:styleId="2156">
    <w:name w:val="表格标题 Char Char"/>
    <w:link w:val="2157"/>
    <w:qFormat/>
    <w:uiPriority w:val="0"/>
    <w:rPr>
      <w:rFonts w:ascii="幼圆" w:hAnsi="宋体" w:eastAsia="黑体"/>
      <w:sz w:val="24"/>
      <w:lang w:bidi="ar-SA"/>
    </w:rPr>
  </w:style>
  <w:style w:type="paragraph" w:customStyle="1" w:styleId="2157">
    <w:name w:val="表格标题 Char"/>
    <w:basedOn w:val="1"/>
    <w:link w:val="2156"/>
    <w:qFormat/>
    <w:uiPriority w:val="0"/>
    <w:pPr>
      <w:tabs>
        <w:tab w:val="clear" w:pos="480"/>
      </w:tabs>
      <w:spacing w:after="60" w:line="520" w:lineRule="exact"/>
      <w:ind w:left="482"/>
      <w:jc w:val="center"/>
    </w:pPr>
    <w:rPr>
      <w:rFonts w:ascii="幼圆" w:hAnsi="宋体" w:eastAsia="黑体"/>
      <w:kern w:val="0"/>
      <w:szCs w:val="20"/>
      <w:lang w:val="zh-CN"/>
    </w:rPr>
  </w:style>
  <w:style w:type="character" w:customStyle="1" w:styleId="2158">
    <w:name w:val="表格样式 Char"/>
    <w:link w:val="277"/>
    <w:qFormat/>
    <w:uiPriority w:val="0"/>
    <w:rPr>
      <w:rFonts w:ascii="宋体" w:eastAsia="宋体"/>
      <w:bCs/>
      <w:snapToGrid w:val="0"/>
      <w:kern w:val="2"/>
      <w:sz w:val="21"/>
      <w:szCs w:val="24"/>
      <w:lang w:val="en-US" w:eastAsia="zh-CN" w:bidi="ar-SA"/>
    </w:rPr>
  </w:style>
  <w:style w:type="paragraph" w:customStyle="1" w:styleId="2159">
    <w:name w:val="正文一"/>
    <w:basedOn w:val="45"/>
    <w:qFormat/>
    <w:uiPriority w:val="0"/>
    <w:pPr>
      <w:ind w:firstLine="425"/>
    </w:pPr>
    <w:rPr>
      <w:sz w:val="24"/>
    </w:rPr>
  </w:style>
  <w:style w:type="paragraph" w:customStyle="1" w:styleId="2160">
    <w:name w:val="Char Char Char1 Char Char Char Char1"/>
    <w:basedOn w:val="1"/>
    <w:qFormat/>
    <w:uiPriority w:val="0"/>
    <w:pPr>
      <w:tabs>
        <w:tab w:val="clear" w:pos="480"/>
      </w:tabs>
      <w:spacing w:line="240" w:lineRule="auto"/>
    </w:pPr>
    <w:rPr>
      <w:sz w:val="21"/>
      <w:szCs w:val="20"/>
    </w:rPr>
  </w:style>
  <w:style w:type="character" w:customStyle="1" w:styleId="2161">
    <w:name w:val="样式11 Char"/>
    <w:link w:val="631"/>
    <w:qFormat/>
    <w:uiPriority w:val="0"/>
    <w:rPr>
      <w:rFonts w:ascii="宋体" w:eastAsia="宋体"/>
      <w:bCs/>
      <w:snapToGrid w:val="0"/>
      <w:kern w:val="2"/>
      <w:sz w:val="21"/>
      <w:szCs w:val="24"/>
      <w:lang w:val="en-US" w:eastAsia="zh-CN" w:bidi="ar-SA"/>
    </w:rPr>
  </w:style>
  <w:style w:type="character" w:customStyle="1" w:styleId="2162">
    <w:name w:val="图表头 Char"/>
    <w:link w:val="2163"/>
    <w:qFormat/>
    <w:uiPriority w:val="0"/>
    <w:rPr>
      <w:rFonts w:ascii="黑体" w:eastAsia="黑体"/>
      <w:spacing w:val="5"/>
      <w:sz w:val="21"/>
      <w:szCs w:val="24"/>
    </w:rPr>
  </w:style>
  <w:style w:type="paragraph" w:customStyle="1" w:styleId="2163">
    <w:name w:val="图表头"/>
    <w:basedOn w:val="1"/>
    <w:link w:val="2162"/>
    <w:qFormat/>
    <w:uiPriority w:val="0"/>
    <w:pPr>
      <w:tabs>
        <w:tab w:val="clear" w:pos="480"/>
      </w:tabs>
      <w:adjustRightInd w:val="0"/>
      <w:jc w:val="center"/>
      <w:textAlignment w:val="baseline"/>
    </w:pPr>
    <w:rPr>
      <w:rFonts w:ascii="黑体" w:eastAsia="黑体"/>
      <w:spacing w:val="5"/>
      <w:kern w:val="0"/>
      <w:sz w:val="21"/>
      <w:lang w:val="zh-CN"/>
    </w:rPr>
  </w:style>
  <w:style w:type="paragraph" w:customStyle="1" w:styleId="2164">
    <w:name w:val="Char Char Char Char Char Char Char Char Char Char Char Char Char Char Char Char Char Char Char Char Char Char Char Char Char Char Char Char Char Char Char2"/>
    <w:basedOn w:val="1"/>
    <w:qFormat/>
    <w:uiPriority w:val="0"/>
    <w:pPr>
      <w:tabs>
        <w:tab w:val="clear" w:pos="480"/>
      </w:tabs>
      <w:spacing w:line="240" w:lineRule="auto"/>
    </w:pPr>
    <w:rPr>
      <w:sz w:val="21"/>
      <w:szCs w:val="20"/>
    </w:rPr>
  </w:style>
  <w:style w:type="paragraph" w:customStyle="1" w:styleId="2165">
    <w:name w:val="Char Char Char Char Char Char Char Char Char Char Char Char Char Char Char Char Char Char Char Char Char Char Char Char Char Char Char Char Char Char Char Char Char Char2"/>
    <w:basedOn w:val="1"/>
    <w:qFormat/>
    <w:uiPriority w:val="0"/>
    <w:pPr>
      <w:tabs>
        <w:tab w:val="clear" w:pos="480"/>
      </w:tabs>
      <w:spacing w:line="240" w:lineRule="auto"/>
    </w:pPr>
    <w:rPr>
      <w:sz w:val="21"/>
      <w:szCs w:val="20"/>
    </w:rPr>
  </w:style>
  <w:style w:type="paragraph" w:customStyle="1" w:styleId="2166">
    <w:name w:val="Char Char Char Char Char Char Char Char Char Char Char Char Char Char Char Char Char Char Char Char Char Char2"/>
    <w:basedOn w:val="1"/>
    <w:qFormat/>
    <w:uiPriority w:val="0"/>
    <w:pPr>
      <w:tabs>
        <w:tab w:val="clear" w:pos="480"/>
      </w:tabs>
      <w:spacing w:line="240" w:lineRule="auto"/>
      <w:ind w:firstLine="468" w:firstLineChars="195"/>
    </w:pPr>
    <w:rPr>
      <w:sz w:val="21"/>
      <w:szCs w:val="20"/>
    </w:rPr>
  </w:style>
  <w:style w:type="paragraph" w:customStyle="1" w:styleId="2167">
    <w:name w:val="Char22"/>
    <w:basedOn w:val="1"/>
    <w:semiHidden/>
    <w:qFormat/>
    <w:uiPriority w:val="0"/>
    <w:pPr>
      <w:tabs>
        <w:tab w:val="clear" w:pos="480"/>
      </w:tabs>
    </w:pPr>
    <w:rPr>
      <w:rFonts w:ascii="宋体" w:hAnsi="宋体" w:cs="宋体"/>
    </w:rPr>
  </w:style>
  <w:style w:type="character" w:customStyle="1" w:styleId="2168">
    <w:name w:val="Char Char11"/>
    <w:qFormat/>
    <w:uiPriority w:val="0"/>
    <w:rPr>
      <w:sz w:val="18"/>
      <w:szCs w:val="18"/>
    </w:rPr>
  </w:style>
  <w:style w:type="paragraph" w:customStyle="1" w:styleId="2169">
    <w:name w:val="Char Char Char Char Char Char Char Char Char Char Char Char Char1"/>
    <w:basedOn w:val="1"/>
    <w:semiHidden/>
    <w:qFormat/>
    <w:uiPriority w:val="0"/>
    <w:pPr>
      <w:tabs>
        <w:tab w:val="clear" w:pos="480"/>
      </w:tabs>
      <w:spacing w:line="240" w:lineRule="auto"/>
    </w:pPr>
  </w:style>
  <w:style w:type="paragraph" w:customStyle="1" w:styleId="2170">
    <w:name w:val="Char Char Char Char Char Char Char Char Char Char Char Char Char Char Char Char1"/>
    <w:basedOn w:val="1"/>
    <w:semiHidden/>
    <w:qFormat/>
    <w:uiPriority w:val="0"/>
    <w:pPr>
      <w:tabs>
        <w:tab w:val="clear" w:pos="480"/>
      </w:tabs>
      <w:spacing w:line="240" w:lineRule="auto"/>
    </w:pPr>
    <w:rPr>
      <w:sz w:val="21"/>
    </w:rPr>
  </w:style>
  <w:style w:type="paragraph" w:customStyle="1" w:styleId="2171">
    <w:name w:val="Char Char Char Char Char Char Char Char Char Char Char Char Char Char Char Char Char Char Char Char Char Char1"/>
    <w:basedOn w:val="1"/>
    <w:semiHidden/>
    <w:qFormat/>
    <w:uiPriority w:val="0"/>
    <w:pPr>
      <w:tabs>
        <w:tab w:val="clear" w:pos="480"/>
      </w:tabs>
      <w:spacing w:line="240" w:lineRule="auto"/>
      <w:ind w:firstLine="468" w:firstLineChars="195"/>
    </w:pPr>
    <w:rPr>
      <w:sz w:val="21"/>
    </w:rPr>
  </w:style>
  <w:style w:type="paragraph" w:customStyle="1" w:styleId="2172">
    <w:name w:val="Char Char Char Char Char Char Char Char Char Char Char Char Char Char Char Char Char Char Char Char Char Char Char Char Char Char Char Char Char Char Char Char Char Char1"/>
    <w:basedOn w:val="1"/>
    <w:semiHidden/>
    <w:qFormat/>
    <w:uiPriority w:val="0"/>
    <w:pPr>
      <w:tabs>
        <w:tab w:val="clear" w:pos="480"/>
      </w:tabs>
      <w:spacing w:line="240" w:lineRule="auto"/>
    </w:pPr>
    <w:rPr>
      <w:sz w:val="21"/>
    </w:rPr>
  </w:style>
  <w:style w:type="paragraph" w:customStyle="1" w:styleId="2173">
    <w:name w:val="Char Char Char Char Char Char Char Char Char Char Char Char Char Char Char Char Char Char Char Char Char Char Char Char Char Char Char Char Char Char Char1"/>
    <w:basedOn w:val="1"/>
    <w:semiHidden/>
    <w:qFormat/>
    <w:uiPriority w:val="0"/>
    <w:pPr>
      <w:tabs>
        <w:tab w:val="clear" w:pos="480"/>
      </w:tabs>
      <w:spacing w:line="240" w:lineRule="auto"/>
    </w:pPr>
    <w:rPr>
      <w:sz w:val="21"/>
    </w:rPr>
  </w:style>
  <w:style w:type="paragraph" w:customStyle="1" w:styleId="2174">
    <w:name w:val="Char Char Char1 Char Char Char Char Char1"/>
    <w:basedOn w:val="1"/>
    <w:semiHidden/>
    <w:qFormat/>
    <w:uiPriority w:val="0"/>
    <w:pPr>
      <w:tabs>
        <w:tab w:val="clear" w:pos="480"/>
      </w:tabs>
      <w:spacing w:line="240" w:lineRule="auto"/>
    </w:pPr>
    <w:rPr>
      <w:sz w:val="21"/>
    </w:rPr>
  </w:style>
  <w:style w:type="paragraph" w:customStyle="1" w:styleId="2175">
    <w:name w:val="Char Char Char Char Char Char Char Char Char Char Char Char Char Char Char Char Char Char Char1"/>
    <w:basedOn w:val="1"/>
    <w:semiHidden/>
    <w:qFormat/>
    <w:uiPriority w:val="0"/>
    <w:pPr>
      <w:tabs>
        <w:tab w:val="clear" w:pos="480"/>
      </w:tabs>
      <w:adjustRightInd w:val="0"/>
      <w:spacing w:line="360" w:lineRule="atLeast"/>
      <w:textAlignment w:val="baseline"/>
    </w:pPr>
  </w:style>
  <w:style w:type="paragraph" w:customStyle="1" w:styleId="2176">
    <w:name w:val="Char Char Char Char Char Char Char Char Char1 Char1"/>
    <w:basedOn w:val="1"/>
    <w:semiHidden/>
    <w:qFormat/>
    <w:uiPriority w:val="0"/>
    <w:pPr>
      <w:tabs>
        <w:tab w:val="clear" w:pos="480"/>
      </w:tabs>
      <w:spacing w:line="240" w:lineRule="auto"/>
    </w:pPr>
  </w:style>
  <w:style w:type="paragraph" w:customStyle="1" w:styleId="2177">
    <w:name w:val="Char Char Char Char Char Char Char Char Char Char Char Char Char Char Char Char Char Char Char Char Char Char Char Char Char Char Char Char Char Char Char Char Char Char Char Char Char Char Char Char Char Char Char Char Char Char Char Char1"/>
    <w:basedOn w:val="1"/>
    <w:semiHidden/>
    <w:qFormat/>
    <w:uiPriority w:val="0"/>
    <w:pPr>
      <w:tabs>
        <w:tab w:val="clear" w:pos="480"/>
      </w:tabs>
      <w:spacing w:line="240" w:lineRule="auto"/>
    </w:pPr>
    <w:rPr>
      <w:sz w:val="21"/>
    </w:rPr>
  </w:style>
  <w:style w:type="paragraph" w:customStyle="1" w:styleId="2178">
    <w:name w:val="Char1 Char Char Char1 Char Char Char1"/>
    <w:basedOn w:val="1"/>
    <w:qFormat/>
    <w:uiPriority w:val="0"/>
    <w:pPr>
      <w:tabs>
        <w:tab w:val="clear" w:pos="480"/>
      </w:tabs>
    </w:pPr>
    <w:rPr>
      <w:rFonts w:ascii="宋体" w:hAnsi="宋体" w:cs="宋体"/>
    </w:rPr>
  </w:style>
  <w:style w:type="paragraph" w:customStyle="1" w:styleId="2179">
    <w:name w:val="修订1"/>
    <w:hidden/>
    <w:semiHidden/>
    <w:qFormat/>
    <w:uiPriority w:val="99"/>
    <w:pPr>
      <w:jc w:val="center"/>
    </w:pPr>
    <w:rPr>
      <w:rFonts w:ascii="Times New Roman" w:hAnsi="Times New Roman" w:eastAsia="宋体" w:cs="Times New Roman"/>
      <w:kern w:val="2"/>
      <w:sz w:val="21"/>
      <w:szCs w:val="24"/>
      <w:lang w:val="en-US" w:eastAsia="zh-CN" w:bidi="ar-SA"/>
    </w:rPr>
  </w:style>
  <w:style w:type="character" w:customStyle="1" w:styleId="2180">
    <w:name w:val="样式 楷体_GB2312 黑色"/>
    <w:qFormat/>
    <w:uiPriority w:val="0"/>
    <w:rPr>
      <w:rFonts w:ascii="楷体_GB2312" w:hAnsi="宋体" w:eastAsia="楷体_GB2312"/>
      <w:b/>
      <w:color w:val="000000"/>
      <w:sz w:val="24"/>
      <w:lang w:val="en-US" w:eastAsia="zh-CN"/>
    </w:rPr>
  </w:style>
  <w:style w:type="paragraph" w:customStyle="1" w:styleId="2181">
    <w:name w:val="Char Char Char Char Char Char1 Char Char Char Char"/>
    <w:basedOn w:val="1"/>
    <w:qFormat/>
    <w:uiPriority w:val="0"/>
    <w:pPr>
      <w:tabs>
        <w:tab w:val="clear" w:pos="480"/>
      </w:tabs>
      <w:spacing w:line="240" w:lineRule="auto"/>
    </w:pPr>
    <w:rPr>
      <w:sz w:val="21"/>
    </w:rPr>
  </w:style>
  <w:style w:type="paragraph" w:customStyle="1" w:styleId="2182">
    <w:name w:val="表格，内容"/>
    <w:basedOn w:val="1"/>
    <w:qFormat/>
    <w:uiPriority w:val="0"/>
    <w:pPr>
      <w:tabs>
        <w:tab w:val="clear" w:pos="480"/>
      </w:tabs>
      <w:spacing w:line="240" w:lineRule="auto"/>
      <w:jc w:val="center"/>
    </w:pPr>
    <w:rPr>
      <w:spacing w:val="10"/>
      <w:kern w:val="44"/>
      <w:sz w:val="21"/>
    </w:rPr>
  </w:style>
  <w:style w:type="paragraph" w:customStyle="1" w:styleId="2183">
    <w:name w:val="样式 标题 33级标题小节名小节Char Char标题 33标题 13条标题1.1.1(F4)标题 3 Cha...1"/>
    <w:basedOn w:val="4"/>
    <w:qFormat/>
    <w:uiPriority w:val="0"/>
    <w:pPr>
      <w:tabs>
        <w:tab w:val="left" w:pos="720"/>
        <w:tab w:val="clear" w:pos="480"/>
        <w:tab w:val="clear" w:pos="840"/>
      </w:tabs>
      <w:spacing w:before="0" w:after="0" w:line="720" w:lineRule="exact"/>
      <w:ind w:left="720" w:hanging="720"/>
    </w:pPr>
    <w:rPr>
      <w:rFonts w:ascii="Times New Roman" w:eastAsia="黑体"/>
      <w:b w:val="0"/>
      <w:bCs w:val="0"/>
      <w:snapToGrid w:val="0"/>
      <w:color w:val="0000FF"/>
      <w:kern w:val="0"/>
      <w:sz w:val="28"/>
      <w:szCs w:val="28"/>
    </w:rPr>
  </w:style>
  <w:style w:type="paragraph" w:customStyle="1" w:styleId="2184">
    <w:name w:val="样式 标题 1章标题-*+！标题 1章 + (中文) 宋体 (符号) 宋体 蓝色"/>
    <w:basedOn w:val="2"/>
    <w:qFormat/>
    <w:uiPriority w:val="0"/>
    <w:pPr>
      <w:tabs>
        <w:tab w:val="left" w:pos="1200"/>
        <w:tab w:val="clear" w:pos="480"/>
      </w:tabs>
      <w:adjustRightInd w:val="0"/>
      <w:spacing w:before="0" w:after="0" w:line="1200" w:lineRule="exact"/>
      <w:jc w:val="center"/>
    </w:pPr>
    <w:rPr>
      <w:rFonts w:ascii="Times New Roman" w:eastAsia="黑体"/>
      <w:b w:val="0"/>
      <w:bCs w:val="0"/>
      <w:color w:val="0000FF"/>
      <w:sz w:val="48"/>
      <w:szCs w:val="36"/>
    </w:rPr>
  </w:style>
  <w:style w:type="paragraph" w:customStyle="1" w:styleId="2185">
    <w:name w:val="样式 标题 22级标题节标题 1.1H2（一）Underrubrik1prop2Heading 2 Hidden..."/>
    <w:basedOn w:val="3"/>
    <w:qFormat/>
    <w:uiPriority w:val="0"/>
    <w:pPr>
      <w:tabs>
        <w:tab w:val="clear" w:pos="480"/>
        <w:tab w:val="clear" w:pos="630"/>
      </w:tabs>
      <w:spacing w:before="0" w:after="0" w:line="960" w:lineRule="exact"/>
    </w:pPr>
    <w:rPr>
      <w:rFonts w:eastAsia="黑体"/>
      <w:b w:val="0"/>
      <w:bCs w:val="0"/>
      <w:color w:val="0000FF"/>
    </w:rPr>
  </w:style>
  <w:style w:type="paragraph" w:customStyle="1" w:styleId="2186">
    <w:name w:val="样式 标题 33级标题小节名小节Char Char标题 33标题 13条标题1.1.1(F4)标题 3 Cha..."/>
    <w:basedOn w:val="4"/>
    <w:qFormat/>
    <w:uiPriority w:val="0"/>
    <w:pPr>
      <w:tabs>
        <w:tab w:val="left" w:pos="720"/>
        <w:tab w:val="clear" w:pos="480"/>
        <w:tab w:val="clear" w:pos="840"/>
      </w:tabs>
      <w:spacing w:before="0" w:after="0" w:line="720" w:lineRule="exact"/>
      <w:ind w:left="720" w:hanging="720"/>
    </w:pPr>
    <w:rPr>
      <w:rFonts w:ascii="Times New Roman" w:eastAsia="黑体"/>
      <w:b w:val="0"/>
      <w:bCs w:val="0"/>
      <w:snapToGrid w:val="0"/>
      <w:color w:val="0000FF"/>
      <w:kern w:val="0"/>
      <w:sz w:val="28"/>
      <w:szCs w:val="28"/>
    </w:rPr>
  </w:style>
  <w:style w:type="paragraph" w:customStyle="1" w:styleId="2187">
    <w:name w:val="样式 标题 4四style4标题 4 Char款标题1.1.1.1h4H4Fab-4T5PIM 4Ref H..."/>
    <w:basedOn w:val="5"/>
    <w:qFormat/>
    <w:uiPriority w:val="0"/>
    <w:pPr>
      <w:tabs>
        <w:tab w:val="left" w:pos="1177"/>
        <w:tab w:val="clear" w:pos="480"/>
      </w:tabs>
      <w:adjustRightInd w:val="0"/>
      <w:spacing w:before="0" w:after="0" w:line="520" w:lineRule="exact"/>
      <w:ind w:left="1177" w:hanging="862"/>
    </w:pPr>
    <w:rPr>
      <w:rFonts w:ascii="Times New Roman" w:hAnsi="Times New Roman" w:eastAsia="黑体"/>
      <w:b w:val="0"/>
      <w:bCs w:val="0"/>
      <w:color w:val="0000FF"/>
      <w:sz w:val="24"/>
      <w:szCs w:val="24"/>
    </w:rPr>
  </w:style>
  <w:style w:type="paragraph" w:customStyle="1" w:styleId="2188">
    <w:name w:val="顺德 图题注 + 居中"/>
    <w:basedOn w:val="21"/>
    <w:qFormat/>
    <w:uiPriority w:val="0"/>
    <w:pPr>
      <w:widowControl w:val="0"/>
      <w:tabs>
        <w:tab w:val="left" w:pos="5660"/>
      </w:tabs>
      <w:adjustRightInd/>
      <w:snapToGrid/>
      <w:spacing w:line="240" w:lineRule="auto"/>
      <w:ind w:firstLine="0" w:firstLineChars="0"/>
    </w:pPr>
    <w:rPr>
      <w:rFonts w:ascii="宋体" w:hAnsi="宋体"/>
      <w:sz w:val="21"/>
      <w:szCs w:val="21"/>
    </w:rPr>
  </w:style>
  <w:style w:type="character" w:customStyle="1" w:styleId="2189">
    <w:name w:val="文字缩进 Char Char"/>
    <w:qFormat/>
    <w:uiPriority w:val="0"/>
    <w:rPr>
      <w:rFonts w:ascii="宋体" w:hAnsi="Courier New" w:eastAsia="宋体"/>
      <w:kern w:val="2"/>
      <w:sz w:val="28"/>
      <w:lang w:val="en-US" w:eastAsia="zh-CN" w:bidi="ar-SA"/>
    </w:rPr>
  </w:style>
  <w:style w:type="paragraph" w:customStyle="1" w:styleId="2190">
    <w:name w:val="文字主体 Char"/>
    <w:link w:val="2191"/>
    <w:qFormat/>
    <w:uiPriority w:val="0"/>
    <w:pPr>
      <w:spacing w:line="432" w:lineRule="auto"/>
      <w:ind w:firstLine="480" w:firstLineChars="200"/>
    </w:pPr>
    <w:rPr>
      <w:rFonts w:ascii="Times New Roman" w:hAnsi="Times New Roman" w:eastAsia="宋体" w:cs="Times New Roman"/>
      <w:kern w:val="2"/>
      <w:sz w:val="24"/>
      <w:szCs w:val="24"/>
      <w:lang w:val="en-US" w:eastAsia="zh-CN" w:bidi="ar-SA"/>
    </w:rPr>
  </w:style>
  <w:style w:type="character" w:customStyle="1" w:styleId="2191">
    <w:name w:val="文字主体 Char Char"/>
    <w:link w:val="2190"/>
    <w:qFormat/>
    <w:uiPriority w:val="0"/>
    <w:rPr>
      <w:sz w:val="24"/>
      <w:szCs w:val="24"/>
      <w:lang w:val="en-US" w:eastAsia="zh-CN" w:bidi="ar-SA"/>
    </w:rPr>
  </w:style>
  <w:style w:type="paragraph" w:customStyle="1" w:styleId="2192">
    <w:name w:val="Char Char Char1 Char Char Char Char Char Char Char Char Char Char Char Char Char Char Char Char Char Char Char1"/>
    <w:basedOn w:val="1"/>
    <w:qFormat/>
    <w:uiPriority w:val="0"/>
    <w:pPr>
      <w:tabs>
        <w:tab w:val="clear" w:pos="480"/>
      </w:tabs>
      <w:spacing w:line="240" w:lineRule="auto"/>
    </w:pPr>
  </w:style>
  <w:style w:type="character" w:customStyle="1" w:styleId="2193">
    <w:name w:val="表头1 Char"/>
    <w:link w:val="915"/>
    <w:qFormat/>
    <w:uiPriority w:val="0"/>
    <w:rPr>
      <w:rFonts w:ascii="黑体" w:eastAsia="黑体"/>
      <w:sz w:val="24"/>
      <w:lang w:val="en-US" w:eastAsia="zh-CN" w:bidi="ar-SA"/>
    </w:rPr>
  </w:style>
  <w:style w:type="paragraph" w:customStyle="1" w:styleId="2194">
    <w:name w:val="正文新 Char"/>
    <w:basedOn w:val="1"/>
    <w:qFormat/>
    <w:uiPriority w:val="0"/>
    <w:pPr>
      <w:tabs>
        <w:tab w:val="clear" w:pos="480"/>
      </w:tabs>
    </w:pPr>
    <w:rPr>
      <w:szCs w:val="20"/>
    </w:rPr>
  </w:style>
  <w:style w:type="paragraph" w:customStyle="1" w:styleId="2195">
    <w:name w:val="表序号"/>
    <w:basedOn w:val="2"/>
    <w:next w:val="1"/>
    <w:qFormat/>
    <w:uiPriority w:val="0"/>
    <w:pPr>
      <w:numPr>
        <w:numId w:val="0"/>
      </w:numPr>
      <w:tabs>
        <w:tab w:val="left" w:pos="360"/>
        <w:tab w:val="clear" w:pos="480"/>
      </w:tabs>
      <w:spacing w:before="0" w:after="0"/>
      <w:ind w:left="1134" w:hanging="1134"/>
      <w:jc w:val="center"/>
    </w:pPr>
    <w:rPr>
      <w:rFonts w:hAnsi="宋体"/>
      <w:b w:val="0"/>
      <w:bCs w:val="0"/>
      <w:sz w:val="28"/>
      <w:szCs w:val="24"/>
    </w:rPr>
  </w:style>
  <w:style w:type="paragraph" w:customStyle="1" w:styleId="2196">
    <w:name w:val="小四表文左齐"/>
    <w:basedOn w:val="1"/>
    <w:qFormat/>
    <w:uiPriority w:val="0"/>
    <w:pPr>
      <w:tabs>
        <w:tab w:val="clear" w:pos="480"/>
      </w:tabs>
      <w:spacing w:line="240" w:lineRule="auto"/>
      <w:jc w:val="center"/>
    </w:pPr>
    <w:rPr>
      <w:rFonts w:ascii="仿宋_GB2312" w:eastAsia="仿宋_GB2312"/>
      <w:sz w:val="21"/>
    </w:rPr>
  </w:style>
  <w:style w:type="paragraph" w:customStyle="1" w:styleId="2197">
    <w:name w:val="公式样式1"/>
    <w:basedOn w:val="1"/>
    <w:qFormat/>
    <w:uiPriority w:val="0"/>
    <w:pPr>
      <w:tabs>
        <w:tab w:val="clear" w:pos="480"/>
      </w:tabs>
      <w:ind w:firstLine="235" w:firstLineChars="100"/>
    </w:pPr>
    <w:rPr>
      <w:rFonts w:ascii="宋体" w:hAnsi="Arial Black"/>
      <w:szCs w:val="20"/>
    </w:rPr>
  </w:style>
  <w:style w:type="paragraph" w:customStyle="1" w:styleId="2198">
    <w:name w:val="hc 正文"/>
    <w:basedOn w:val="1"/>
    <w:link w:val="2199"/>
    <w:qFormat/>
    <w:uiPriority w:val="0"/>
    <w:pPr>
      <w:tabs>
        <w:tab w:val="clear" w:pos="480"/>
      </w:tabs>
      <w:spacing w:before="156"/>
      <w:ind w:firstLine="560"/>
    </w:pPr>
    <w:rPr>
      <w:rFonts w:ascii="宋体" w:cs="宋体"/>
      <w:sz w:val="28"/>
      <w:szCs w:val="20"/>
    </w:rPr>
  </w:style>
  <w:style w:type="character" w:customStyle="1" w:styleId="2199">
    <w:name w:val="hc 正文 Char"/>
    <w:link w:val="2198"/>
    <w:qFormat/>
    <w:uiPriority w:val="0"/>
    <w:rPr>
      <w:rFonts w:ascii="宋体" w:eastAsia="宋体" w:cs="宋体"/>
      <w:kern w:val="2"/>
      <w:sz w:val="28"/>
      <w:lang w:val="en-US" w:eastAsia="zh-CN" w:bidi="ar-SA"/>
    </w:rPr>
  </w:style>
  <w:style w:type="paragraph" w:customStyle="1" w:styleId="2200">
    <w:name w:val="样式 样式 正文首行缩进 + 首行缩进:  2 字符 + 首行缩进:  2 字符"/>
    <w:basedOn w:val="1"/>
    <w:qFormat/>
    <w:uiPriority w:val="0"/>
    <w:pPr>
      <w:tabs>
        <w:tab w:val="clear" w:pos="480"/>
      </w:tabs>
      <w:topLinePunct/>
      <w:adjustRightInd w:val="0"/>
      <w:snapToGrid w:val="0"/>
      <w:ind w:firstLine="480"/>
      <w:textAlignment w:val="baseline"/>
    </w:pPr>
    <w:rPr>
      <w:rFonts w:hAnsi="宋体" w:eastAsia="Times New Roman"/>
      <w:kern w:val="0"/>
      <w:szCs w:val="20"/>
    </w:rPr>
  </w:style>
  <w:style w:type="paragraph" w:customStyle="1" w:styleId="2201">
    <w:name w:val="表头（铸造）3"/>
    <w:basedOn w:val="1"/>
    <w:qFormat/>
    <w:uiPriority w:val="0"/>
    <w:pPr>
      <w:tabs>
        <w:tab w:val="clear" w:pos="480"/>
      </w:tabs>
      <w:jc w:val="center"/>
    </w:pPr>
    <w:rPr>
      <w:rFonts w:eastAsia="方正宋黑简体"/>
      <w:b/>
    </w:rPr>
  </w:style>
  <w:style w:type="paragraph" w:customStyle="1" w:styleId="2202">
    <w:name w:val="样式 正文新 Char + 首行缩进:  2 字符"/>
    <w:basedOn w:val="1"/>
    <w:qFormat/>
    <w:uiPriority w:val="0"/>
    <w:pPr>
      <w:tabs>
        <w:tab w:val="clear" w:pos="480"/>
      </w:tabs>
      <w:ind w:firstLine="480"/>
    </w:pPr>
    <w:rPr>
      <w:szCs w:val="20"/>
    </w:rPr>
  </w:style>
  <w:style w:type="paragraph" w:customStyle="1" w:styleId="2203">
    <w:name w:val="样式 标题 2节 + (符号) Arial Black 小四"/>
    <w:basedOn w:val="4"/>
    <w:qFormat/>
    <w:uiPriority w:val="0"/>
    <w:pPr>
      <w:numPr>
        <w:ilvl w:val="0"/>
        <w:numId w:val="0"/>
      </w:numPr>
      <w:tabs>
        <w:tab w:val="clear" w:pos="480"/>
        <w:tab w:val="clear" w:pos="840"/>
      </w:tabs>
      <w:spacing w:beforeLines="50" w:after="0" w:line="360" w:lineRule="auto"/>
      <w:ind w:left="142"/>
    </w:pPr>
    <w:rPr>
      <w:rFonts w:ascii="黑体" w:hAnsi="Arial Black" w:eastAsia="黑体"/>
      <w:bCs w:val="0"/>
      <w:kern w:val="21"/>
      <w:sz w:val="24"/>
      <w:szCs w:val="20"/>
    </w:rPr>
  </w:style>
  <w:style w:type="paragraph" w:customStyle="1" w:styleId="2204">
    <w:name w:val="小五表文"/>
    <w:qFormat/>
    <w:uiPriority w:val="0"/>
    <w:pPr>
      <w:widowControl w:val="0"/>
      <w:jc w:val="center"/>
    </w:pPr>
    <w:rPr>
      <w:rFonts w:ascii="Times New Roman" w:hAnsi="Times New Roman" w:eastAsia="宋体" w:cs="Times New Roman"/>
      <w:kern w:val="2"/>
      <w:sz w:val="21"/>
      <w:szCs w:val="24"/>
      <w:lang w:val="en-US" w:eastAsia="zh-CN" w:bidi="ar-SA"/>
    </w:rPr>
  </w:style>
  <w:style w:type="paragraph" w:customStyle="1" w:styleId="2205">
    <w:name w:val="图框文"/>
    <w:basedOn w:val="1"/>
    <w:qFormat/>
    <w:uiPriority w:val="0"/>
    <w:pPr>
      <w:tabs>
        <w:tab w:val="clear" w:pos="480"/>
      </w:tabs>
      <w:kinsoku w:val="0"/>
      <w:wordWrap w:val="0"/>
      <w:overflowPunct w:val="0"/>
      <w:autoSpaceDE w:val="0"/>
      <w:autoSpaceDN w:val="0"/>
      <w:spacing w:line="0" w:lineRule="atLeast"/>
      <w:jc w:val="center"/>
    </w:pPr>
    <w:rPr>
      <w:rFonts w:ascii="仿宋_GB2312"/>
      <w:szCs w:val="20"/>
    </w:rPr>
  </w:style>
  <w:style w:type="paragraph" w:customStyle="1" w:styleId="2206">
    <w:name w:val="普通(Web)"/>
    <w:basedOn w:val="1"/>
    <w:qFormat/>
    <w:uiPriority w:val="0"/>
    <w:pPr>
      <w:widowControl/>
      <w:tabs>
        <w:tab w:val="clear" w:pos="480"/>
      </w:tabs>
      <w:spacing w:before="100" w:beforeAutospacing="1" w:after="100" w:afterAutospacing="1" w:line="240" w:lineRule="auto"/>
      <w:jc w:val="left"/>
    </w:pPr>
    <w:rPr>
      <w:rFonts w:ascii="宋体" w:hAnsi="宋体" w:cs="Century"/>
      <w:kern w:val="0"/>
    </w:rPr>
  </w:style>
  <w:style w:type="character" w:customStyle="1" w:styleId="2207">
    <w:name w:val="unnamed11"/>
    <w:qFormat/>
    <w:uiPriority w:val="0"/>
    <w:rPr>
      <w:sz w:val="18"/>
      <w:szCs w:val="18"/>
    </w:rPr>
  </w:style>
  <w:style w:type="paragraph" w:customStyle="1" w:styleId="2208">
    <w:name w:val="小四宋居中1.0"/>
    <w:basedOn w:val="1"/>
    <w:next w:val="1"/>
    <w:qFormat/>
    <w:uiPriority w:val="0"/>
    <w:pPr>
      <w:tabs>
        <w:tab w:val="clear" w:pos="480"/>
      </w:tabs>
      <w:adjustRightInd w:val="0"/>
      <w:ind w:firstLine="425"/>
      <w:jc w:val="center"/>
      <w:textAlignment w:val="baseline"/>
    </w:pPr>
    <w:rPr>
      <w:rFonts w:ascii="宋体" w:hAnsi="Arial Black"/>
      <w:szCs w:val="20"/>
    </w:rPr>
  </w:style>
  <w:style w:type="paragraph" w:customStyle="1" w:styleId="2209">
    <w:name w:val="正文2002"/>
    <w:basedOn w:val="1"/>
    <w:qFormat/>
    <w:uiPriority w:val="0"/>
    <w:pPr>
      <w:tabs>
        <w:tab w:val="clear" w:pos="480"/>
      </w:tabs>
      <w:spacing w:line="240" w:lineRule="auto"/>
    </w:pPr>
    <w:rPr>
      <w:sz w:val="21"/>
    </w:rPr>
  </w:style>
  <w:style w:type="paragraph" w:customStyle="1" w:styleId="2210">
    <w:name w:val="正文宋体小四"/>
    <w:basedOn w:val="1"/>
    <w:qFormat/>
    <w:uiPriority w:val="0"/>
    <w:pPr>
      <w:tabs>
        <w:tab w:val="clear" w:pos="480"/>
      </w:tabs>
      <w:ind w:firstLine="480"/>
    </w:pPr>
  </w:style>
  <w:style w:type="paragraph" w:customStyle="1" w:styleId="2211">
    <w:name w:val="正文新 Char Char1"/>
    <w:basedOn w:val="1"/>
    <w:qFormat/>
    <w:uiPriority w:val="0"/>
    <w:pPr>
      <w:tabs>
        <w:tab w:val="clear" w:pos="480"/>
      </w:tabs>
      <w:ind w:firstLine="480"/>
    </w:pPr>
    <w:rPr>
      <w:szCs w:val="20"/>
    </w:rPr>
  </w:style>
  <w:style w:type="character" w:customStyle="1" w:styleId="2212">
    <w:name w:val="标题 6 Char Char"/>
    <w:qFormat/>
    <w:uiPriority w:val="0"/>
    <w:rPr>
      <w:rFonts w:eastAsia="楷体_GB2312"/>
      <w:sz w:val="24"/>
      <w:lang w:val="en-US" w:eastAsia="zh-CN" w:bidi="ar-SA"/>
    </w:rPr>
  </w:style>
  <w:style w:type="character" w:customStyle="1" w:styleId="2213">
    <w:name w:val="正文新 Char Char"/>
    <w:qFormat/>
    <w:uiPriority w:val="0"/>
    <w:rPr>
      <w:rFonts w:eastAsia="宋体" w:cs="宋体"/>
      <w:kern w:val="2"/>
      <w:sz w:val="24"/>
      <w:lang w:val="en-US" w:eastAsia="zh-CN" w:bidi="ar-SA"/>
    </w:rPr>
  </w:style>
  <w:style w:type="character" w:customStyle="1" w:styleId="2214">
    <w:name w:val="样式 正文（首行缩进两字） + (符号) 宋体 Char"/>
    <w:qFormat/>
    <w:uiPriority w:val="0"/>
    <w:rPr>
      <w:rFonts w:ascii="宋体" w:eastAsia="宋体"/>
      <w:kern w:val="2"/>
      <w:sz w:val="24"/>
      <w:szCs w:val="24"/>
      <w:lang w:val="en-US" w:eastAsia="zh-CN" w:bidi="ar-SA"/>
    </w:rPr>
  </w:style>
  <w:style w:type="paragraph" w:customStyle="1" w:styleId="2215">
    <w:name w:val="Table Title Char1 Char"/>
    <w:basedOn w:val="1"/>
    <w:qFormat/>
    <w:uiPriority w:val="0"/>
    <w:pPr>
      <w:widowControl/>
      <w:tabs>
        <w:tab w:val="clear" w:pos="480"/>
      </w:tabs>
      <w:snapToGrid w:val="0"/>
      <w:spacing w:beforeLines="50" w:afterLines="50" w:line="400" w:lineRule="exact"/>
      <w:jc w:val="center"/>
    </w:pPr>
    <w:rPr>
      <w:rFonts w:eastAsia="Times New Roman"/>
      <w:lang w:eastAsia="en-US"/>
    </w:rPr>
  </w:style>
  <w:style w:type="character" w:customStyle="1" w:styleId="2216">
    <w:name w:val="Table Title Char1 Char Char"/>
    <w:qFormat/>
    <w:uiPriority w:val="0"/>
    <w:rPr>
      <w:rFonts w:eastAsia="宋体"/>
      <w:kern w:val="2"/>
      <w:sz w:val="24"/>
      <w:szCs w:val="24"/>
      <w:lang w:val="en-US" w:eastAsia="en-US" w:bidi="ar-SA"/>
    </w:rPr>
  </w:style>
  <w:style w:type="character" w:customStyle="1" w:styleId="2217">
    <w:name w:val="Table Title Char3"/>
    <w:qFormat/>
    <w:uiPriority w:val="0"/>
    <w:rPr>
      <w:rFonts w:eastAsia="宋体"/>
      <w:kern w:val="2"/>
      <w:sz w:val="24"/>
      <w:szCs w:val="24"/>
      <w:lang w:val="en-US" w:eastAsia="en-US" w:bidi="ar-SA"/>
    </w:rPr>
  </w:style>
  <w:style w:type="paragraph" w:customStyle="1" w:styleId="2218">
    <w:name w:val="Table Title Char1 Char1"/>
    <w:basedOn w:val="1"/>
    <w:qFormat/>
    <w:uiPriority w:val="0"/>
    <w:pPr>
      <w:widowControl/>
      <w:tabs>
        <w:tab w:val="clear" w:pos="480"/>
      </w:tabs>
      <w:snapToGrid w:val="0"/>
      <w:spacing w:beforeLines="50" w:afterLines="50" w:line="400" w:lineRule="exact"/>
      <w:jc w:val="center"/>
    </w:pPr>
    <w:rPr>
      <w:lang w:eastAsia="en-US"/>
    </w:rPr>
  </w:style>
  <w:style w:type="paragraph" w:customStyle="1" w:styleId="2219">
    <w:name w:val="Table Title"/>
    <w:basedOn w:val="1"/>
    <w:qFormat/>
    <w:uiPriority w:val="0"/>
    <w:pPr>
      <w:widowControl/>
      <w:tabs>
        <w:tab w:val="clear" w:pos="480"/>
      </w:tabs>
      <w:snapToGrid w:val="0"/>
      <w:spacing w:beforeLines="50" w:afterLines="50" w:line="400" w:lineRule="exact"/>
      <w:jc w:val="center"/>
    </w:pPr>
  </w:style>
  <w:style w:type="character" w:customStyle="1" w:styleId="2220">
    <w:name w:val="Table Title Char6"/>
    <w:qFormat/>
    <w:uiPriority w:val="0"/>
    <w:rPr>
      <w:rFonts w:eastAsia="宋体"/>
      <w:kern w:val="2"/>
      <w:sz w:val="24"/>
      <w:szCs w:val="24"/>
      <w:lang w:val="en-US" w:eastAsia="zh-CN" w:bidi="ar-SA"/>
    </w:rPr>
  </w:style>
  <w:style w:type="paragraph" w:customStyle="1" w:styleId="2221">
    <w:name w:val="样式 标题 3 + 段前: 0 磅 段后: 0 磅 行距: 单倍行距"/>
    <w:basedOn w:val="4"/>
    <w:qFormat/>
    <w:uiPriority w:val="0"/>
    <w:pPr>
      <w:numPr>
        <w:ilvl w:val="0"/>
        <w:numId w:val="0"/>
      </w:numPr>
      <w:tabs>
        <w:tab w:val="clear" w:pos="480"/>
        <w:tab w:val="clear" w:pos="840"/>
      </w:tabs>
      <w:spacing w:beforeLines="50" w:after="0" w:line="240" w:lineRule="auto"/>
    </w:pPr>
    <w:rPr>
      <w:rFonts w:ascii="Times New Roman" w:eastAsia="黑体"/>
      <w:b w:val="0"/>
      <w:sz w:val="32"/>
      <w:szCs w:val="20"/>
    </w:rPr>
  </w:style>
  <w:style w:type="paragraph" w:customStyle="1" w:styleId="2222">
    <w:name w:val="括号标题"/>
    <w:basedOn w:val="2"/>
    <w:qFormat/>
    <w:uiPriority w:val="0"/>
    <w:pPr>
      <w:numPr>
        <w:numId w:val="0"/>
      </w:numPr>
      <w:tabs>
        <w:tab w:val="clear" w:pos="480"/>
      </w:tabs>
      <w:spacing w:beforeLines="50" w:afterLines="50"/>
      <w:ind w:firstLine="200" w:firstLineChars="200"/>
    </w:pPr>
    <w:rPr>
      <w:rFonts w:ascii="Times New Roman" w:eastAsia="黑体"/>
      <w:sz w:val="24"/>
    </w:rPr>
  </w:style>
  <w:style w:type="paragraph" w:customStyle="1" w:styleId="2223">
    <w:name w:val="样式 标题 2节H2Heading 2 HiddenHeading 2 CCBSheading 2h2 + 段前: ..."/>
    <w:basedOn w:val="3"/>
    <w:qFormat/>
    <w:uiPriority w:val="0"/>
    <w:pPr>
      <w:numPr>
        <w:ilvl w:val="0"/>
        <w:numId w:val="0"/>
      </w:numPr>
      <w:tabs>
        <w:tab w:val="clear" w:pos="480"/>
        <w:tab w:val="clear" w:pos="630"/>
      </w:tabs>
      <w:spacing w:beforeLines="50" w:after="0"/>
    </w:pPr>
    <w:rPr>
      <w:rFonts w:eastAsia="黑体"/>
      <w:sz w:val="28"/>
      <w:szCs w:val="20"/>
    </w:rPr>
  </w:style>
  <w:style w:type="paragraph" w:customStyle="1" w:styleId="2224">
    <w:name w:val="正文新"/>
    <w:basedOn w:val="1"/>
    <w:qFormat/>
    <w:uiPriority w:val="0"/>
    <w:pPr>
      <w:tabs>
        <w:tab w:val="clear" w:pos="480"/>
      </w:tabs>
      <w:ind w:firstLine="480"/>
    </w:pPr>
    <w:rPr>
      <w:szCs w:val="20"/>
    </w:rPr>
  </w:style>
  <w:style w:type="paragraph" w:customStyle="1" w:styleId="2225">
    <w:name w:val="正文新 Char Char Char"/>
    <w:basedOn w:val="1"/>
    <w:qFormat/>
    <w:uiPriority w:val="0"/>
    <w:pPr>
      <w:tabs>
        <w:tab w:val="clear" w:pos="480"/>
      </w:tabs>
      <w:ind w:firstLine="480"/>
    </w:pPr>
  </w:style>
  <w:style w:type="character" w:customStyle="1" w:styleId="2226">
    <w:name w:val="Table Title Char2"/>
    <w:qFormat/>
    <w:uiPriority w:val="0"/>
    <w:rPr>
      <w:rFonts w:eastAsia="宋体"/>
      <w:kern w:val="2"/>
      <w:sz w:val="24"/>
      <w:szCs w:val="24"/>
      <w:lang w:val="en-US" w:eastAsia="zh-CN" w:bidi="ar-SA"/>
    </w:rPr>
  </w:style>
  <w:style w:type="paragraph" w:customStyle="1" w:styleId="2227">
    <w:name w:val="样式 标题 2节H2Heading 2 HiddenHeading 2 CCBSheading 2h2节标题 + ..."/>
    <w:basedOn w:val="3"/>
    <w:qFormat/>
    <w:uiPriority w:val="0"/>
    <w:pPr>
      <w:numPr>
        <w:ilvl w:val="0"/>
        <w:numId w:val="0"/>
      </w:numPr>
      <w:tabs>
        <w:tab w:val="clear" w:pos="480"/>
        <w:tab w:val="clear" w:pos="630"/>
      </w:tabs>
      <w:spacing w:beforeLines="50" w:after="0"/>
    </w:pPr>
    <w:rPr>
      <w:rFonts w:eastAsia="黑体"/>
      <w:sz w:val="28"/>
      <w:szCs w:val="20"/>
    </w:rPr>
  </w:style>
  <w:style w:type="paragraph" w:customStyle="1" w:styleId="2228">
    <w:name w:val="样式 标题 3小标题 + (中文) 楷体_GB2312 四号 段前: 0 磅 段后: 0 磅 行距: 1.5 倍行距"/>
    <w:basedOn w:val="4"/>
    <w:qFormat/>
    <w:uiPriority w:val="0"/>
    <w:pPr>
      <w:numPr>
        <w:ilvl w:val="0"/>
        <w:numId w:val="0"/>
      </w:numPr>
      <w:tabs>
        <w:tab w:val="clear" w:pos="480"/>
        <w:tab w:val="clear" w:pos="840"/>
      </w:tabs>
      <w:spacing w:beforeLines="50" w:after="0" w:line="360" w:lineRule="auto"/>
    </w:pPr>
    <w:rPr>
      <w:rFonts w:ascii="Times New Roman" w:eastAsia="黑体"/>
      <w:sz w:val="24"/>
      <w:szCs w:val="20"/>
    </w:rPr>
  </w:style>
  <w:style w:type="paragraph" w:customStyle="1" w:styleId="2229">
    <w:name w:val="样式 标题 4 + (西文) Times New Roman (中文) 宋体 小四 非加粗 段前: 7.8 磅 段后:..."/>
    <w:basedOn w:val="5"/>
    <w:qFormat/>
    <w:uiPriority w:val="0"/>
    <w:pPr>
      <w:numPr>
        <w:ilvl w:val="0"/>
        <w:numId w:val="0"/>
      </w:numPr>
      <w:tabs>
        <w:tab w:val="clear" w:pos="480"/>
      </w:tabs>
      <w:spacing w:before="0" w:after="0"/>
    </w:pPr>
    <w:rPr>
      <w:rFonts w:ascii="Times New Roman" w:hAnsi="Times New Roman" w:eastAsia="宋体"/>
      <w:bCs w:val="0"/>
      <w:sz w:val="24"/>
      <w:szCs w:val="20"/>
    </w:rPr>
  </w:style>
  <w:style w:type="paragraph" w:customStyle="1" w:styleId="2230">
    <w:name w:val="Main Para no Chapter #"/>
    <w:basedOn w:val="1"/>
    <w:qFormat/>
    <w:uiPriority w:val="0"/>
    <w:pPr>
      <w:widowControl/>
      <w:tabs>
        <w:tab w:val="clear" w:pos="480"/>
      </w:tabs>
      <w:spacing w:after="240" w:line="240" w:lineRule="auto"/>
      <w:jc w:val="left"/>
      <w:outlineLvl w:val="1"/>
    </w:pPr>
    <w:rPr>
      <w:rFonts w:eastAsia="Times New Roman"/>
      <w:kern w:val="0"/>
      <w:szCs w:val="20"/>
    </w:rPr>
  </w:style>
  <w:style w:type="character" w:customStyle="1" w:styleId="2231">
    <w:name w:val="正文新 Char Char Char Char"/>
    <w:qFormat/>
    <w:uiPriority w:val="0"/>
    <w:rPr>
      <w:rFonts w:eastAsia="宋体" w:cs="宋体"/>
      <w:kern w:val="2"/>
      <w:sz w:val="24"/>
      <w:szCs w:val="24"/>
      <w:lang w:val="en-US" w:eastAsia="zh-CN" w:bidi="ar-SA"/>
    </w:rPr>
  </w:style>
  <w:style w:type="character" w:customStyle="1" w:styleId="2232">
    <w:name w:val="正文新 Char Char Char1"/>
    <w:qFormat/>
    <w:uiPriority w:val="0"/>
    <w:rPr>
      <w:rFonts w:eastAsia="宋体" w:cs="宋体"/>
      <w:kern w:val="2"/>
      <w:sz w:val="24"/>
      <w:lang w:val="en-US" w:eastAsia="zh-CN" w:bidi="ar-SA"/>
    </w:rPr>
  </w:style>
  <w:style w:type="paragraph" w:customStyle="1" w:styleId="2233">
    <w:name w:val="图表内容"/>
    <w:basedOn w:val="1"/>
    <w:qFormat/>
    <w:uiPriority w:val="0"/>
    <w:pPr>
      <w:tabs>
        <w:tab w:val="left" w:pos="7200"/>
        <w:tab w:val="clear" w:pos="480"/>
      </w:tabs>
      <w:spacing w:line="240" w:lineRule="auto"/>
      <w:jc w:val="center"/>
    </w:pPr>
    <w:rPr>
      <w:color w:val="000000"/>
      <w:kern w:val="0"/>
      <w:sz w:val="21"/>
    </w:rPr>
  </w:style>
  <w:style w:type="paragraph" w:customStyle="1" w:styleId="2234">
    <w:name w:val="样式 标题 4 + 首行缩进:  2 字符"/>
    <w:basedOn w:val="5"/>
    <w:qFormat/>
    <w:uiPriority w:val="0"/>
    <w:pPr>
      <w:numPr>
        <w:ilvl w:val="0"/>
        <w:numId w:val="0"/>
      </w:numPr>
      <w:tabs>
        <w:tab w:val="clear" w:pos="480"/>
      </w:tabs>
      <w:spacing w:before="0" w:after="0"/>
    </w:pPr>
    <w:rPr>
      <w:rFonts w:ascii="Times New Roman" w:hAnsi="Times New Roman" w:eastAsia="宋体"/>
      <w:bCs w:val="0"/>
      <w:sz w:val="24"/>
      <w:szCs w:val="20"/>
    </w:rPr>
  </w:style>
  <w:style w:type="paragraph" w:customStyle="1" w:styleId="2235">
    <w:name w:val="小4黑居中行1"/>
    <w:qFormat/>
    <w:uiPriority w:val="0"/>
    <w:pPr>
      <w:spacing w:line="360" w:lineRule="auto"/>
      <w:jc w:val="center"/>
    </w:pPr>
    <w:rPr>
      <w:rFonts w:ascii="Times New Roman" w:hAnsi="Times New Roman" w:eastAsia="宋体" w:cs="Times New Roman"/>
      <w:kern w:val="2"/>
      <w:sz w:val="21"/>
      <w:szCs w:val="24"/>
      <w:lang w:val="en-US" w:eastAsia="zh-CN" w:bidi="ar-SA"/>
    </w:rPr>
  </w:style>
  <w:style w:type="paragraph" w:customStyle="1" w:styleId="2236">
    <w:name w:val="大纲封面"/>
    <w:basedOn w:val="1"/>
    <w:qFormat/>
    <w:uiPriority w:val="0"/>
    <w:pPr>
      <w:tabs>
        <w:tab w:val="clear" w:pos="480"/>
      </w:tabs>
      <w:jc w:val="center"/>
    </w:pPr>
    <w:rPr>
      <w:rFonts w:ascii="宋体" w:eastAsia="楷体_GB2312"/>
      <w:b/>
      <w:spacing w:val="100"/>
      <w:sz w:val="72"/>
      <w:szCs w:val="20"/>
    </w:rPr>
  </w:style>
  <w:style w:type="paragraph" w:customStyle="1" w:styleId="2237">
    <w:name w:val="封面单位"/>
    <w:basedOn w:val="1"/>
    <w:qFormat/>
    <w:uiPriority w:val="0"/>
    <w:pPr>
      <w:tabs>
        <w:tab w:val="right" w:leader="middleDot" w:pos="8222"/>
        <w:tab w:val="clear" w:pos="480"/>
      </w:tabs>
      <w:jc w:val="center"/>
    </w:pPr>
    <w:rPr>
      <w:rFonts w:ascii="楷体_GB2312" w:eastAsia="楷体_GB2312"/>
      <w:b/>
      <w:sz w:val="36"/>
      <w:szCs w:val="20"/>
    </w:rPr>
  </w:style>
  <w:style w:type="paragraph" w:customStyle="1" w:styleId="2238">
    <w:name w:val="我的样式（正文） Char"/>
    <w:basedOn w:val="1"/>
    <w:qFormat/>
    <w:uiPriority w:val="0"/>
    <w:pPr>
      <w:tabs>
        <w:tab w:val="clear" w:pos="480"/>
      </w:tabs>
      <w:spacing w:line="440" w:lineRule="exact"/>
    </w:pPr>
    <w:rPr>
      <w:rFonts w:ascii="宋体" w:hAnsi="华文楷体"/>
      <w:sz w:val="28"/>
      <w:szCs w:val="20"/>
    </w:rPr>
  </w:style>
  <w:style w:type="character" w:customStyle="1" w:styleId="2239">
    <w:name w:val="我的样式（正文） Char Char"/>
    <w:qFormat/>
    <w:uiPriority w:val="0"/>
    <w:rPr>
      <w:rFonts w:ascii="宋体" w:hAnsi="华文楷体" w:eastAsia="宋体"/>
      <w:kern w:val="2"/>
      <w:sz w:val="24"/>
      <w:szCs w:val="24"/>
      <w:lang w:val="en-US" w:eastAsia="zh-CN"/>
    </w:rPr>
  </w:style>
  <w:style w:type="paragraph" w:customStyle="1" w:styleId="2240">
    <w:name w:val="样式 首行缩进:  2 字符 Char Char"/>
    <w:basedOn w:val="1"/>
    <w:qFormat/>
    <w:uiPriority w:val="0"/>
    <w:pPr>
      <w:tabs>
        <w:tab w:val="clear" w:pos="480"/>
      </w:tabs>
      <w:spacing w:line="480" w:lineRule="exact"/>
      <w:ind w:firstLine="560"/>
    </w:pPr>
    <w:rPr>
      <w:kern w:val="28"/>
      <w:sz w:val="28"/>
    </w:rPr>
  </w:style>
  <w:style w:type="paragraph" w:customStyle="1" w:styleId="2241">
    <w:name w:val="dir"/>
    <w:basedOn w:val="1"/>
    <w:qFormat/>
    <w:uiPriority w:val="0"/>
    <w:pPr>
      <w:widowControl/>
      <w:tabs>
        <w:tab w:val="clear" w:pos="480"/>
      </w:tabs>
      <w:spacing w:before="100" w:beforeAutospacing="1" w:after="100" w:afterAutospacing="1" w:line="240" w:lineRule="auto"/>
      <w:jc w:val="left"/>
    </w:pPr>
    <w:rPr>
      <w:rFonts w:hint="eastAsia" w:ascii="宋体" w:hAnsi="宋体"/>
      <w:b/>
      <w:bCs/>
      <w:kern w:val="0"/>
      <w:sz w:val="22"/>
      <w:szCs w:val="22"/>
    </w:rPr>
  </w:style>
  <w:style w:type="paragraph" w:customStyle="1" w:styleId="2242">
    <w:name w:val="标题 3 + 首行缩进:  2 字符"/>
    <w:basedOn w:val="4"/>
    <w:qFormat/>
    <w:uiPriority w:val="0"/>
    <w:pPr>
      <w:numPr>
        <w:ilvl w:val="0"/>
        <w:numId w:val="0"/>
      </w:numPr>
      <w:tabs>
        <w:tab w:val="clear" w:pos="480"/>
        <w:tab w:val="clear" w:pos="840"/>
      </w:tabs>
      <w:snapToGrid w:val="0"/>
      <w:spacing w:after="120" w:line="420" w:lineRule="atLeast"/>
    </w:pPr>
    <w:rPr>
      <w:rFonts w:ascii="Times New Roman" w:eastAsia="楷体_GB2312"/>
      <w:spacing w:val="4"/>
      <w:sz w:val="24"/>
      <w:szCs w:val="20"/>
    </w:rPr>
  </w:style>
  <w:style w:type="paragraph" w:customStyle="1" w:styleId="2243">
    <w:name w:val="样式 标题 2 + (西文) 黑体"/>
    <w:basedOn w:val="3"/>
    <w:qFormat/>
    <w:uiPriority w:val="0"/>
    <w:pPr>
      <w:numPr>
        <w:ilvl w:val="0"/>
        <w:numId w:val="0"/>
      </w:numPr>
      <w:tabs>
        <w:tab w:val="left" w:pos="567"/>
        <w:tab w:val="left" w:pos="840"/>
        <w:tab w:val="left" w:pos="1380"/>
        <w:tab w:val="clear" w:pos="480"/>
        <w:tab w:val="clear" w:pos="630"/>
      </w:tabs>
      <w:snapToGrid w:val="0"/>
      <w:spacing w:before="240" w:line="360" w:lineRule="atLeast"/>
      <w:ind w:left="840" w:hanging="420"/>
      <w:jc w:val="left"/>
    </w:pPr>
    <w:rPr>
      <w:rFonts w:eastAsia="黑体"/>
      <w:spacing w:val="4"/>
      <w:sz w:val="28"/>
      <w:szCs w:val="20"/>
    </w:rPr>
  </w:style>
  <w:style w:type="paragraph" w:customStyle="1" w:styleId="2244">
    <w:name w:val="条题"/>
    <w:basedOn w:val="1"/>
    <w:qFormat/>
    <w:uiPriority w:val="0"/>
    <w:pPr>
      <w:tabs>
        <w:tab w:val="clear" w:pos="480"/>
      </w:tabs>
      <w:spacing w:line="420" w:lineRule="exact"/>
      <w:ind w:firstLine="480"/>
    </w:pPr>
    <w:rPr>
      <w:bCs/>
    </w:rPr>
  </w:style>
  <w:style w:type="paragraph" w:customStyle="1" w:styleId="2245">
    <w:name w:val="表格001"/>
    <w:basedOn w:val="1"/>
    <w:qFormat/>
    <w:uiPriority w:val="0"/>
    <w:pPr>
      <w:tabs>
        <w:tab w:val="clear" w:pos="480"/>
      </w:tabs>
      <w:spacing w:line="240" w:lineRule="auto"/>
      <w:jc w:val="center"/>
    </w:pPr>
    <w:rPr>
      <w:sz w:val="21"/>
      <w:szCs w:val="20"/>
    </w:rPr>
  </w:style>
  <w:style w:type="character" w:customStyle="1" w:styleId="2246">
    <w:name w:val="p141"/>
    <w:qFormat/>
    <w:uiPriority w:val="0"/>
    <w:rPr>
      <w:color w:val="1B1B1B"/>
      <w:sz w:val="21"/>
      <w:szCs w:val="21"/>
    </w:rPr>
  </w:style>
  <w:style w:type="paragraph" w:customStyle="1" w:styleId="2247">
    <w:name w:val="Char Char Char Char Char Char Char Char Char Char Char Char Char Char Char Char Char Char Char Char Char Char Char Char Char Char Char Char1"/>
    <w:basedOn w:val="1"/>
    <w:qFormat/>
    <w:uiPriority w:val="0"/>
    <w:pPr>
      <w:tabs>
        <w:tab w:val="clear" w:pos="480"/>
      </w:tabs>
      <w:spacing w:line="240" w:lineRule="auto"/>
    </w:pPr>
    <w:rPr>
      <w:rFonts w:ascii="Plotter" w:hAnsi="Plotter"/>
      <w:sz w:val="21"/>
      <w:szCs w:val="20"/>
    </w:rPr>
  </w:style>
  <w:style w:type="paragraph" w:customStyle="1" w:styleId="2248">
    <w:name w:val="默认段落字体 Para Char Char Char1 Char Char Char Char Char Char Char Char Char Char"/>
    <w:basedOn w:val="1"/>
    <w:qFormat/>
    <w:uiPriority w:val="0"/>
    <w:pPr>
      <w:tabs>
        <w:tab w:val="clear" w:pos="480"/>
      </w:tabs>
      <w:spacing w:line="240" w:lineRule="auto"/>
    </w:pPr>
  </w:style>
  <w:style w:type="paragraph" w:customStyle="1" w:styleId="2249">
    <w:name w:val="表格内字体"/>
    <w:basedOn w:val="1"/>
    <w:qFormat/>
    <w:uiPriority w:val="0"/>
    <w:pPr>
      <w:tabs>
        <w:tab w:val="clear" w:pos="480"/>
      </w:tabs>
      <w:spacing w:line="240" w:lineRule="exact"/>
      <w:jc w:val="center"/>
    </w:pPr>
    <w:rPr>
      <w:rFonts w:ascii="宋体" w:hAnsi="宋体"/>
      <w:color w:val="000000"/>
      <w:kern w:val="0"/>
      <w:sz w:val="21"/>
      <w:szCs w:val="20"/>
    </w:rPr>
  </w:style>
  <w:style w:type="character" w:customStyle="1" w:styleId="2250">
    <w:name w:val="new_content"/>
    <w:basedOn w:val="133"/>
    <w:qFormat/>
    <w:uiPriority w:val="0"/>
  </w:style>
  <w:style w:type="paragraph" w:customStyle="1" w:styleId="2251">
    <w:name w:val="样式 黑体 居中"/>
    <w:basedOn w:val="1"/>
    <w:qFormat/>
    <w:uiPriority w:val="0"/>
    <w:pPr>
      <w:tabs>
        <w:tab w:val="clear" w:pos="480"/>
      </w:tabs>
      <w:spacing w:line="520" w:lineRule="exact"/>
      <w:jc w:val="center"/>
      <w:textAlignment w:val="center"/>
    </w:pPr>
    <w:rPr>
      <w:rFonts w:ascii="黑体" w:eastAsia="黑体"/>
      <w:snapToGrid w:val="0"/>
      <w:szCs w:val="20"/>
    </w:rPr>
  </w:style>
  <w:style w:type="character" w:customStyle="1" w:styleId="2252">
    <w:name w:val="奇数页眉 Char"/>
    <w:qFormat/>
    <w:uiPriority w:val="0"/>
    <w:rPr>
      <w:rFonts w:ascii="幼圆" w:eastAsia="幼圆"/>
      <w:kern w:val="2"/>
      <w:sz w:val="18"/>
      <w:szCs w:val="18"/>
      <w:lang w:val="en-US" w:eastAsia="zh-CN" w:bidi="ar-SA"/>
    </w:rPr>
  </w:style>
  <w:style w:type="paragraph" w:customStyle="1" w:styleId="2253">
    <w:name w:val="Char Char Char Char Char Char Char Char Char Char Char Char Char Char Char Char Char Char Char Char Char Char Char Char Char Char Char Char Char Char Char Char Char Char Char Char"/>
    <w:basedOn w:val="1"/>
    <w:qFormat/>
    <w:uiPriority w:val="0"/>
    <w:pPr>
      <w:tabs>
        <w:tab w:val="clear" w:pos="480"/>
      </w:tabs>
      <w:spacing w:line="240" w:lineRule="auto"/>
    </w:pPr>
    <w:rPr>
      <w:sz w:val="21"/>
    </w:rPr>
  </w:style>
  <w:style w:type="paragraph" w:customStyle="1" w:styleId="2254">
    <w:name w:val="Char Char1 Char1"/>
    <w:basedOn w:val="1"/>
    <w:qFormat/>
    <w:uiPriority w:val="0"/>
    <w:pPr>
      <w:tabs>
        <w:tab w:val="clear" w:pos="480"/>
      </w:tabs>
      <w:spacing w:before="100" w:beforeAutospacing="1" w:after="100" w:afterAutospacing="1"/>
      <w:ind w:firstLine="480"/>
      <w:jc w:val="left"/>
    </w:pPr>
    <w:rPr>
      <w:rFonts w:ascii="Arial" w:hAnsi="Arial"/>
      <w:kern w:val="0"/>
      <w:lang w:eastAsia="en-US"/>
    </w:rPr>
  </w:style>
  <w:style w:type="paragraph" w:customStyle="1" w:styleId="2255">
    <w:name w:val="Char Char1 Char Char1 Char"/>
    <w:basedOn w:val="1"/>
    <w:qFormat/>
    <w:uiPriority w:val="0"/>
    <w:pPr>
      <w:tabs>
        <w:tab w:val="clear" w:pos="480"/>
      </w:tabs>
      <w:spacing w:line="240" w:lineRule="auto"/>
    </w:pPr>
    <w:rPr>
      <w:sz w:val="21"/>
      <w:szCs w:val="21"/>
    </w:rPr>
  </w:style>
  <w:style w:type="paragraph" w:customStyle="1" w:styleId="2256">
    <w:name w:val="样式 正文缩进图表标题identication图表表正文正文非缩进特点ALT+Z标题4段1正文（首行缩进两字..."/>
    <w:basedOn w:val="20"/>
    <w:link w:val="2257"/>
    <w:qFormat/>
    <w:uiPriority w:val="0"/>
    <w:pPr>
      <w:tabs>
        <w:tab w:val="clear" w:pos="480"/>
      </w:tabs>
      <w:ind w:firstLine="200"/>
    </w:pPr>
    <w:rPr>
      <w:rFonts w:cs="宋体"/>
      <w:szCs w:val="20"/>
      <w:u w:color="000000"/>
    </w:rPr>
  </w:style>
  <w:style w:type="character" w:customStyle="1" w:styleId="2257">
    <w:name w:val="样式 正文缩进图表标题identication图表表正文正文非缩进特点ALT+Z标题4段1正文（首行缩进两字... Char"/>
    <w:link w:val="2256"/>
    <w:qFormat/>
    <w:uiPriority w:val="0"/>
    <w:rPr>
      <w:rFonts w:eastAsia="宋体" w:cs="宋体"/>
      <w:kern w:val="2"/>
      <w:sz w:val="24"/>
      <w:u w:color="000000"/>
      <w:lang w:val="en-US" w:eastAsia="zh-CN" w:bidi="ar-SA"/>
    </w:rPr>
  </w:style>
  <w:style w:type="paragraph" w:customStyle="1" w:styleId="2258">
    <w:name w:val="样式 标题 33级标题小节名小节Char Char标题 33标题 13条标题1.1.1(F4)标题 3 Cha...2"/>
    <w:basedOn w:val="4"/>
    <w:qFormat/>
    <w:uiPriority w:val="0"/>
    <w:pPr>
      <w:tabs>
        <w:tab w:val="left" w:pos="720"/>
        <w:tab w:val="clear" w:pos="480"/>
        <w:tab w:val="clear" w:pos="840"/>
      </w:tabs>
      <w:spacing w:before="180" w:after="120" w:line="240" w:lineRule="auto"/>
      <w:ind w:left="720" w:hanging="720"/>
    </w:pPr>
    <w:rPr>
      <w:rFonts w:ascii="Times New Roman" w:hAnsi="宋体" w:eastAsia="黑体" w:cs="宋体"/>
      <w:b w:val="0"/>
      <w:bCs w:val="0"/>
      <w:snapToGrid w:val="0"/>
      <w:color w:val="0000FF"/>
      <w:kern w:val="0"/>
      <w:sz w:val="28"/>
      <w:szCs w:val="20"/>
    </w:rPr>
  </w:style>
  <w:style w:type="character" w:customStyle="1" w:styleId="2259">
    <w:name w:val="html_txt1"/>
    <w:qFormat/>
    <w:uiPriority w:val="0"/>
    <w:rPr>
      <w:color w:val="000000"/>
    </w:rPr>
  </w:style>
  <w:style w:type="character" w:customStyle="1" w:styleId="2260">
    <w:name w:val="html_cha1"/>
    <w:qFormat/>
    <w:uiPriority w:val="0"/>
    <w:rPr>
      <w:color w:val="FF0000"/>
    </w:rPr>
  </w:style>
  <w:style w:type="character" w:customStyle="1" w:styleId="2261">
    <w:name w:val="html_tag1"/>
    <w:qFormat/>
    <w:uiPriority w:val="0"/>
    <w:rPr>
      <w:color w:val="0000FF"/>
    </w:rPr>
  </w:style>
  <w:style w:type="character" w:customStyle="1" w:styleId="2262">
    <w:name w:val="html_elm1"/>
    <w:qFormat/>
    <w:uiPriority w:val="0"/>
    <w:rPr>
      <w:color w:val="800000"/>
    </w:rPr>
  </w:style>
  <w:style w:type="paragraph" w:customStyle="1" w:styleId="2263">
    <w:name w:val="表格，表号"/>
    <w:basedOn w:val="1"/>
    <w:qFormat/>
    <w:uiPriority w:val="0"/>
    <w:pPr>
      <w:tabs>
        <w:tab w:val="clear" w:pos="480"/>
      </w:tabs>
      <w:spacing w:line="240" w:lineRule="auto"/>
      <w:jc w:val="left"/>
    </w:pPr>
    <w:rPr>
      <w:rFonts w:ascii="宋体" w:hAnsi="宋体"/>
      <w:snapToGrid w:val="0"/>
      <w:spacing w:val="6"/>
      <w:kern w:val="0"/>
      <w:sz w:val="21"/>
    </w:rPr>
  </w:style>
  <w:style w:type="paragraph" w:customStyle="1" w:styleId="2264">
    <w:name w:val="正文（有空格）"/>
    <w:qFormat/>
    <w:uiPriority w:val="0"/>
    <w:pPr>
      <w:widowControl w:val="0"/>
      <w:adjustRightInd w:val="0"/>
      <w:snapToGrid w:val="0"/>
      <w:spacing w:line="360" w:lineRule="auto"/>
      <w:ind w:firstLine="200" w:firstLineChars="200"/>
      <w:jc w:val="center"/>
    </w:pPr>
    <w:rPr>
      <w:rFonts w:ascii="Times New Roman" w:hAnsi="Times New Roman" w:eastAsia="宋体" w:cs="Times New Roman"/>
      <w:kern w:val="2"/>
      <w:sz w:val="28"/>
      <w:szCs w:val="28"/>
      <w:lang w:val="en-US" w:eastAsia="zh-CN" w:bidi="ar-SA"/>
    </w:rPr>
  </w:style>
  <w:style w:type="paragraph" w:customStyle="1" w:styleId="2265">
    <w:name w:val="图表标题"/>
    <w:basedOn w:val="1"/>
    <w:qFormat/>
    <w:uiPriority w:val="0"/>
    <w:pPr>
      <w:tabs>
        <w:tab w:val="clear" w:pos="480"/>
      </w:tabs>
      <w:ind w:firstLine="480"/>
      <w:jc w:val="center"/>
    </w:pPr>
  </w:style>
  <w:style w:type="paragraph" w:customStyle="1" w:styleId="2266">
    <w:name w:val="南联小四宋体"/>
    <w:link w:val="2267"/>
    <w:qFormat/>
    <w:uiPriority w:val="0"/>
    <w:pPr>
      <w:widowControl w:val="0"/>
      <w:spacing w:line="360" w:lineRule="auto"/>
      <w:jc w:val="both"/>
    </w:pPr>
    <w:rPr>
      <w:rFonts w:ascii="Times New Roman" w:hAnsi="Times New Roman" w:eastAsia="宋体" w:cs="Times New Roman"/>
      <w:kern w:val="2"/>
      <w:sz w:val="24"/>
      <w:szCs w:val="30"/>
      <w:lang w:val="en-US" w:eastAsia="zh-CN" w:bidi="ar-SA"/>
    </w:rPr>
  </w:style>
  <w:style w:type="character" w:customStyle="1" w:styleId="2267">
    <w:name w:val="南联小四宋体 Char"/>
    <w:link w:val="2266"/>
    <w:qFormat/>
    <w:uiPriority w:val="0"/>
    <w:rPr>
      <w:sz w:val="24"/>
      <w:szCs w:val="30"/>
      <w:lang w:val="en-US" w:eastAsia="zh-CN" w:bidi="ar-SA"/>
    </w:rPr>
  </w:style>
  <w:style w:type="paragraph" w:customStyle="1" w:styleId="2268">
    <w:name w:val="cc四级标题"/>
    <w:basedOn w:val="1"/>
    <w:qFormat/>
    <w:uiPriority w:val="0"/>
    <w:pPr>
      <w:keepNext/>
      <w:keepLines/>
      <w:tabs>
        <w:tab w:val="left" w:pos="1680"/>
        <w:tab w:val="clear" w:pos="480"/>
      </w:tabs>
      <w:ind w:left="1680" w:hanging="420"/>
      <w:outlineLvl w:val="3"/>
    </w:pPr>
    <w:rPr>
      <w:rFonts w:hAnsi="宋体"/>
      <w:b/>
      <w:bCs/>
      <w:color w:val="0000FF"/>
    </w:rPr>
  </w:style>
  <w:style w:type="paragraph" w:customStyle="1" w:styleId="2269">
    <w:name w:val="z-catalog-i1"/>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270">
    <w:name w:val="表格1 Char"/>
    <w:qFormat/>
    <w:uiPriority w:val="0"/>
    <w:rPr>
      <w:rFonts w:ascii="宋体" w:hAnsi="宋体" w:eastAsia="宋体"/>
      <w:snapToGrid w:val="0"/>
      <w:sz w:val="21"/>
      <w:szCs w:val="24"/>
      <w:lang w:val="en-US" w:eastAsia="zh-CN" w:bidi="ar-SA"/>
    </w:rPr>
  </w:style>
  <w:style w:type="character" w:customStyle="1" w:styleId="2271">
    <w:name w:val="catalog-item-index1"/>
    <w:basedOn w:val="133"/>
    <w:qFormat/>
    <w:uiPriority w:val="0"/>
  </w:style>
  <w:style w:type="character" w:customStyle="1" w:styleId="2272">
    <w:name w:val="第2级标题 Char"/>
    <w:link w:val="1878"/>
    <w:qFormat/>
    <w:uiPriority w:val="0"/>
    <w:rPr>
      <w:rFonts w:eastAsia="华文中宋"/>
      <w:b/>
      <w:bCs/>
      <w:smallCaps/>
      <w:kern w:val="2"/>
      <w:sz w:val="32"/>
      <w:szCs w:val="32"/>
      <w:lang w:val="en-US" w:eastAsia="zh-CN" w:bidi="ar-SA"/>
    </w:rPr>
  </w:style>
  <w:style w:type="paragraph" w:customStyle="1" w:styleId="2273">
    <w:name w:val="本文标题31"/>
    <w:basedOn w:val="1"/>
    <w:qFormat/>
    <w:uiPriority w:val="0"/>
    <w:pPr>
      <w:tabs>
        <w:tab w:val="clear" w:pos="480"/>
      </w:tabs>
      <w:spacing w:line="240" w:lineRule="auto"/>
    </w:pPr>
    <w:rPr>
      <w:sz w:val="21"/>
    </w:rPr>
  </w:style>
  <w:style w:type="character" w:customStyle="1" w:styleId="2274">
    <w:name w:val="正文01 Char2"/>
    <w:link w:val="546"/>
    <w:qFormat/>
    <w:uiPriority w:val="0"/>
    <w:rPr>
      <w:rFonts w:eastAsia="宋体"/>
      <w:kern w:val="2"/>
      <w:sz w:val="27"/>
      <w:lang w:val="en-US" w:eastAsia="zh-CN" w:bidi="ar-SA"/>
    </w:rPr>
  </w:style>
  <w:style w:type="paragraph" w:customStyle="1" w:styleId="2275">
    <w:name w:val="样式 标题2 + 小三"/>
    <w:basedOn w:val="1"/>
    <w:qFormat/>
    <w:uiPriority w:val="0"/>
    <w:pPr>
      <w:keepNext/>
      <w:keepLines/>
      <w:widowControl/>
      <w:numPr>
        <w:ilvl w:val="0"/>
        <w:numId w:val="29"/>
      </w:numPr>
      <w:tabs>
        <w:tab w:val="clear" w:pos="480"/>
      </w:tabs>
      <w:overflowPunct w:val="0"/>
      <w:autoSpaceDE w:val="0"/>
      <w:autoSpaceDN w:val="0"/>
      <w:adjustRightInd w:val="0"/>
      <w:spacing w:line="200" w:lineRule="atLeast"/>
      <w:textAlignment w:val="baseline"/>
      <w:outlineLvl w:val="1"/>
    </w:pPr>
    <w:rPr>
      <w:rFonts w:ascii="宋体" w:hAnsi="宋体"/>
      <w:b/>
      <w:color w:val="0000FF"/>
      <w:spacing w:val="-10"/>
      <w:kern w:val="0"/>
      <w:sz w:val="30"/>
      <w:szCs w:val="32"/>
    </w:rPr>
  </w:style>
  <w:style w:type="paragraph" w:customStyle="1" w:styleId="2276">
    <w:name w:val="whs1"/>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277">
    <w:name w:val="d11"/>
    <w:qFormat/>
    <w:uiPriority w:val="0"/>
    <w:rPr>
      <w:spacing w:val="440"/>
      <w:sz w:val="24"/>
      <w:szCs w:val="24"/>
    </w:rPr>
  </w:style>
  <w:style w:type="paragraph" w:customStyle="1" w:styleId="2278">
    <w:name w:val="6'"/>
    <w:basedOn w:val="1"/>
    <w:qFormat/>
    <w:uiPriority w:val="0"/>
    <w:pPr>
      <w:tabs>
        <w:tab w:val="clear" w:pos="480"/>
      </w:tabs>
      <w:autoSpaceDE w:val="0"/>
      <w:autoSpaceDN w:val="0"/>
      <w:adjustRightInd w:val="0"/>
      <w:snapToGrid w:val="0"/>
      <w:spacing w:line="320" w:lineRule="exact"/>
      <w:jc w:val="center"/>
      <w:textAlignment w:val="baseline"/>
    </w:pPr>
    <w:rPr>
      <w:spacing w:val="20"/>
      <w:kern w:val="28"/>
      <w:sz w:val="21"/>
      <w:szCs w:val="20"/>
    </w:rPr>
  </w:style>
  <w:style w:type="paragraph" w:customStyle="1" w:styleId="2279">
    <w:name w:val="标注"/>
    <w:basedOn w:val="1"/>
    <w:qFormat/>
    <w:uiPriority w:val="0"/>
    <w:pPr>
      <w:tabs>
        <w:tab w:val="clear" w:pos="480"/>
      </w:tabs>
      <w:spacing w:line="320" w:lineRule="exact"/>
    </w:pPr>
    <w:rPr>
      <w:color w:val="008080"/>
      <w:sz w:val="21"/>
      <w:szCs w:val="20"/>
    </w:rPr>
  </w:style>
  <w:style w:type="paragraph" w:customStyle="1" w:styleId="2280">
    <w:name w:val="表格11"/>
    <w:basedOn w:val="1"/>
    <w:link w:val="2281"/>
    <w:qFormat/>
    <w:uiPriority w:val="0"/>
    <w:pPr>
      <w:tabs>
        <w:tab w:val="clear" w:pos="480"/>
      </w:tabs>
      <w:snapToGrid w:val="0"/>
      <w:spacing w:line="240" w:lineRule="auto"/>
      <w:jc w:val="center"/>
    </w:pPr>
    <w:rPr>
      <w:kern w:val="0"/>
      <w:sz w:val="21"/>
    </w:rPr>
  </w:style>
  <w:style w:type="character" w:customStyle="1" w:styleId="2281">
    <w:name w:val="表格11 Char"/>
    <w:link w:val="2280"/>
    <w:qFormat/>
    <w:uiPriority w:val="0"/>
    <w:rPr>
      <w:rFonts w:eastAsia="宋体"/>
      <w:sz w:val="21"/>
      <w:szCs w:val="24"/>
      <w:lang w:val="en-US" w:eastAsia="zh-CN" w:bidi="ar-SA"/>
    </w:rPr>
  </w:style>
  <w:style w:type="paragraph" w:customStyle="1" w:styleId="2282">
    <w:name w:val="小四"/>
    <w:basedOn w:val="1"/>
    <w:link w:val="2283"/>
    <w:qFormat/>
    <w:uiPriority w:val="0"/>
    <w:pPr>
      <w:widowControl/>
      <w:tabs>
        <w:tab w:val="clear" w:pos="480"/>
      </w:tabs>
      <w:jc w:val="left"/>
    </w:pPr>
    <w:rPr>
      <w:rFonts w:cs="宋体"/>
      <w:szCs w:val="20"/>
    </w:rPr>
  </w:style>
  <w:style w:type="character" w:customStyle="1" w:styleId="2283">
    <w:name w:val="小四 Char"/>
    <w:link w:val="2282"/>
    <w:qFormat/>
    <w:uiPriority w:val="0"/>
    <w:rPr>
      <w:rFonts w:eastAsia="宋体" w:cs="宋体"/>
      <w:kern w:val="2"/>
      <w:sz w:val="24"/>
      <w:lang w:val="en-US" w:eastAsia="zh-CN" w:bidi="ar-SA"/>
    </w:rPr>
  </w:style>
  <w:style w:type="character" w:customStyle="1" w:styleId="2284">
    <w:name w:val="正文文字 Char Char Char Char Char Char Char Char1"/>
    <w:qFormat/>
    <w:uiPriority w:val="0"/>
    <w:rPr>
      <w:rFonts w:ascii="宋体" w:hAnsi="宋体" w:eastAsia="宋体"/>
      <w:kern w:val="2"/>
      <w:sz w:val="21"/>
      <w:lang w:val="en-US" w:eastAsia="zh-CN" w:bidi="ar-SA"/>
    </w:rPr>
  </w:style>
  <w:style w:type="character" w:customStyle="1" w:styleId="2285">
    <w:name w:val="T3标题 Char Char1"/>
    <w:qFormat/>
    <w:uiPriority w:val="0"/>
    <w:rPr>
      <w:rFonts w:hAnsi="宋体" w:eastAsia="宋体"/>
      <w:b/>
      <w:bCs/>
      <w:kern w:val="18"/>
      <w:sz w:val="30"/>
      <w:szCs w:val="30"/>
      <w:lang w:val="en-US" w:eastAsia="zh-CN" w:bidi="ar-SA"/>
    </w:rPr>
  </w:style>
  <w:style w:type="character" w:customStyle="1" w:styleId="2286">
    <w:name w:val="实德题注 Char1"/>
    <w:qFormat/>
    <w:uiPriority w:val="0"/>
    <w:rPr>
      <w:rFonts w:ascii="Arial" w:hAnsi="Arial" w:eastAsia="宋体" w:cs="Arial"/>
      <w:color w:val="000000"/>
      <w:kern w:val="2"/>
      <w:sz w:val="24"/>
      <w:lang w:val="en-US" w:eastAsia="zh-CN" w:bidi="ar-SA"/>
    </w:rPr>
  </w:style>
  <w:style w:type="paragraph" w:customStyle="1" w:styleId="2287">
    <w:name w:val="表格标题TTTT"/>
    <w:basedOn w:val="210"/>
    <w:link w:val="2288"/>
    <w:qFormat/>
    <w:uiPriority w:val="0"/>
    <w:pPr>
      <w:spacing w:line="240" w:lineRule="auto"/>
      <w:ind w:firstLine="0"/>
      <w:jc w:val="center"/>
    </w:pPr>
    <w:rPr>
      <w:rFonts w:cs="宋体"/>
      <w:b/>
      <w:bCs/>
      <w:kern w:val="2"/>
    </w:rPr>
  </w:style>
  <w:style w:type="character" w:customStyle="1" w:styleId="2288">
    <w:name w:val="表格标题TTTT Char"/>
    <w:link w:val="2287"/>
    <w:qFormat/>
    <w:uiPriority w:val="0"/>
    <w:rPr>
      <w:rFonts w:eastAsia="宋体" w:cs="宋体"/>
      <w:b/>
      <w:bCs/>
      <w:kern w:val="2"/>
      <w:sz w:val="24"/>
      <w:lang w:val="en-US" w:eastAsia="zh-CN" w:bidi="ar-SA"/>
    </w:rPr>
  </w:style>
  <w:style w:type="paragraph" w:customStyle="1" w:styleId="2289">
    <w:name w:val="ZX 2 表标题"/>
    <w:basedOn w:val="1"/>
    <w:qFormat/>
    <w:uiPriority w:val="0"/>
    <w:pPr>
      <w:numPr>
        <w:ilvl w:val="0"/>
        <w:numId w:val="30"/>
      </w:numPr>
      <w:spacing w:line="240" w:lineRule="auto"/>
      <w:ind w:firstLine="0" w:firstLineChars="0"/>
      <w:jc w:val="center"/>
    </w:pPr>
    <w:rPr>
      <w:rFonts w:cs="宋体"/>
      <w:b/>
      <w:sz w:val="21"/>
      <w:szCs w:val="20"/>
    </w:rPr>
  </w:style>
  <w:style w:type="paragraph" w:customStyle="1" w:styleId="2290">
    <w:name w:val="表前文字"/>
    <w:basedOn w:val="1"/>
    <w:semiHidden/>
    <w:qFormat/>
    <w:uiPriority w:val="0"/>
    <w:pPr>
      <w:tabs>
        <w:tab w:val="clear" w:pos="480"/>
      </w:tabs>
      <w:adjustRightInd w:val="0"/>
      <w:snapToGrid w:val="0"/>
      <w:spacing w:line="300" w:lineRule="auto"/>
      <w:jc w:val="center"/>
    </w:pPr>
    <w:rPr>
      <w:rFonts w:ascii="宋体" w:hAnsi="宋体"/>
      <w:snapToGrid w:val="0"/>
      <w:color w:val="000000"/>
      <w:kern w:val="0"/>
      <w:sz w:val="21"/>
      <w:szCs w:val="21"/>
    </w:rPr>
  </w:style>
  <w:style w:type="character" w:customStyle="1" w:styleId="2291">
    <w:name w:val="正文无缩进 Char Char"/>
    <w:qFormat/>
    <w:uiPriority w:val="0"/>
    <w:rPr>
      <w:rFonts w:ascii="宋体" w:hAnsi="宋体" w:eastAsia="宋体"/>
      <w:snapToGrid w:val="0"/>
      <w:color w:val="000000"/>
      <w:sz w:val="21"/>
      <w:szCs w:val="24"/>
      <w:lang w:val="en-US" w:eastAsia="zh-CN" w:bidi="ar-SA"/>
    </w:rPr>
  </w:style>
  <w:style w:type="character" w:customStyle="1" w:styleId="2292">
    <w:name w:val="正文小四 Char"/>
    <w:link w:val="1303"/>
    <w:qFormat/>
    <w:uiPriority w:val="0"/>
    <w:rPr>
      <w:rFonts w:ascii="宋体" w:hAnsi="宋体" w:eastAsia="宋体"/>
      <w:kern w:val="2"/>
      <w:sz w:val="24"/>
      <w:szCs w:val="28"/>
      <w:lang w:val="en-US" w:eastAsia="zh-CN" w:bidi="ar-SA"/>
    </w:rPr>
  </w:style>
  <w:style w:type="character" w:customStyle="1" w:styleId="2293">
    <w:name w:val="T3标题 Char Char"/>
    <w:qFormat/>
    <w:uiPriority w:val="0"/>
    <w:rPr>
      <w:rFonts w:eastAsia="宋体"/>
      <w:b/>
      <w:bCs/>
      <w:kern w:val="18"/>
      <w:sz w:val="30"/>
      <w:szCs w:val="24"/>
      <w:lang w:val="en-US" w:eastAsia="zh-CN" w:bidi="ar-SA"/>
    </w:rPr>
  </w:style>
  <w:style w:type="character" w:customStyle="1" w:styleId="2294">
    <w:name w:val="表格题注 Char Char"/>
    <w:qFormat/>
    <w:uiPriority w:val="0"/>
    <w:rPr>
      <w:rFonts w:eastAsia="宋体" w:cs="仿宋_GB2312"/>
      <w:b/>
      <w:bCs/>
      <w:kern w:val="2"/>
      <w:sz w:val="24"/>
      <w:szCs w:val="21"/>
      <w:lang w:val="en-US" w:eastAsia="zh-CN" w:bidi="ar-SA"/>
    </w:rPr>
  </w:style>
  <w:style w:type="paragraph" w:customStyle="1" w:styleId="2295">
    <w:name w:val="reader-word-layer reader-word-s1-3"/>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296">
    <w:name w:val="reader-word-layer reader-word-s1-4"/>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297">
    <w:name w:val="标题 7 表 Char1"/>
    <w:qFormat/>
    <w:uiPriority w:val="0"/>
    <w:rPr>
      <w:rFonts w:ascii="宋体" w:hAnsi="Impact" w:eastAsia="楷体_GB2312" w:cs="宋体"/>
      <w:b/>
      <w:kern w:val="24"/>
      <w:sz w:val="24"/>
      <w:lang w:val="en-US" w:eastAsia="zh-CN" w:bidi="ar-SA"/>
    </w:rPr>
  </w:style>
  <w:style w:type="character" w:customStyle="1" w:styleId="2298">
    <w:name w:val="无节款 Char1"/>
    <w:qFormat/>
    <w:uiPriority w:val="0"/>
    <w:rPr>
      <w:rFonts w:ascii="Arial" w:hAnsi="Arial" w:eastAsia="黑体" w:cs="宋体"/>
      <w:kern w:val="24"/>
      <w:sz w:val="24"/>
      <w:lang w:val="en-US" w:eastAsia="zh-CN" w:bidi="ar-SA"/>
    </w:rPr>
  </w:style>
  <w:style w:type="character" w:customStyle="1" w:styleId="2299">
    <w:name w:val="干标题(a) Char2"/>
    <w:qFormat/>
    <w:uiPriority w:val="0"/>
    <w:rPr>
      <w:rFonts w:ascii="Arial" w:hAnsi="Arial" w:eastAsia="黑体" w:cs="宋体"/>
      <w:kern w:val="24"/>
      <w:sz w:val="28"/>
      <w:lang w:val="en-US" w:eastAsia="zh-CN" w:bidi="ar-SA"/>
    </w:rPr>
  </w:style>
  <w:style w:type="character" w:customStyle="1" w:styleId="2300">
    <w:name w:val="正文文字缩进 3 Char3"/>
    <w:qFormat/>
    <w:uiPriority w:val="0"/>
    <w:rPr>
      <w:rFonts w:eastAsia="宋体"/>
      <w:kern w:val="2"/>
      <w:sz w:val="24"/>
      <w:szCs w:val="24"/>
      <w:lang w:val="en-US" w:eastAsia="zh-CN" w:bidi="ar-SA"/>
    </w:rPr>
  </w:style>
  <w:style w:type="character" w:customStyle="1" w:styleId="2301">
    <w:name w:val="落款 Char1"/>
    <w:qFormat/>
    <w:uiPriority w:val="0"/>
    <w:rPr>
      <w:rFonts w:eastAsia="宋体"/>
      <w:kern w:val="2"/>
      <w:sz w:val="21"/>
      <w:szCs w:val="24"/>
      <w:lang w:val="en-US" w:eastAsia="zh-CN" w:bidi="ar-SA"/>
    </w:rPr>
  </w:style>
  <w:style w:type="character" w:customStyle="1" w:styleId="2302">
    <w:name w:val="bt Char1"/>
    <w:qFormat/>
    <w:uiPriority w:val="0"/>
    <w:rPr>
      <w:rFonts w:eastAsia="宋体"/>
      <w:spacing w:val="-18"/>
      <w:kern w:val="11"/>
      <w:sz w:val="30"/>
      <w:szCs w:val="24"/>
      <w:lang w:val="en-US" w:eastAsia="zh-CN" w:bidi="ar-SA"/>
    </w:rPr>
  </w:style>
  <w:style w:type="character" w:customStyle="1" w:styleId="2303">
    <w:name w:val="正文文字 2 Char4"/>
    <w:qFormat/>
    <w:uiPriority w:val="0"/>
    <w:rPr>
      <w:rFonts w:eastAsia="宋体"/>
      <w:color w:val="000000"/>
      <w:kern w:val="2"/>
      <w:sz w:val="24"/>
      <w:lang w:val="en-US" w:eastAsia="zh-CN" w:bidi="ar-SA"/>
    </w:rPr>
  </w:style>
  <w:style w:type="paragraph" w:customStyle="1" w:styleId="2304">
    <w:name w:val="标题1级章标题"/>
    <w:semiHidden/>
    <w:qFormat/>
    <w:uiPriority w:val="0"/>
    <w:pPr>
      <w:spacing w:before="300" w:after="300" w:line="360" w:lineRule="auto"/>
      <w:jc w:val="center"/>
      <w:outlineLvl w:val="0"/>
    </w:pPr>
    <w:rPr>
      <w:rFonts w:ascii="Times New Roman" w:hAnsi="Times New Roman" w:eastAsia="宋体" w:cs="宋体"/>
      <w:b/>
      <w:bCs/>
      <w:kern w:val="44"/>
      <w:sz w:val="36"/>
      <w:szCs w:val="24"/>
      <w:lang w:val="en-US" w:eastAsia="zh-CN" w:bidi="ar-SA"/>
    </w:rPr>
  </w:style>
  <w:style w:type="paragraph" w:customStyle="1" w:styleId="2305">
    <w:name w:val="标题2—张"/>
    <w:semiHidden/>
    <w:qFormat/>
    <w:uiPriority w:val="0"/>
    <w:pPr>
      <w:spacing w:beforeLines="50" w:afterLines="50" w:line="360" w:lineRule="auto"/>
      <w:jc w:val="center"/>
      <w:outlineLvl w:val="1"/>
    </w:pPr>
    <w:rPr>
      <w:rFonts w:ascii="宋体" w:hAnsi="Arial" w:eastAsia="宋体" w:cs="宋体"/>
      <w:bCs/>
      <w:kern w:val="2"/>
      <w:sz w:val="30"/>
      <w:szCs w:val="24"/>
      <w:lang w:val="en-US" w:eastAsia="zh-CN" w:bidi="ar-SA"/>
    </w:rPr>
  </w:style>
  <w:style w:type="paragraph" w:customStyle="1" w:styleId="2306">
    <w:name w:val="标题3-张"/>
    <w:semiHidden/>
    <w:qFormat/>
    <w:uiPriority w:val="0"/>
    <w:pPr>
      <w:spacing w:beforeLines="50" w:afterLines="50" w:line="360" w:lineRule="auto"/>
      <w:jc w:val="both"/>
    </w:pPr>
    <w:rPr>
      <w:rFonts w:ascii="Times New Roman" w:hAnsi="Times New Roman" w:eastAsia="宋体" w:cs="宋体"/>
      <w:b/>
      <w:bCs/>
      <w:kern w:val="2"/>
      <w:sz w:val="24"/>
      <w:szCs w:val="24"/>
      <w:lang w:val="en-US" w:eastAsia="zh-CN" w:bidi="ar-SA"/>
    </w:rPr>
  </w:style>
  <w:style w:type="paragraph" w:customStyle="1" w:styleId="2307">
    <w:name w:val="标题4-张"/>
    <w:semiHidden/>
    <w:qFormat/>
    <w:uiPriority w:val="0"/>
    <w:pPr>
      <w:spacing w:line="360" w:lineRule="auto"/>
      <w:jc w:val="center"/>
      <w:outlineLvl w:val="3"/>
    </w:pPr>
    <w:rPr>
      <w:rFonts w:ascii="Times New Roman" w:hAnsi="Times New Roman" w:eastAsia="宋体" w:cs="宋体"/>
      <w:kern w:val="2"/>
      <w:sz w:val="24"/>
      <w:szCs w:val="24"/>
      <w:lang w:val="en-US" w:eastAsia="zh-CN" w:bidi="ar-SA"/>
    </w:rPr>
  </w:style>
  <w:style w:type="paragraph" w:customStyle="1" w:styleId="2308">
    <w:name w:val="标题1-张"/>
    <w:next w:val="2305"/>
    <w:semiHidden/>
    <w:qFormat/>
    <w:uiPriority w:val="0"/>
    <w:pPr>
      <w:spacing w:before="300" w:after="300" w:line="360" w:lineRule="auto"/>
      <w:jc w:val="center"/>
      <w:outlineLvl w:val="0"/>
    </w:pPr>
    <w:rPr>
      <w:rFonts w:ascii="宋体" w:hAnsi="Arial" w:eastAsia="宋体" w:cs="宋体"/>
      <w:bCs/>
      <w:kern w:val="2"/>
      <w:sz w:val="30"/>
      <w:szCs w:val="24"/>
      <w:lang w:val="en-US" w:eastAsia="zh-CN" w:bidi="ar-SA"/>
    </w:rPr>
  </w:style>
  <w:style w:type="paragraph" w:customStyle="1" w:styleId="2309">
    <w:name w:val="样式 题注题注 Char实德题注 + 两端对齐"/>
    <w:basedOn w:val="21"/>
    <w:semiHidden/>
    <w:qFormat/>
    <w:uiPriority w:val="0"/>
    <w:pPr>
      <w:widowControl w:val="0"/>
      <w:tabs>
        <w:tab w:val="left" w:pos="480"/>
      </w:tabs>
      <w:adjustRightInd/>
      <w:snapToGrid/>
      <w:spacing w:before="0" w:after="0"/>
      <w:ind w:firstLine="0" w:firstLineChars="0"/>
    </w:pPr>
    <w:rPr>
      <w:rFonts w:cs="宋体"/>
      <w:bCs/>
      <w:color w:val="auto"/>
      <w:sz w:val="21"/>
      <w:szCs w:val="24"/>
    </w:rPr>
  </w:style>
  <w:style w:type="paragraph" w:customStyle="1" w:styleId="2310">
    <w:name w:val="样式 题注题注 Char实德题注Char Char Char + 两端对齐1"/>
    <w:basedOn w:val="21"/>
    <w:semiHidden/>
    <w:qFormat/>
    <w:uiPriority w:val="0"/>
    <w:pPr>
      <w:keepNext/>
      <w:widowControl w:val="0"/>
      <w:tabs>
        <w:tab w:val="left" w:pos="480"/>
      </w:tabs>
      <w:adjustRightInd/>
      <w:snapToGrid/>
      <w:spacing w:before="0" w:after="0"/>
      <w:ind w:firstLine="0" w:firstLineChars="0"/>
    </w:pPr>
    <w:rPr>
      <w:rFonts w:ascii="Times New Roman" w:hAnsi="Times New Roman" w:cs="宋体"/>
      <w:bCs/>
      <w:color w:val="auto"/>
      <w:sz w:val="21"/>
      <w:szCs w:val="24"/>
    </w:rPr>
  </w:style>
  <w:style w:type="paragraph" w:customStyle="1" w:styleId="2311">
    <w:name w:val="样式 题注表头z图表注实德题注 + (符号) 宋体 左"/>
    <w:basedOn w:val="21"/>
    <w:semiHidden/>
    <w:qFormat/>
    <w:uiPriority w:val="0"/>
    <w:pPr>
      <w:widowControl w:val="0"/>
      <w:tabs>
        <w:tab w:val="left" w:pos="480"/>
      </w:tabs>
      <w:adjustRightInd/>
      <w:snapToGrid/>
      <w:spacing w:before="0" w:after="0"/>
      <w:ind w:firstLine="0" w:firstLineChars="0"/>
    </w:pPr>
    <w:rPr>
      <w:rFonts w:hAnsi="宋体" w:cs="宋体"/>
      <w:bCs/>
      <w:color w:val="auto"/>
      <w:szCs w:val="24"/>
    </w:rPr>
  </w:style>
  <w:style w:type="paragraph" w:customStyle="1" w:styleId="2312">
    <w:name w:val="样式 题注表头z题注 Char实德题注Char Char Char + (符号) 宋体 两端对齐"/>
    <w:basedOn w:val="21"/>
    <w:semiHidden/>
    <w:qFormat/>
    <w:uiPriority w:val="0"/>
    <w:pPr>
      <w:widowControl w:val="0"/>
      <w:tabs>
        <w:tab w:val="left" w:pos="480"/>
      </w:tabs>
      <w:adjustRightInd/>
      <w:snapToGrid/>
      <w:spacing w:before="0" w:after="0"/>
      <w:ind w:firstLine="0" w:firstLineChars="0"/>
    </w:pPr>
    <w:rPr>
      <w:rFonts w:hAnsi="宋体" w:cs="宋体"/>
      <w:b/>
      <w:color w:val="auto"/>
      <w:sz w:val="21"/>
      <w:szCs w:val="24"/>
    </w:rPr>
  </w:style>
  <w:style w:type="paragraph" w:customStyle="1" w:styleId="2313">
    <w:name w:val="样式 题注表头z图表注实德题注 + 左"/>
    <w:basedOn w:val="21"/>
    <w:semiHidden/>
    <w:qFormat/>
    <w:uiPriority w:val="0"/>
    <w:pPr>
      <w:widowControl w:val="0"/>
      <w:tabs>
        <w:tab w:val="left" w:pos="480"/>
      </w:tabs>
      <w:adjustRightInd/>
      <w:snapToGrid/>
      <w:spacing w:before="0" w:after="0"/>
      <w:ind w:firstLine="0" w:firstLineChars="0"/>
    </w:pPr>
    <w:rPr>
      <w:rFonts w:cs="宋体"/>
      <w:bCs/>
      <w:color w:val="auto"/>
      <w:szCs w:val="24"/>
    </w:rPr>
  </w:style>
  <w:style w:type="character" w:customStyle="1" w:styleId="2314">
    <w:name w:val="表头z Char1"/>
    <w:semiHidden/>
    <w:qFormat/>
    <w:uiPriority w:val="0"/>
    <w:rPr>
      <w:rFonts w:ascii="Arial" w:hAnsi="Arial" w:eastAsia="宋体" w:cs="Arial"/>
      <w:b/>
      <w:kern w:val="2"/>
      <w:sz w:val="21"/>
      <w:szCs w:val="24"/>
      <w:lang w:val="en-US" w:eastAsia="zh-CN" w:bidi="ar-SA"/>
    </w:rPr>
  </w:style>
  <w:style w:type="character" w:customStyle="1" w:styleId="2315">
    <w:name w:val="Se Char1"/>
    <w:qFormat/>
    <w:uiPriority w:val="0"/>
    <w:rPr>
      <w:rFonts w:eastAsia="宋体"/>
      <w:b/>
      <w:bCs/>
      <w:kern w:val="2"/>
      <w:sz w:val="32"/>
      <w:szCs w:val="32"/>
      <w:lang w:val="en-US" w:eastAsia="zh-CN" w:bidi="ar-SA"/>
    </w:rPr>
  </w:style>
  <w:style w:type="character" w:customStyle="1" w:styleId="2316">
    <w:name w:val="Char Char21"/>
    <w:semiHidden/>
    <w:qFormat/>
    <w:uiPriority w:val="0"/>
    <w:rPr>
      <w:rFonts w:ascii="Times New Roman" w:hAnsi="Times New Roman" w:eastAsia="宋体" w:cs="Times New Roman"/>
      <w:szCs w:val="24"/>
      <w:shd w:val="clear" w:color="auto" w:fill="000080"/>
    </w:rPr>
  </w:style>
  <w:style w:type="character" w:customStyle="1" w:styleId="2317">
    <w:name w:val="脚注文本 Char"/>
    <w:link w:val="67"/>
    <w:qFormat/>
    <w:uiPriority w:val="0"/>
    <w:rPr>
      <w:rFonts w:eastAsia="宋体"/>
      <w:kern w:val="2"/>
      <w:sz w:val="18"/>
      <w:szCs w:val="18"/>
      <w:lang w:val="en-US" w:eastAsia="zh-CN" w:bidi="ar-SA"/>
    </w:rPr>
  </w:style>
  <w:style w:type="character" w:customStyle="1" w:styleId="2318">
    <w:name w:val="注释标题 Char2"/>
    <w:link w:val="15"/>
    <w:semiHidden/>
    <w:qFormat/>
    <w:uiPriority w:val="0"/>
    <w:rPr>
      <w:rFonts w:ascii="黑体" w:hAnsi="宋体" w:eastAsia="黑体"/>
      <w:kern w:val="2"/>
      <w:sz w:val="21"/>
      <w:lang w:val="en-US" w:eastAsia="zh-CN" w:bidi="ar-SA"/>
    </w:rPr>
  </w:style>
  <w:style w:type="paragraph" w:customStyle="1" w:styleId="2319">
    <w:name w:val="表格文字（M）"/>
    <w:basedOn w:val="1"/>
    <w:semiHidden/>
    <w:qFormat/>
    <w:uiPriority w:val="0"/>
    <w:pPr>
      <w:tabs>
        <w:tab w:val="clear" w:pos="480"/>
      </w:tabs>
      <w:autoSpaceDE w:val="0"/>
      <w:autoSpaceDN w:val="0"/>
      <w:adjustRightInd w:val="0"/>
      <w:spacing w:line="240" w:lineRule="auto"/>
      <w:jc w:val="center"/>
      <w:textAlignment w:val="baseline"/>
    </w:pPr>
    <w:rPr>
      <w:bCs/>
      <w:kern w:val="0"/>
      <w:sz w:val="21"/>
      <w:szCs w:val="21"/>
    </w:rPr>
  </w:style>
  <w:style w:type="paragraph" w:customStyle="1" w:styleId="2320">
    <w:name w:val="CM135"/>
    <w:basedOn w:val="151"/>
    <w:next w:val="151"/>
    <w:semiHidden/>
    <w:qFormat/>
    <w:uiPriority w:val="0"/>
    <w:pPr>
      <w:spacing w:after="815"/>
    </w:pPr>
    <w:rPr>
      <w:rFonts w:ascii="黑体" w:eastAsia="黑体" w:cs="Times New Roman"/>
      <w:color w:val="auto"/>
    </w:rPr>
  </w:style>
  <w:style w:type="paragraph" w:customStyle="1" w:styleId="2321">
    <w:name w:val="CM136"/>
    <w:basedOn w:val="151"/>
    <w:next w:val="151"/>
    <w:semiHidden/>
    <w:qFormat/>
    <w:uiPriority w:val="0"/>
    <w:pPr>
      <w:spacing w:after="393"/>
    </w:pPr>
    <w:rPr>
      <w:rFonts w:ascii="黑体" w:eastAsia="黑体" w:cs="Times New Roman"/>
      <w:color w:val="auto"/>
    </w:rPr>
  </w:style>
  <w:style w:type="paragraph" w:customStyle="1" w:styleId="2322">
    <w:name w:val="CM137"/>
    <w:basedOn w:val="151"/>
    <w:next w:val="151"/>
    <w:semiHidden/>
    <w:qFormat/>
    <w:uiPriority w:val="0"/>
    <w:pPr>
      <w:spacing w:after="190"/>
    </w:pPr>
    <w:rPr>
      <w:rFonts w:ascii="黑体" w:eastAsia="黑体" w:cs="Times New Roman"/>
      <w:color w:val="auto"/>
    </w:rPr>
  </w:style>
  <w:style w:type="paragraph" w:customStyle="1" w:styleId="2323">
    <w:name w:val="CM140"/>
    <w:basedOn w:val="151"/>
    <w:next w:val="151"/>
    <w:semiHidden/>
    <w:qFormat/>
    <w:uiPriority w:val="0"/>
    <w:pPr>
      <w:spacing w:after="720"/>
    </w:pPr>
    <w:rPr>
      <w:rFonts w:ascii="黑体" w:eastAsia="黑体" w:cs="Times New Roman"/>
      <w:color w:val="auto"/>
    </w:rPr>
  </w:style>
  <w:style w:type="paragraph" w:customStyle="1" w:styleId="2324">
    <w:name w:val="CM2"/>
    <w:basedOn w:val="151"/>
    <w:next w:val="151"/>
    <w:semiHidden/>
    <w:qFormat/>
    <w:uiPriority w:val="0"/>
    <w:pPr>
      <w:spacing w:line="478" w:lineRule="atLeast"/>
    </w:pPr>
    <w:rPr>
      <w:rFonts w:ascii="黑体" w:eastAsia="黑体" w:cs="Times New Roman"/>
      <w:color w:val="auto"/>
    </w:rPr>
  </w:style>
  <w:style w:type="paragraph" w:customStyle="1" w:styleId="2325">
    <w:name w:val="CM162"/>
    <w:basedOn w:val="151"/>
    <w:next w:val="151"/>
    <w:semiHidden/>
    <w:qFormat/>
    <w:uiPriority w:val="0"/>
    <w:pPr>
      <w:spacing w:after="893"/>
    </w:pPr>
    <w:rPr>
      <w:rFonts w:ascii="黑体" w:eastAsia="黑体" w:cs="Times New Roman"/>
      <w:color w:val="auto"/>
    </w:rPr>
  </w:style>
  <w:style w:type="paragraph" w:customStyle="1" w:styleId="2326">
    <w:name w:val="CM142"/>
    <w:basedOn w:val="151"/>
    <w:next w:val="151"/>
    <w:semiHidden/>
    <w:qFormat/>
    <w:uiPriority w:val="0"/>
    <w:pPr>
      <w:spacing w:after="497"/>
    </w:pPr>
    <w:rPr>
      <w:rFonts w:ascii="黑体" w:eastAsia="黑体" w:cs="Times New Roman"/>
      <w:color w:val="auto"/>
    </w:rPr>
  </w:style>
  <w:style w:type="paragraph" w:customStyle="1" w:styleId="2327">
    <w:name w:val="CM141"/>
    <w:basedOn w:val="151"/>
    <w:next w:val="151"/>
    <w:semiHidden/>
    <w:qFormat/>
    <w:uiPriority w:val="0"/>
    <w:pPr>
      <w:spacing w:after="270"/>
    </w:pPr>
    <w:rPr>
      <w:rFonts w:ascii="黑体" w:eastAsia="黑体" w:cs="Times New Roman"/>
      <w:color w:val="auto"/>
    </w:rPr>
  </w:style>
  <w:style w:type="paragraph" w:customStyle="1" w:styleId="2328">
    <w:name w:val="CM144"/>
    <w:basedOn w:val="151"/>
    <w:next w:val="151"/>
    <w:semiHidden/>
    <w:qFormat/>
    <w:uiPriority w:val="0"/>
    <w:pPr>
      <w:spacing w:after="78"/>
    </w:pPr>
    <w:rPr>
      <w:rFonts w:ascii="黑体" w:eastAsia="黑体" w:cs="Times New Roman"/>
      <w:color w:val="auto"/>
    </w:rPr>
  </w:style>
  <w:style w:type="paragraph" w:customStyle="1" w:styleId="2329">
    <w:name w:val="CM15"/>
    <w:basedOn w:val="151"/>
    <w:next w:val="151"/>
    <w:semiHidden/>
    <w:qFormat/>
    <w:uiPriority w:val="0"/>
    <w:pPr>
      <w:spacing w:line="468" w:lineRule="atLeast"/>
    </w:pPr>
    <w:rPr>
      <w:rFonts w:ascii="黑体" w:eastAsia="黑体" w:cs="Times New Roman"/>
      <w:color w:val="auto"/>
    </w:rPr>
  </w:style>
  <w:style w:type="paragraph" w:customStyle="1" w:styleId="2330">
    <w:name w:val="CM11"/>
    <w:basedOn w:val="151"/>
    <w:next w:val="151"/>
    <w:qFormat/>
    <w:uiPriority w:val="0"/>
    <w:pPr>
      <w:spacing w:line="468" w:lineRule="atLeast"/>
    </w:pPr>
    <w:rPr>
      <w:rFonts w:ascii="黑体" w:eastAsia="黑体" w:cs="Times New Roman"/>
      <w:color w:val="auto"/>
    </w:rPr>
  </w:style>
  <w:style w:type="paragraph" w:customStyle="1" w:styleId="2331">
    <w:name w:val="CM18"/>
    <w:basedOn w:val="151"/>
    <w:next w:val="151"/>
    <w:semiHidden/>
    <w:qFormat/>
    <w:uiPriority w:val="0"/>
    <w:pPr>
      <w:spacing w:line="468" w:lineRule="atLeast"/>
    </w:pPr>
    <w:rPr>
      <w:rFonts w:ascii="黑体" w:eastAsia="黑体" w:cs="Times New Roman"/>
      <w:color w:val="auto"/>
    </w:rPr>
  </w:style>
  <w:style w:type="paragraph" w:customStyle="1" w:styleId="2332">
    <w:name w:val="CM145"/>
    <w:basedOn w:val="151"/>
    <w:next w:val="151"/>
    <w:semiHidden/>
    <w:qFormat/>
    <w:uiPriority w:val="0"/>
    <w:pPr>
      <w:spacing w:after="638"/>
    </w:pPr>
    <w:rPr>
      <w:rFonts w:ascii="黑体" w:eastAsia="黑体" w:cs="Times New Roman"/>
      <w:color w:val="auto"/>
    </w:rPr>
  </w:style>
  <w:style w:type="paragraph" w:customStyle="1" w:styleId="2333">
    <w:name w:val="CM146"/>
    <w:basedOn w:val="151"/>
    <w:next w:val="151"/>
    <w:semiHidden/>
    <w:qFormat/>
    <w:uiPriority w:val="0"/>
    <w:pPr>
      <w:spacing w:after="473"/>
    </w:pPr>
    <w:rPr>
      <w:rFonts w:ascii="黑体" w:eastAsia="黑体" w:cs="Times New Roman"/>
      <w:color w:val="auto"/>
    </w:rPr>
  </w:style>
  <w:style w:type="paragraph" w:customStyle="1" w:styleId="2334">
    <w:name w:val="CM20"/>
    <w:basedOn w:val="151"/>
    <w:next w:val="151"/>
    <w:semiHidden/>
    <w:qFormat/>
    <w:uiPriority w:val="0"/>
    <w:pPr>
      <w:spacing w:line="466" w:lineRule="atLeast"/>
    </w:pPr>
    <w:rPr>
      <w:rFonts w:ascii="黑体" w:eastAsia="黑体" w:cs="Times New Roman"/>
      <w:color w:val="auto"/>
    </w:rPr>
  </w:style>
  <w:style w:type="paragraph" w:customStyle="1" w:styleId="2335">
    <w:name w:val="CM27"/>
    <w:basedOn w:val="151"/>
    <w:next w:val="151"/>
    <w:semiHidden/>
    <w:qFormat/>
    <w:uiPriority w:val="0"/>
    <w:pPr>
      <w:spacing w:line="468" w:lineRule="atLeast"/>
    </w:pPr>
    <w:rPr>
      <w:rFonts w:ascii="黑体" w:eastAsia="黑体" w:cs="Times New Roman"/>
      <w:color w:val="auto"/>
    </w:rPr>
  </w:style>
  <w:style w:type="paragraph" w:customStyle="1" w:styleId="2336">
    <w:name w:val="CM28"/>
    <w:basedOn w:val="151"/>
    <w:next w:val="151"/>
    <w:semiHidden/>
    <w:qFormat/>
    <w:uiPriority w:val="0"/>
    <w:pPr>
      <w:spacing w:line="468" w:lineRule="atLeast"/>
    </w:pPr>
    <w:rPr>
      <w:rFonts w:ascii="黑体" w:eastAsia="黑体" w:cs="Times New Roman"/>
      <w:color w:val="auto"/>
    </w:rPr>
  </w:style>
  <w:style w:type="paragraph" w:customStyle="1" w:styleId="2337">
    <w:name w:val="CM29"/>
    <w:basedOn w:val="151"/>
    <w:next w:val="151"/>
    <w:semiHidden/>
    <w:qFormat/>
    <w:uiPriority w:val="0"/>
    <w:pPr>
      <w:spacing w:line="468" w:lineRule="atLeast"/>
    </w:pPr>
    <w:rPr>
      <w:rFonts w:ascii="黑体" w:eastAsia="黑体" w:cs="Times New Roman"/>
      <w:color w:val="auto"/>
    </w:rPr>
  </w:style>
  <w:style w:type="paragraph" w:customStyle="1" w:styleId="2338">
    <w:name w:val="CM31"/>
    <w:basedOn w:val="151"/>
    <w:next w:val="151"/>
    <w:semiHidden/>
    <w:qFormat/>
    <w:uiPriority w:val="0"/>
    <w:pPr>
      <w:spacing w:line="533" w:lineRule="atLeast"/>
    </w:pPr>
    <w:rPr>
      <w:rFonts w:ascii="黑体" w:eastAsia="黑体" w:cs="Times New Roman"/>
      <w:color w:val="auto"/>
    </w:rPr>
  </w:style>
  <w:style w:type="paragraph" w:customStyle="1" w:styleId="2339">
    <w:name w:val="CM32"/>
    <w:basedOn w:val="151"/>
    <w:next w:val="151"/>
    <w:semiHidden/>
    <w:qFormat/>
    <w:uiPriority w:val="0"/>
    <w:pPr>
      <w:spacing w:line="456" w:lineRule="atLeast"/>
    </w:pPr>
    <w:rPr>
      <w:rFonts w:ascii="黑体" w:eastAsia="黑体" w:cs="Times New Roman"/>
      <w:color w:val="auto"/>
    </w:rPr>
  </w:style>
  <w:style w:type="paragraph" w:customStyle="1" w:styleId="2340">
    <w:name w:val="CM147"/>
    <w:basedOn w:val="151"/>
    <w:next w:val="151"/>
    <w:semiHidden/>
    <w:qFormat/>
    <w:uiPriority w:val="0"/>
    <w:pPr>
      <w:spacing w:after="1515"/>
    </w:pPr>
    <w:rPr>
      <w:rFonts w:ascii="黑体" w:eastAsia="黑体" w:cs="Times New Roman"/>
      <w:color w:val="auto"/>
    </w:rPr>
  </w:style>
  <w:style w:type="paragraph" w:customStyle="1" w:styleId="2341">
    <w:name w:val="CM143"/>
    <w:basedOn w:val="151"/>
    <w:next w:val="151"/>
    <w:semiHidden/>
    <w:qFormat/>
    <w:uiPriority w:val="0"/>
    <w:pPr>
      <w:spacing w:after="1043"/>
    </w:pPr>
    <w:rPr>
      <w:rFonts w:ascii="黑体" w:eastAsia="黑体" w:cs="Times New Roman"/>
      <w:color w:val="auto"/>
    </w:rPr>
  </w:style>
  <w:style w:type="paragraph" w:customStyle="1" w:styleId="2342">
    <w:name w:val="CM148"/>
    <w:basedOn w:val="151"/>
    <w:next w:val="151"/>
    <w:semiHidden/>
    <w:qFormat/>
    <w:uiPriority w:val="0"/>
    <w:pPr>
      <w:spacing w:after="140"/>
    </w:pPr>
    <w:rPr>
      <w:rFonts w:ascii="黑体" w:eastAsia="黑体" w:cs="Times New Roman"/>
      <w:color w:val="auto"/>
    </w:rPr>
  </w:style>
  <w:style w:type="paragraph" w:customStyle="1" w:styleId="2343">
    <w:name w:val="CM138"/>
    <w:basedOn w:val="151"/>
    <w:next w:val="151"/>
    <w:semiHidden/>
    <w:qFormat/>
    <w:uiPriority w:val="0"/>
    <w:pPr>
      <w:spacing w:after="553"/>
    </w:pPr>
    <w:rPr>
      <w:rFonts w:ascii="黑体" w:eastAsia="黑体" w:cs="Times New Roman"/>
      <w:color w:val="auto"/>
    </w:rPr>
  </w:style>
  <w:style w:type="paragraph" w:customStyle="1" w:styleId="2344">
    <w:name w:val="CM149"/>
    <w:basedOn w:val="151"/>
    <w:next w:val="151"/>
    <w:semiHidden/>
    <w:qFormat/>
    <w:uiPriority w:val="0"/>
    <w:pPr>
      <w:spacing w:after="5838"/>
    </w:pPr>
    <w:rPr>
      <w:rFonts w:ascii="黑体" w:eastAsia="黑体" w:cs="Times New Roman"/>
      <w:color w:val="auto"/>
    </w:rPr>
  </w:style>
  <w:style w:type="paragraph" w:customStyle="1" w:styleId="2345">
    <w:name w:val="CM33"/>
    <w:basedOn w:val="151"/>
    <w:next w:val="151"/>
    <w:semiHidden/>
    <w:qFormat/>
    <w:uiPriority w:val="0"/>
    <w:rPr>
      <w:rFonts w:ascii="黑体" w:eastAsia="黑体" w:cs="Times New Roman"/>
      <w:color w:val="auto"/>
    </w:rPr>
  </w:style>
  <w:style w:type="paragraph" w:customStyle="1" w:styleId="2346">
    <w:name w:val="CM34"/>
    <w:basedOn w:val="151"/>
    <w:next w:val="151"/>
    <w:semiHidden/>
    <w:qFormat/>
    <w:uiPriority w:val="0"/>
    <w:rPr>
      <w:rFonts w:ascii="黑体" w:eastAsia="黑体" w:cs="Times New Roman"/>
      <w:color w:val="auto"/>
    </w:rPr>
  </w:style>
  <w:style w:type="paragraph" w:customStyle="1" w:styleId="2347">
    <w:name w:val="CM35"/>
    <w:basedOn w:val="151"/>
    <w:next w:val="151"/>
    <w:semiHidden/>
    <w:qFormat/>
    <w:uiPriority w:val="0"/>
    <w:pPr>
      <w:spacing w:line="288" w:lineRule="atLeast"/>
    </w:pPr>
    <w:rPr>
      <w:rFonts w:ascii="黑体" w:eastAsia="黑体" w:cs="Times New Roman"/>
      <w:color w:val="auto"/>
    </w:rPr>
  </w:style>
  <w:style w:type="paragraph" w:customStyle="1" w:styleId="2348">
    <w:name w:val="CM150"/>
    <w:basedOn w:val="151"/>
    <w:next w:val="151"/>
    <w:semiHidden/>
    <w:qFormat/>
    <w:uiPriority w:val="0"/>
    <w:pPr>
      <w:spacing w:after="2050"/>
    </w:pPr>
    <w:rPr>
      <w:rFonts w:ascii="黑体" w:eastAsia="黑体" w:cs="Times New Roman"/>
      <w:color w:val="auto"/>
    </w:rPr>
  </w:style>
  <w:style w:type="paragraph" w:customStyle="1" w:styleId="2349">
    <w:name w:val="CM36"/>
    <w:basedOn w:val="151"/>
    <w:next w:val="151"/>
    <w:semiHidden/>
    <w:qFormat/>
    <w:uiPriority w:val="0"/>
    <w:pPr>
      <w:spacing w:line="468" w:lineRule="atLeast"/>
    </w:pPr>
    <w:rPr>
      <w:rFonts w:ascii="黑体" w:eastAsia="黑体" w:cs="Times New Roman"/>
      <w:color w:val="auto"/>
    </w:rPr>
  </w:style>
  <w:style w:type="paragraph" w:customStyle="1" w:styleId="2350">
    <w:name w:val="CM37"/>
    <w:basedOn w:val="151"/>
    <w:next w:val="151"/>
    <w:semiHidden/>
    <w:qFormat/>
    <w:uiPriority w:val="0"/>
    <w:pPr>
      <w:spacing w:line="478" w:lineRule="atLeast"/>
    </w:pPr>
    <w:rPr>
      <w:rFonts w:ascii="黑体" w:eastAsia="黑体" w:cs="Times New Roman"/>
      <w:color w:val="auto"/>
    </w:rPr>
  </w:style>
  <w:style w:type="paragraph" w:customStyle="1" w:styleId="2351">
    <w:name w:val="CM39"/>
    <w:basedOn w:val="151"/>
    <w:next w:val="151"/>
    <w:semiHidden/>
    <w:qFormat/>
    <w:uiPriority w:val="0"/>
    <w:pPr>
      <w:spacing w:line="468" w:lineRule="atLeast"/>
    </w:pPr>
    <w:rPr>
      <w:rFonts w:ascii="黑体" w:eastAsia="黑体" w:cs="Times New Roman"/>
      <w:color w:val="auto"/>
    </w:rPr>
  </w:style>
  <w:style w:type="paragraph" w:customStyle="1" w:styleId="2352">
    <w:name w:val="CM40"/>
    <w:basedOn w:val="151"/>
    <w:next w:val="151"/>
    <w:semiHidden/>
    <w:qFormat/>
    <w:uiPriority w:val="0"/>
    <w:rPr>
      <w:rFonts w:ascii="黑体" w:eastAsia="黑体" w:cs="Times New Roman"/>
      <w:color w:val="auto"/>
    </w:rPr>
  </w:style>
  <w:style w:type="paragraph" w:customStyle="1" w:styleId="2353">
    <w:name w:val="CM139"/>
    <w:basedOn w:val="151"/>
    <w:next w:val="151"/>
    <w:semiHidden/>
    <w:qFormat/>
    <w:uiPriority w:val="0"/>
    <w:pPr>
      <w:spacing w:after="953"/>
    </w:pPr>
    <w:rPr>
      <w:rFonts w:ascii="黑体" w:eastAsia="黑体" w:cs="Times New Roman"/>
      <w:color w:val="auto"/>
    </w:rPr>
  </w:style>
  <w:style w:type="paragraph" w:customStyle="1" w:styleId="2354">
    <w:name w:val="CM41"/>
    <w:basedOn w:val="151"/>
    <w:next w:val="151"/>
    <w:semiHidden/>
    <w:qFormat/>
    <w:uiPriority w:val="0"/>
    <w:pPr>
      <w:spacing w:line="480" w:lineRule="atLeast"/>
    </w:pPr>
    <w:rPr>
      <w:rFonts w:ascii="黑体" w:eastAsia="黑体" w:cs="Times New Roman"/>
      <w:color w:val="auto"/>
    </w:rPr>
  </w:style>
  <w:style w:type="paragraph" w:customStyle="1" w:styleId="2355">
    <w:name w:val="CM151"/>
    <w:basedOn w:val="151"/>
    <w:next w:val="151"/>
    <w:semiHidden/>
    <w:qFormat/>
    <w:uiPriority w:val="0"/>
    <w:pPr>
      <w:spacing w:after="1288"/>
    </w:pPr>
    <w:rPr>
      <w:rFonts w:ascii="黑体" w:eastAsia="黑体" w:cs="Times New Roman"/>
      <w:color w:val="auto"/>
    </w:rPr>
  </w:style>
  <w:style w:type="paragraph" w:customStyle="1" w:styleId="2356">
    <w:name w:val="CM42"/>
    <w:basedOn w:val="151"/>
    <w:next w:val="151"/>
    <w:semiHidden/>
    <w:qFormat/>
    <w:uiPriority w:val="0"/>
    <w:pPr>
      <w:spacing w:line="480" w:lineRule="atLeast"/>
    </w:pPr>
    <w:rPr>
      <w:rFonts w:ascii="黑体" w:eastAsia="黑体" w:cs="Times New Roman"/>
      <w:color w:val="auto"/>
    </w:rPr>
  </w:style>
  <w:style w:type="paragraph" w:customStyle="1" w:styleId="2357">
    <w:name w:val="CM43"/>
    <w:basedOn w:val="151"/>
    <w:next w:val="151"/>
    <w:semiHidden/>
    <w:qFormat/>
    <w:uiPriority w:val="0"/>
    <w:pPr>
      <w:spacing w:line="496" w:lineRule="atLeast"/>
    </w:pPr>
    <w:rPr>
      <w:rFonts w:ascii="黑体" w:eastAsia="黑体" w:cs="Times New Roman"/>
      <w:color w:val="auto"/>
    </w:rPr>
  </w:style>
  <w:style w:type="paragraph" w:customStyle="1" w:styleId="2358">
    <w:name w:val="CM44"/>
    <w:basedOn w:val="151"/>
    <w:next w:val="151"/>
    <w:semiHidden/>
    <w:qFormat/>
    <w:uiPriority w:val="0"/>
    <w:pPr>
      <w:spacing w:line="468" w:lineRule="atLeast"/>
    </w:pPr>
    <w:rPr>
      <w:rFonts w:ascii="黑体" w:eastAsia="黑体" w:cs="Times New Roman"/>
      <w:color w:val="auto"/>
    </w:rPr>
  </w:style>
  <w:style w:type="paragraph" w:customStyle="1" w:styleId="2359">
    <w:name w:val="CM47"/>
    <w:basedOn w:val="151"/>
    <w:next w:val="151"/>
    <w:semiHidden/>
    <w:qFormat/>
    <w:uiPriority w:val="0"/>
    <w:pPr>
      <w:spacing w:line="468" w:lineRule="atLeast"/>
    </w:pPr>
    <w:rPr>
      <w:rFonts w:ascii="黑体" w:eastAsia="黑体" w:cs="Times New Roman"/>
      <w:color w:val="auto"/>
    </w:rPr>
  </w:style>
  <w:style w:type="paragraph" w:customStyle="1" w:styleId="2360">
    <w:name w:val="CM48"/>
    <w:basedOn w:val="151"/>
    <w:next w:val="151"/>
    <w:semiHidden/>
    <w:qFormat/>
    <w:uiPriority w:val="0"/>
    <w:rPr>
      <w:rFonts w:ascii="黑体" w:eastAsia="黑体" w:cs="Times New Roman"/>
      <w:color w:val="auto"/>
    </w:rPr>
  </w:style>
  <w:style w:type="paragraph" w:customStyle="1" w:styleId="2361">
    <w:name w:val="CM152"/>
    <w:basedOn w:val="151"/>
    <w:next w:val="151"/>
    <w:semiHidden/>
    <w:qFormat/>
    <w:uiPriority w:val="0"/>
    <w:pPr>
      <w:spacing w:after="125"/>
    </w:pPr>
    <w:rPr>
      <w:rFonts w:ascii="黑体" w:eastAsia="黑体" w:cs="Times New Roman"/>
      <w:color w:val="auto"/>
    </w:rPr>
  </w:style>
  <w:style w:type="paragraph" w:customStyle="1" w:styleId="2362">
    <w:name w:val="CM49"/>
    <w:basedOn w:val="151"/>
    <w:next w:val="151"/>
    <w:semiHidden/>
    <w:qFormat/>
    <w:uiPriority w:val="0"/>
    <w:pPr>
      <w:spacing w:line="486" w:lineRule="atLeast"/>
    </w:pPr>
    <w:rPr>
      <w:rFonts w:ascii="黑体" w:eastAsia="黑体" w:cs="Times New Roman"/>
      <w:color w:val="auto"/>
    </w:rPr>
  </w:style>
  <w:style w:type="paragraph" w:customStyle="1" w:styleId="2363">
    <w:name w:val="CM50"/>
    <w:basedOn w:val="151"/>
    <w:next w:val="151"/>
    <w:qFormat/>
    <w:uiPriority w:val="0"/>
    <w:rPr>
      <w:rFonts w:ascii="黑体" w:eastAsia="黑体" w:cs="Times New Roman"/>
      <w:color w:val="auto"/>
    </w:rPr>
  </w:style>
  <w:style w:type="paragraph" w:customStyle="1" w:styleId="2364">
    <w:name w:val="CM51"/>
    <w:basedOn w:val="151"/>
    <w:next w:val="151"/>
    <w:semiHidden/>
    <w:qFormat/>
    <w:uiPriority w:val="0"/>
    <w:pPr>
      <w:spacing w:line="463" w:lineRule="atLeast"/>
    </w:pPr>
    <w:rPr>
      <w:rFonts w:ascii="黑体" w:eastAsia="黑体" w:cs="Times New Roman"/>
      <w:color w:val="auto"/>
    </w:rPr>
  </w:style>
  <w:style w:type="paragraph" w:customStyle="1" w:styleId="2365">
    <w:name w:val="CM52"/>
    <w:basedOn w:val="151"/>
    <w:next w:val="151"/>
    <w:semiHidden/>
    <w:qFormat/>
    <w:uiPriority w:val="0"/>
    <w:rPr>
      <w:rFonts w:ascii="黑体" w:eastAsia="黑体" w:cs="Times New Roman"/>
      <w:color w:val="auto"/>
    </w:rPr>
  </w:style>
  <w:style w:type="paragraph" w:customStyle="1" w:styleId="2366">
    <w:name w:val="CM53"/>
    <w:basedOn w:val="151"/>
    <w:next w:val="151"/>
    <w:qFormat/>
    <w:uiPriority w:val="0"/>
    <w:rPr>
      <w:rFonts w:ascii="黑体" w:eastAsia="黑体" w:cs="Times New Roman"/>
      <w:color w:val="auto"/>
    </w:rPr>
  </w:style>
  <w:style w:type="paragraph" w:customStyle="1" w:styleId="2367">
    <w:name w:val="CM54"/>
    <w:basedOn w:val="151"/>
    <w:next w:val="151"/>
    <w:semiHidden/>
    <w:qFormat/>
    <w:uiPriority w:val="0"/>
    <w:rPr>
      <w:rFonts w:ascii="黑体" w:eastAsia="黑体" w:cs="Times New Roman"/>
      <w:color w:val="auto"/>
    </w:rPr>
  </w:style>
  <w:style w:type="paragraph" w:customStyle="1" w:styleId="2368">
    <w:name w:val="CM56"/>
    <w:basedOn w:val="151"/>
    <w:next w:val="151"/>
    <w:semiHidden/>
    <w:qFormat/>
    <w:uiPriority w:val="0"/>
    <w:pPr>
      <w:spacing w:line="466" w:lineRule="atLeast"/>
    </w:pPr>
    <w:rPr>
      <w:rFonts w:ascii="黑体" w:eastAsia="黑体" w:cs="Times New Roman"/>
      <w:color w:val="auto"/>
    </w:rPr>
  </w:style>
  <w:style w:type="paragraph" w:customStyle="1" w:styleId="2369">
    <w:name w:val="CM57"/>
    <w:basedOn w:val="151"/>
    <w:next w:val="151"/>
    <w:semiHidden/>
    <w:qFormat/>
    <w:uiPriority w:val="0"/>
    <w:rPr>
      <w:rFonts w:ascii="黑体" w:eastAsia="黑体" w:cs="Times New Roman"/>
      <w:color w:val="auto"/>
    </w:rPr>
  </w:style>
  <w:style w:type="paragraph" w:customStyle="1" w:styleId="2370">
    <w:name w:val="CM154"/>
    <w:basedOn w:val="151"/>
    <w:next w:val="151"/>
    <w:semiHidden/>
    <w:qFormat/>
    <w:uiPriority w:val="0"/>
    <w:pPr>
      <w:spacing w:after="70"/>
    </w:pPr>
    <w:rPr>
      <w:rFonts w:ascii="黑体" w:eastAsia="黑体" w:cs="Times New Roman"/>
      <w:color w:val="auto"/>
    </w:rPr>
  </w:style>
  <w:style w:type="paragraph" w:customStyle="1" w:styleId="2371">
    <w:name w:val="CM155"/>
    <w:basedOn w:val="151"/>
    <w:next w:val="151"/>
    <w:semiHidden/>
    <w:qFormat/>
    <w:uiPriority w:val="0"/>
    <w:pPr>
      <w:spacing w:after="1173"/>
    </w:pPr>
    <w:rPr>
      <w:rFonts w:ascii="黑体" w:eastAsia="黑体" w:cs="Times New Roman"/>
      <w:color w:val="auto"/>
    </w:rPr>
  </w:style>
  <w:style w:type="paragraph" w:customStyle="1" w:styleId="2372">
    <w:name w:val="CM59"/>
    <w:basedOn w:val="151"/>
    <w:next w:val="151"/>
    <w:semiHidden/>
    <w:qFormat/>
    <w:uiPriority w:val="0"/>
    <w:pPr>
      <w:spacing w:line="468" w:lineRule="atLeast"/>
    </w:pPr>
    <w:rPr>
      <w:rFonts w:ascii="黑体" w:eastAsia="黑体" w:cs="Times New Roman"/>
      <w:color w:val="auto"/>
    </w:rPr>
  </w:style>
  <w:style w:type="paragraph" w:customStyle="1" w:styleId="2373">
    <w:name w:val="CM60"/>
    <w:basedOn w:val="151"/>
    <w:next w:val="151"/>
    <w:semiHidden/>
    <w:qFormat/>
    <w:uiPriority w:val="0"/>
    <w:pPr>
      <w:spacing w:line="468" w:lineRule="atLeast"/>
    </w:pPr>
    <w:rPr>
      <w:rFonts w:ascii="黑体" w:eastAsia="黑体" w:cs="Times New Roman"/>
      <w:color w:val="auto"/>
    </w:rPr>
  </w:style>
  <w:style w:type="paragraph" w:customStyle="1" w:styleId="2374">
    <w:name w:val="CM61"/>
    <w:basedOn w:val="151"/>
    <w:next w:val="151"/>
    <w:semiHidden/>
    <w:qFormat/>
    <w:uiPriority w:val="0"/>
    <w:pPr>
      <w:spacing w:line="463" w:lineRule="atLeast"/>
    </w:pPr>
    <w:rPr>
      <w:rFonts w:ascii="黑体" w:eastAsia="黑体" w:cs="Times New Roman"/>
      <w:color w:val="auto"/>
    </w:rPr>
  </w:style>
  <w:style w:type="paragraph" w:customStyle="1" w:styleId="2375">
    <w:name w:val="CM62"/>
    <w:basedOn w:val="151"/>
    <w:next w:val="151"/>
    <w:semiHidden/>
    <w:qFormat/>
    <w:uiPriority w:val="0"/>
    <w:rPr>
      <w:rFonts w:ascii="黑体" w:eastAsia="黑体" w:cs="Times New Roman"/>
      <w:color w:val="auto"/>
    </w:rPr>
  </w:style>
  <w:style w:type="paragraph" w:customStyle="1" w:styleId="2376">
    <w:name w:val="CM156"/>
    <w:basedOn w:val="151"/>
    <w:next w:val="151"/>
    <w:semiHidden/>
    <w:qFormat/>
    <w:uiPriority w:val="0"/>
    <w:pPr>
      <w:spacing w:after="315"/>
    </w:pPr>
    <w:rPr>
      <w:rFonts w:ascii="黑体" w:eastAsia="黑体" w:cs="Times New Roman"/>
      <w:color w:val="auto"/>
    </w:rPr>
  </w:style>
  <w:style w:type="paragraph" w:customStyle="1" w:styleId="2377">
    <w:name w:val="CM157"/>
    <w:basedOn w:val="151"/>
    <w:next w:val="151"/>
    <w:semiHidden/>
    <w:qFormat/>
    <w:uiPriority w:val="0"/>
    <w:pPr>
      <w:spacing w:after="420"/>
    </w:pPr>
    <w:rPr>
      <w:rFonts w:ascii="黑体" w:eastAsia="黑体" w:cs="Times New Roman"/>
      <w:color w:val="auto"/>
    </w:rPr>
  </w:style>
  <w:style w:type="paragraph" w:customStyle="1" w:styleId="2378">
    <w:name w:val="CM153"/>
    <w:basedOn w:val="151"/>
    <w:next w:val="151"/>
    <w:semiHidden/>
    <w:qFormat/>
    <w:uiPriority w:val="0"/>
    <w:pPr>
      <w:spacing w:after="338"/>
    </w:pPr>
    <w:rPr>
      <w:rFonts w:ascii="黑体" w:eastAsia="黑体" w:cs="Times New Roman"/>
      <w:color w:val="auto"/>
    </w:rPr>
  </w:style>
  <w:style w:type="paragraph" w:customStyle="1" w:styleId="2379">
    <w:name w:val="CM158"/>
    <w:basedOn w:val="151"/>
    <w:next w:val="151"/>
    <w:semiHidden/>
    <w:qFormat/>
    <w:uiPriority w:val="0"/>
    <w:pPr>
      <w:spacing w:after="1813"/>
    </w:pPr>
    <w:rPr>
      <w:rFonts w:ascii="黑体" w:eastAsia="黑体" w:cs="Times New Roman"/>
      <w:color w:val="auto"/>
    </w:rPr>
  </w:style>
  <w:style w:type="paragraph" w:customStyle="1" w:styleId="2380">
    <w:name w:val="CM65"/>
    <w:basedOn w:val="151"/>
    <w:next w:val="151"/>
    <w:semiHidden/>
    <w:qFormat/>
    <w:uiPriority w:val="0"/>
    <w:rPr>
      <w:rFonts w:ascii="黑体" w:eastAsia="黑体" w:cs="Times New Roman"/>
      <w:color w:val="auto"/>
    </w:rPr>
  </w:style>
  <w:style w:type="paragraph" w:customStyle="1" w:styleId="2381">
    <w:name w:val="CM159"/>
    <w:basedOn w:val="151"/>
    <w:next w:val="151"/>
    <w:semiHidden/>
    <w:qFormat/>
    <w:uiPriority w:val="0"/>
    <w:pPr>
      <w:spacing w:after="1338"/>
    </w:pPr>
    <w:rPr>
      <w:rFonts w:ascii="黑体" w:eastAsia="黑体" w:cs="Times New Roman"/>
      <w:color w:val="auto"/>
    </w:rPr>
  </w:style>
  <w:style w:type="paragraph" w:customStyle="1" w:styleId="2382">
    <w:name w:val="CM66"/>
    <w:basedOn w:val="151"/>
    <w:next w:val="151"/>
    <w:semiHidden/>
    <w:qFormat/>
    <w:uiPriority w:val="0"/>
    <w:pPr>
      <w:spacing w:line="463" w:lineRule="atLeast"/>
    </w:pPr>
    <w:rPr>
      <w:rFonts w:ascii="黑体" w:eastAsia="黑体" w:cs="Times New Roman"/>
      <w:color w:val="auto"/>
    </w:rPr>
  </w:style>
  <w:style w:type="paragraph" w:customStyle="1" w:styleId="2383">
    <w:name w:val="CM67"/>
    <w:basedOn w:val="151"/>
    <w:next w:val="151"/>
    <w:semiHidden/>
    <w:qFormat/>
    <w:uiPriority w:val="0"/>
    <w:pPr>
      <w:spacing w:line="466" w:lineRule="atLeast"/>
    </w:pPr>
    <w:rPr>
      <w:rFonts w:ascii="黑体" w:eastAsia="黑体" w:cs="Times New Roman"/>
      <w:color w:val="auto"/>
    </w:rPr>
  </w:style>
  <w:style w:type="paragraph" w:customStyle="1" w:styleId="2384">
    <w:name w:val="CM70"/>
    <w:basedOn w:val="151"/>
    <w:next w:val="151"/>
    <w:semiHidden/>
    <w:qFormat/>
    <w:uiPriority w:val="0"/>
    <w:rPr>
      <w:rFonts w:ascii="黑体" w:eastAsia="黑体" w:cs="Times New Roman"/>
      <w:color w:val="auto"/>
    </w:rPr>
  </w:style>
  <w:style w:type="paragraph" w:customStyle="1" w:styleId="2385">
    <w:name w:val="CM75"/>
    <w:basedOn w:val="151"/>
    <w:next w:val="151"/>
    <w:semiHidden/>
    <w:qFormat/>
    <w:uiPriority w:val="0"/>
    <w:pPr>
      <w:spacing w:line="456" w:lineRule="atLeast"/>
    </w:pPr>
    <w:rPr>
      <w:rFonts w:ascii="黑体" w:eastAsia="黑体" w:cs="Times New Roman"/>
      <w:color w:val="auto"/>
    </w:rPr>
  </w:style>
  <w:style w:type="paragraph" w:customStyle="1" w:styleId="2386">
    <w:name w:val="CM76"/>
    <w:basedOn w:val="151"/>
    <w:next w:val="151"/>
    <w:semiHidden/>
    <w:qFormat/>
    <w:uiPriority w:val="0"/>
    <w:pPr>
      <w:spacing w:line="483" w:lineRule="atLeast"/>
    </w:pPr>
    <w:rPr>
      <w:rFonts w:ascii="黑体" w:eastAsia="黑体" w:cs="Times New Roman"/>
      <w:color w:val="auto"/>
    </w:rPr>
  </w:style>
  <w:style w:type="paragraph" w:customStyle="1" w:styleId="2387">
    <w:name w:val="CM77"/>
    <w:basedOn w:val="151"/>
    <w:next w:val="151"/>
    <w:semiHidden/>
    <w:qFormat/>
    <w:uiPriority w:val="0"/>
    <w:pPr>
      <w:spacing w:line="468" w:lineRule="atLeast"/>
    </w:pPr>
    <w:rPr>
      <w:rFonts w:ascii="黑体" w:eastAsia="黑体" w:cs="Times New Roman"/>
      <w:color w:val="auto"/>
    </w:rPr>
  </w:style>
  <w:style w:type="paragraph" w:customStyle="1" w:styleId="2388">
    <w:name w:val="CM78"/>
    <w:basedOn w:val="151"/>
    <w:next w:val="151"/>
    <w:semiHidden/>
    <w:qFormat/>
    <w:uiPriority w:val="0"/>
    <w:rPr>
      <w:rFonts w:ascii="黑体" w:eastAsia="黑体" w:cs="Times New Roman"/>
      <w:color w:val="auto"/>
    </w:rPr>
  </w:style>
  <w:style w:type="paragraph" w:customStyle="1" w:styleId="2389">
    <w:name w:val="CM79"/>
    <w:basedOn w:val="151"/>
    <w:next w:val="151"/>
    <w:semiHidden/>
    <w:qFormat/>
    <w:uiPriority w:val="0"/>
    <w:rPr>
      <w:rFonts w:ascii="黑体" w:eastAsia="黑体" w:cs="Times New Roman"/>
      <w:color w:val="auto"/>
    </w:rPr>
  </w:style>
  <w:style w:type="paragraph" w:customStyle="1" w:styleId="2390">
    <w:name w:val="CM80"/>
    <w:basedOn w:val="151"/>
    <w:next w:val="151"/>
    <w:semiHidden/>
    <w:qFormat/>
    <w:uiPriority w:val="0"/>
    <w:rPr>
      <w:rFonts w:ascii="黑体" w:eastAsia="黑体" w:cs="Times New Roman"/>
      <w:color w:val="auto"/>
    </w:rPr>
  </w:style>
  <w:style w:type="paragraph" w:customStyle="1" w:styleId="2391">
    <w:name w:val="CM81"/>
    <w:basedOn w:val="151"/>
    <w:next w:val="151"/>
    <w:semiHidden/>
    <w:qFormat/>
    <w:uiPriority w:val="0"/>
    <w:rPr>
      <w:rFonts w:ascii="黑体" w:eastAsia="黑体" w:cs="Times New Roman"/>
      <w:color w:val="auto"/>
    </w:rPr>
  </w:style>
  <w:style w:type="paragraph" w:customStyle="1" w:styleId="2392">
    <w:name w:val="CM82"/>
    <w:basedOn w:val="151"/>
    <w:next w:val="151"/>
    <w:semiHidden/>
    <w:qFormat/>
    <w:uiPriority w:val="0"/>
    <w:rPr>
      <w:rFonts w:ascii="黑体" w:eastAsia="黑体" w:cs="Times New Roman"/>
      <w:color w:val="auto"/>
    </w:rPr>
  </w:style>
  <w:style w:type="paragraph" w:customStyle="1" w:styleId="2393">
    <w:name w:val="CM83"/>
    <w:basedOn w:val="151"/>
    <w:next w:val="151"/>
    <w:semiHidden/>
    <w:qFormat/>
    <w:uiPriority w:val="0"/>
    <w:rPr>
      <w:rFonts w:ascii="黑体" w:eastAsia="黑体" w:cs="Times New Roman"/>
      <w:color w:val="auto"/>
    </w:rPr>
  </w:style>
  <w:style w:type="paragraph" w:customStyle="1" w:styleId="2394">
    <w:name w:val="CM84"/>
    <w:basedOn w:val="151"/>
    <w:next w:val="151"/>
    <w:semiHidden/>
    <w:qFormat/>
    <w:uiPriority w:val="0"/>
    <w:rPr>
      <w:rFonts w:ascii="黑体" w:eastAsia="黑体" w:cs="Times New Roman"/>
      <w:color w:val="auto"/>
    </w:rPr>
  </w:style>
  <w:style w:type="paragraph" w:customStyle="1" w:styleId="2395">
    <w:name w:val="CM85"/>
    <w:basedOn w:val="151"/>
    <w:next w:val="151"/>
    <w:semiHidden/>
    <w:qFormat/>
    <w:uiPriority w:val="0"/>
    <w:rPr>
      <w:rFonts w:ascii="黑体" w:eastAsia="黑体" w:cs="Times New Roman"/>
      <w:color w:val="auto"/>
    </w:rPr>
  </w:style>
  <w:style w:type="paragraph" w:customStyle="1" w:styleId="2396">
    <w:name w:val="CM86"/>
    <w:basedOn w:val="151"/>
    <w:next w:val="151"/>
    <w:semiHidden/>
    <w:qFormat/>
    <w:uiPriority w:val="0"/>
    <w:rPr>
      <w:rFonts w:ascii="黑体" w:eastAsia="黑体" w:cs="Times New Roman"/>
      <w:color w:val="auto"/>
    </w:rPr>
  </w:style>
  <w:style w:type="paragraph" w:customStyle="1" w:styleId="2397">
    <w:name w:val="CM88"/>
    <w:basedOn w:val="151"/>
    <w:next w:val="151"/>
    <w:semiHidden/>
    <w:qFormat/>
    <w:uiPriority w:val="0"/>
    <w:rPr>
      <w:rFonts w:ascii="黑体" w:eastAsia="黑体" w:cs="Times New Roman"/>
      <w:color w:val="auto"/>
    </w:rPr>
  </w:style>
  <w:style w:type="paragraph" w:customStyle="1" w:styleId="2398">
    <w:name w:val="CM89"/>
    <w:basedOn w:val="151"/>
    <w:next w:val="151"/>
    <w:semiHidden/>
    <w:qFormat/>
    <w:uiPriority w:val="0"/>
    <w:rPr>
      <w:rFonts w:ascii="黑体" w:eastAsia="黑体" w:cs="Times New Roman"/>
      <w:color w:val="auto"/>
    </w:rPr>
  </w:style>
  <w:style w:type="paragraph" w:customStyle="1" w:styleId="2399">
    <w:name w:val="CM90"/>
    <w:basedOn w:val="151"/>
    <w:next w:val="151"/>
    <w:semiHidden/>
    <w:qFormat/>
    <w:uiPriority w:val="0"/>
    <w:rPr>
      <w:rFonts w:ascii="黑体" w:eastAsia="黑体" w:cs="Times New Roman"/>
      <w:color w:val="auto"/>
    </w:rPr>
  </w:style>
  <w:style w:type="paragraph" w:customStyle="1" w:styleId="2400">
    <w:name w:val="CM91"/>
    <w:basedOn w:val="151"/>
    <w:next w:val="151"/>
    <w:semiHidden/>
    <w:qFormat/>
    <w:uiPriority w:val="0"/>
    <w:rPr>
      <w:rFonts w:ascii="黑体" w:eastAsia="黑体" w:cs="Times New Roman"/>
      <w:color w:val="auto"/>
    </w:rPr>
  </w:style>
  <w:style w:type="paragraph" w:customStyle="1" w:styleId="2401">
    <w:name w:val="CM92"/>
    <w:basedOn w:val="151"/>
    <w:next w:val="151"/>
    <w:semiHidden/>
    <w:qFormat/>
    <w:uiPriority w:val="0"/>
    <w:rPr>
      <w:rFonts w:ascii="黑体" w:eastAsia="黑体" w:cs="Times New Roman"/>
      <w:color w:val="auto"/>
    </w:rPr>
  </w:style>
  <w:style w:type="paragraph" w:customStyle="1" w:styleId="2402">
    <w:name w:val="CM160"/>
    <w:basedOn w:val="151"/>
    <w:next w:val="151"/>
    <w:semiHidden/>
    <w:qFormat/>
    <w:uiPriority w:val="0"/>
    <w:pPr>
      <w:spacing w:after="210"/>
    </w:pPr>
    <w:rPr>
      <w:rFonts w:ascii="黑体" w:eastAsia="黑体" w:cs="Times New Roman"/>
      <w:color w:val="auto"/>
    </w:rPr>
  </w:style>
  <w:style w:type="paragraph" w:customStyle="1" w:styleId="2403">
    <w:name w:val="CM161"/>
    <w:basedOn w:val="151"/>
    <w:next w:val="151"/>
    <w:semiHidden/>
    <w:qFormat/>
    <w:uiPriority w:val="0"/>
    <w:pPr>
      <w:spacing w:after="1650"/>
    </w:pPr>
    <w:rPr>
      <w:rFonts w:ascii="黑体" w:eastAsia="黑体" w:cs="Times New Roman"/>
      <w:color w:val="auto"/>
    </w:rPr>
  </w:style>
  <w:style w:type="paragraph" w:customStyle="1" w:styleId="2404">
    <w:name w:val="CM93"/>
    <w:basedOn w:val="151"/>
    <w:next w:val="151"/>
    <w:semiHidden/>
    <w:qFormat/>
    <w:uiPriority w:val="0"/>
    <w:rPr>
      <w:rFonts w:ascii="黑体" w:eastAsia="黑体" w:cs="Times New Roman"/>
      <w:color w:val="auto"/>
    </w:rPr>
  </w:style>
  <w:style w:type="paragraph" w:customStyle="1" w:styleId="2405">
    <w:name w:val="CM94"/>
    <w:basedOn w:val="151"/>
    <w:next w:val="151"/>
    <w:semiHidden/>
    <w:qFormat/>
    <w:uiPriority w:val="0"/>
    <w:rPr>
      <w:rFonts w:ascii="黑体" w:eastAsia="黑体" w:cs="Times New Roman"/>
      <w:color w:val="auto"/>
    </w:rPr>
  </w:style>
  <w:style w:type="paragraph" w:customStyle="1" w:styleId="2406">
    <w:name w:val="CM95"/>
    <w:basedOn w:val="151"/>
    <w:next w:val="151"/>
    <w:semiHidden/>
    <w:qFormat/>
    <w:uiPriority w:val="0"/>
    <w:pPr>
      <w:spacing w:line="313" w:lineRule="atLeast"/>
    </w:pPr>
    <w:rPr>
      <w:rFonts w:ascii="黑体" w:eastAsia="黑体" w:cs="Times New Roman"/>
      <w:color w:val="auto"/>
    </w:rPr>
  </w:style>
  <w:style w:type="paragraph" w:customStyle="1" w:styleId="2407">
    <w:name w:val="CM96"/>
    <w:basedOn w:val="151"/>
    <w:next w:val="151"/>
    <w:semiHidden/>
    <w:qFormat/>
    <w:uiPriority w:val="0"/>
    <w:rPr>
      <w:rFonts w:ascii="黑体" w:eastAsia="黑体" w:cs="Times New Roman"/>
      <w:color w:val="auto"/>
    </w:rPr>
  </w:style>
  <w:style w:type="paragraph" w:customStyle="1" w:styleId="2408">
    <w:name w:val="CM97"/>
    <w:basedOn w:val="151"/>
    <w:next w:val="151"/>
    <w:semiHidden/>
    <w:qFormat/>
    <w:uiPriority w:val="0"/>
    <w:pPr>
      <w:spacing w:line="456" w:lineRule="atLeast"/>
    </w:pPr>
    <w:rPr>
      <w:rFonts w:ascii="黑体" w:eastAsia="黑体" w:cs="Times New Roman"/>
      <w:color w:val="auto"/>
    </w:rPr>
  </w:style>
  <w:style w:type="paragraph" w:customStyle="1" w:styleId="2409">
    <w:name w:val="CM98"/>
    <w:basedOn w:val="151"/>
    <w:next w:val="151"/>
    <w:semiHidden/>
    <w:qFormat/>
    <w:uiPriority w:val="0"/>
    <w:pPr>
      <w:spacing w:line="151" w:lineRule="atLeast"/>
    </w:pPr>
    <w:rPr>
      <w:rFonts w:ascii="黑体" w:eastAsia="黑体" w:cs="Times New Roman"/>
      <w:color w:val="auto"/>
    </w:rPr>
  </w:style>
  <w:style w:type="paragraph" w:customStyle="1" w:styleId="2410">
    <w:name w:val="CM99"/>
    <w:basedOn w:val="151"/>
    <w:next w:val="151"/>
    <w:semiHidden/>
    <w:qFormat/>
    <w:uiPriority w:val="0"/>
    <w:pPr>
      <w:spacing w:line="506" w:lineRule="atLeast"/>
    </w:pPr>
    <w:rPr>
      <w:rFonts w:ascii="黑体" w:eastAsia="黑体" w:cs="Times New Roman"/>
      <w:color w:val="auto"/>
    </w:rPr>
  </w:style>
  <w:style w:type="paragraph" w:customStyle="1" w:styleId="2411">
    <w:name w:val="CM102"/>
    <w:basedOn w:val="151"/>
    <w:next w:val="151"/>
    <w:semiHidden/>
    <w:qFormat/>
    <w:uiPriority w:val="0"/>
    <w:pPr>
      <w:spacing w:line="506" w:lineRule="atLeast"/>
    </w:pPr>
    <w:rPr>
      <w:rFonts w:ascii="黑体" w:eastAsia="黑体" w:cs="Times New Roman"/>
      <w:color w:val="auto"/>
    </w:rPr>
  </w:style>
  <w:style w:type="paragraph" w:customStyle="1" w:styleId="2412">
    <w:name w:val="CM103"/>
    <w:basedOn w:val="151"/>
    <w:next w:val="151"/>
    <w:semiHidden/>
    <w:qFormat/>
    <w:uiPriority w:val="0"/>
    <w:pPr>
      <w:spacing w:line="508" w:lineRule="atLeast"/>
    </w:pPr>
    <w:rPr>
      <w:rFonts w:ascii="黑体" w:eastAsia="黑体" w:cs="Times New Roman"/>
      <w:color w:val="auto"/>
    </w:rPr>
  </w:style>
  <w:style w:type="paragraph" w:customStyle="1" w:styleId="2413">
    <w:name w:val="CM163"/>
    <w:basedOn w:val="151"/>
    <w:next w:val="151"/>
    <w:semiHidden/>
    <w:qFormat/>
    <w:uiPriority w:val="0"/>
    <w:pPr>
      <w:spacing w:after="2548"/>
    </w:pPr>
    <w:rPr>
      <w:rFonts w:ascii="黑体" w:eastAsia="黑体" w:cs="Times New Roman"/>
      <w:color w:val="auto"/>
    </w:rPr>
  </w:style>
  <w:style w:type="paragraph" w:customStyle="1" w:styleId="2414">
    <w:name w:val="CM164"/>
    <w:basedOn w:val="151"/>
    <w:next w:val="151"/>
    <w:semiHidden/>
    <w:qFormat/>
    <w:uiPriority w:val="0"/>
    <w:pPr>
      <w:spacing w:after="1108"/>
    </w:pPr>
    <w:rPr>
      <w:rFonts w:ascii="黑体" w:eastAsia="黑体" w:cs="Times New Roman"/>
      <w:color w:val="auto"/>
    </w:rPr>
  </w:style>
  <w:style w:type="paragraph" w:customStyle="1" w:styleId="2415">
    <w:name w:val="CM104"/>
    <w:basedOn w:val="151"/>
    <w:next w:val="151"/>
    <w:semiHidden/>
    <w:qFormat/>
    <w:uiPriority w:val="0"/>
    <w:pPr>
      <w:spacing w:line="506" w:lineRule="atLeast"/>
    </w:pPr>
    <w:rPr>
      <w:rFonts w:ascii="黑体" w:eastAsia="黑体" w:cs="Times New Roman"/>
      <w:color w:val="auto"/>
    </w:rPr>
  </w:style>
  <w:style w:type="paragraph" w:customStyle="1" w:styleId="2416">
    <w:name w:val="CM165"/>
    <w:basedOn w:val="151"/>
    <w:next w:val="151"/>
    <w:semiHidden/>
    <w:qFormat/>
    <w:uiPriority w:val="0"/>
    <w:pPr>
      <w:spacing w:after="2625"/>
    </w:pPr>
    <w:rPr>
      <w:rFonts w:ascii="黑体" w:eastAsia="黑体" w:cs="Times New Roman"/>
      <w:color w:val="auto"/>
    </w:rPr>
  </w:style>
  <w:style w:type="paragraph" w:customStyle="1" w:styleId="2417">
    <w:name w:val="CM105"/>
    <w:basedOn w:val="151"/>
    <w:next w:val="151"/>
    <w:semiHidden/>
    <w:qFormat/>
    <w:uiPriority w:val="0"/>
    <w:pPr>
      <w:spacing w:line="233" w:lineRule="atLeast"/>
    </w:pPr>
    <w:rPr>
      <w:rFonts w:ascii="黑体" w:eastAsia="黑体" w:cs="Times New Roman"/>
      <w:color w:val="auto"/>
    </w:rPr>
  </w:style>
  <w:style w:type="paragraph" w:customStyle="1" w:styleId="2418">
    <w:name w:val="CM106"/>
    <w:basedOn w:val="151"/>
    <w:next w:val="151"/>
    <w:semiHidden/>
    <w:qFormat/>
    <w:uiPriority w:val="0"/>
    <w:rPr>
      <w:rFonts w:ascii="黑体" w:eastAsia="黑体" w:cs="Times New Roman"/>
      <w:color w:val="auto"/>
    </w:rPr>
  </w:style>
  <w:style w:type="paragraph" w:customStyle="1" w:styleId="2419">
    <w:name w:val="CM108"/>
    <w:basedOn w:val="151"/>
    <w:next w:val="151"/>
    <w:semiHidden/>
    <w:qFormat/>
    <w:uiPriority w:val="0"/>
    <w:pPr>
      <w:spacing w:line="468" w:lineRule="atLeast"/>
    </w:pPr>
    <w:rPr>
      <w:rFonts w:ascii="黑体" w:eastAsia="黑体" w:cs="Times New Roman"/>
      <w:color w:val="auto"/>
    </w:rPr>
  </w:style>
  <w:style w:type="paragraph" w:customStyle="1" w:styleId="2420">
    <w:name w:val="CM109"/>
    <w:basedOn w:val="151"/>
    <w:next w:val="151"/>
    <w:semiHidden/>
    <w:qFormat/>
    <w:uiPriority w:val="0"/>
    <w:pPr>
      <w:spacing w:line="488" w:lineRule="atLeast"/>
    </w:pPr>
    <w:rPr>
      <w:rFonts w:ascii="黑体" w:eastAsia="黑体" w:cs="Times New Roman"/>
      <w:color w:val="auto"/>
    </w:rPr>
  </w:style>
  <w:style w:type="paragraph" w:customStyle="1" w:styleId="2421">
    <w:name w:val="CM110"/>
    <w:basedOn w:val="151"/>
    <w:next w:val="151"/>
    <w:semiHidden/>
    <w:qFormat/>
    <w:uiPriority w:val="0"/>
    <w:pPr>
      <w:spacing w:line="468" w:lineRule="atLeast"/>
    </w:pPr>
    <w:rPr>
      <w:rFonts w:ascii="黑体" w:eastAsia="黑体" w:cs="Times New Roman"/>
      <w:color w:val="auto"/>
    </w:rPr>
  </w:style>
  <w:style w:type="paragraph" w:customStyle="1" w:styleId="2422">
    <w:name w:val="CM113"/>
    <w:basedOn w:val="151"/>
    <w:next w:val="151"/>
    <w:semiHidden/>
    <w:qFormat/>
    <w:uiPriority w:val="0"/>
    <w:rPr>
      <w:rFonts w:ascii="黑体" w:eastAsia="黑体" w:cs="Times New Roman"/>
      <w:color w:val="auto"/>
    </w:rPr>
  </w:style>
  <w:style w:type="paragraph" w:customStyle="1" w:styleId="2423">
    <w:name w:val="CM114"/>
    <w:basedOn w:val="151"/>
    <w:next w:val="151"/>
    <w:semiHidden/>
    <w:qFormat/>
    <w:uiPriority w:val="0"/>
    <w:pPr>
      <w:spacing w:line="468" w:lineRule="atLeast"/>
    </w:pPr>
    <w:rPr>
      <w:rFonts w:ascii="黑体" w:eastAsia="黑体" w:cs="Times New Roman"/>
      <w:color w:val="auto"/>
    </w:rPr>
  </w:style>
  <w:style w:type="paragraph" w:customStyle="1" w:styleId="2424">
    <w:name w:val="CM122"/>
    <w:basedOn w:val="151"/>
    <w:next w:val="151"/>
    <w:semiHidden/>
    <w:qFormat/>
    <w:uiPriority w:val="0"/>
    <w:pPr>
      <w:spacing w:line="478" w:lineRule="atLeast"/>
    </w:pPr>
    <w:rPr>
      <w:rFonts w:ascii="黑体" w:eastAsia="黑体" w:cs="Times New Roman"/>
      <w:color w:val="auto"/>
    </w:rPr>
  </w:style>
  <w:style w:type="paragraph" w:customStyle="1" w:styleId="2425">
    <w:name w:val="CM124"/>
    <w:basedOn w:val="151"/>
    <w:next w:val="151"/>
    <w:semiHidden/>
    <w:qFormat/>
    <w:uiPriority w:val="0"/>
    <w:rPr>
      <w:rFonts w:ascii="黑体" w:eastAsia="黑体" w:cs="Times New Roman"/>
      <w:color w:val="auto"/>
    </w:rPr>
  </w:style>
  <w:style w:type="paragraph" w:customStyle="1" w:styleId="2426">
    <w:name w:val="CM72"/>
    <w:basedOn w:val="151"/>
    <w:next w:val="151"/>
    <w:semiHidden/>
    <w:qFormat/>
    <w:uiPriority w:val="0"/>
    <w:pPr>
      <w:spacing w:line="468" w:lineRule="atLeast"/>
    </w:pPr>
    <w:rPr>
      <w:rFonts w:ascii="黑体" w:eastAsia="黑体" w:cs="Times New Roman"/>
      <w:color w:val="auto"/>
    </w:rPr>
  </w:style>
  <w:style w:type="paragraph" w:customStyle="1" w:styleId="2427">
    <w:name w:val="CM166"/>
    <w:basedOn w:val="151"/>
    <w:next w:val="151"/>
    <w:semiHidden/>
    <w:qFormat/>
    <w:uiPriority w:val="0"/>
    <w:pPr>
      <w:spacing w:after="10073"/>
    </w:pPr>
    <w:rPr>
      <w:rFonts w:ascii="黑体" w:eastAsia="黑体" w:cs="Times New Roman"/>
      <w:color w:val="auto"/>
    </w:rPr>
  </w:style>
  <w:style w:type="paragraph" w:customStyle="1" w:styleId="2428">
    <w:name w:val="正文lly"/>
    <w:next w:val="1"/>
    <w:link w:val="2463"/>
    <w:semiHidden/>
    <w:qFormat/>
    <w:uiPriority w:val="0"/>
    <w:pPr>
      <w:jc w:val="center"/>
    </w:pPr>
    <w:rPr>
      <w:rFonts w:ascii="Times New Roman" w:hAnsi="Times New Roman" w:eastAsia="宋体" w:cs="Times New Roman"/>
      <w:bCs/>
      <w:kern w:val="2"/>
      <w:sz w:val="24"/>
      <w:szCs w:val="21"/>
      <w:lang w:val="en-US" w:eastAsia="zh-CN" w:bidi="ar-SA"/>
    </w:rPr>
  </w:style>
  <w:style w:type="character" w:customStyle="1" w:styleId="2429">
    <w:name w:val="search_content1"/>
    <w:qFormat/>
    <w:uiPriority w:val="0"/>
    <w:rPr>
      <w:sz w:val="20"/>
      <w:szCs w:val="20"/>
    </w:rPr>
  </w:style>
  <w:style w:type="character" w:customStyle="1" w:styleId="2430">
    <w:name w:val="style25"/>
    <w:basedOn w:val="133"/>
    <w:qFormat/>
    <w:uiPriority w:val="0"/>
  </w:style>
  <w:style w:type="paragraph" w:customStyle="1" w:styleId="2431">
    <w:name w:val="样式 标题 2节标题节second classSeH2H21标题 2XW标题 2 Char标题 2 Char ..."/>
    <w:basedOn w:val="3"/>
    <w:next w:val="3"/>
    <w:semiHidden/>
    <w:qFormat/>
    <w:uiPriority w:val="0"/>
    <w:pPr>
      <w:numPr>
        <w:ilvl w:val="0"/>
        <w:numId w:val="0"/>
      </w:numPr>
      <w:tabs>
        <w:tab w:val="clear" w:pos="480"/>
        <w:tab w:val="clear" w:pos="630"/>
      </w:tabs>
      <w:spacing w:before="120" w:line="600" w:lineRule="exact"/>
    </w:pPr>
    <w:rPr>
      <w:bCs w:val="0"/>
      <w:spacing w:val="4"/>
      <w:sz w:val="30"/>
      <w:szCs w:val="20"/>
    </w:rPr>
  </w:style>
  <w:style w:type="paragraph" w:customStyle="1" w:styleId="2432">
    <w:name w:val="表格标题TTT"/>
    <w:basedOn w:val="210"/>
    <w:semiHidden/>
    <w:qFormat/>
    <w:uiPriority w:val="0"/>
    <w:pPr>
      <w:spacing w:line="240" w:lineRule="auto"/>
      <w:ind w:firstLine="0"/>
      <w:jc w:val="center"/>
    </w:pPr>
    <w:rPr>
      <w:rFonts w:cs="宋体"/>
      <w:b/>
      <w:bCs/>
      <w:color w:val="000000"/>
    </w:rPr>
  </w:style>
  <w:style w:type="paragraph" w:customStyle="1" w:styleId="2433">
    <w:name w:val="正文111111111"/>
    <w:basedOn w:val="1"/>
    <w:link w:val="2460"/>
    <w:semiHidden/>
    <w:qFormat/>
    <w:uiPriority w:val="0"/>
    <w:rPr>
      <w:rFonts w:cs="宋体"/>
      <w:szCs w:val="20"/>
    </w:rPr>
  </w:style>
  <w:style w:type="paragraph" w:customStyle="1" w:styleId="2434">
    <w:name w:val="样式 标题 1章标题 1h11st levelSection Headl1-*+标题 1 Char + 宋体 四..."/>
    <w:basedOn w:val="2"/>
    <w:semiHidden/>
    <w:qFormat/>
    <w:uiPriority w:val="0"/>
    <w:pPr>
      <w:widowControl/>
      <w:numPr>
        <w:numId w:val="31"/>
      </w:numPr>
      <w:tabs>
        <w:tab w:val="left" w:pos="360"/>
        <w:tab w:val="clear" w:pos="480"/>
      </w:tabs>
      <w:spacing w:before="0" w:after="0" w:line="480" w:lineRule="exact"/>
    </w:pPr>
    <w:rPr>
      <w:rFonts w:ascii="宋体" w:hAnsi="宋体" w:eastAsia="宋体" w:cs="宋体"/>
      <w:b w:val="0"/>
      <w:bCs w:val="0"/>
      <w:kern w:val="0"/>
      <w:sz w:val="28"/>
      <w:szCs w:val="20"/>
    </w:rPr>
  </w:style>
  <w:style w:type="character" w:customStyle="1" w:styleId="2435">
    <w:name w:val="8 Char Char"/>
    <w:link w:val="684"/>
    <w:qFormat/>
    <w:uiPriority w:val="0"/>
    <w:rPr>
      <w:rFonts w:ascii="Tahoma" w:hAnsi="Tahoma" w:eastAsia="宋体"/>
      <w:kern w:val="2"/>
      <w:sz w:val="24"/>
      <w:lang w:val="en-US" w:eastAsia="zh-CN" w:bidi="ar-SA"/>
    </w:rPr>
  </w:style>
  <w:style w:type="paragraph" w:customStyle="1" w:styleId="2436">
    <w:name w:val="环正文"/>
    <w:basedOn w:val="1"/>
    <w:qFormat/>
    <w:uiPriority w:val="0"/>
    <w:pPr>
      <w:widowControl/>
      <w:tabs>
        <w:tab w:val="clear" w:pos="480"/>
      </w:tabs>
      <w:suppressAutoHyphens/>
      <w:adjustRightInd w:val="0"/>
      <w:snapToGrid w:val="0"/>
      <w:ind w:firstLine="550"/>
      <w:textAlignment w:val="baseline"/>
    </w:pPr>
    <w:rPr>
      <w:rFonts w:ascii="宋体" w:hAnsi="宋体"/>
      <w:bCs/>
      <w:kern w:val="0"/>
    </w:rPr>
  </w:style>
  <w:style w:type="character" w:customStyle="1" w:styleId="2437">
    <w:name w:val="8 Char1 Char Char"/>
    <w:link w:val="2438"/>
    <w:qFormat/>
    <w:locked/>
    <w:uiPriority w:val="0"/>
    <w:rPr>
      <w:rFonts w:ascii="宋体" w:hAnsi="宋体" w:eastAsia="宋体"/>
      <w:kern w:val="10"/>
      <w:sz w:val="24"/>
      <w:szCs w:val="24"/>
      <w:lang w:val="en-US" w:eastAsia="zh-CN" w:bidi="ar-SA"/>
    </w:rPr>
  </w:style>
  <w:style w:type="paragraph" w:customStyle="1" w:styleId="2438">
    <w:name w:val="8 Char1 Char"/>
    <w:basedOn w:val="1"/>
    <w:link w:val="2437"/>
    <w:semiHidden/>
    <w:qFormat/>
    <w:uiPriority w:val="0"/>
    <w:pPr>
      <w:tabs>
        <w:tab w:val="clear" w:pos="480"/>
      </w:tabs>
      <w:ind w:firstLine="480"/>
    </w:pPr>
    <w:rPr>
      <w:rFonts w:ascii="宋体" w:hAnsi="宋体"/>
      <w:kern w:val="10"/>
    </w:rPr>
  </w:style>
  <w:style w:type="character" w:customStyle="1" w:styleId="2439">
    <w:name w:val="8 Char1"/>
    <w:link w:val="519"/>
    <w:qFormat/>
    <w:uiPriority w:val="0"/>
    <w:rPr>
      <w:rFonts w:eastAsia="宋体"/>
      <w:kern w:val="2"/>
      <w:sz w:val="24"/>
      <w:lang w:val="en-US" w:eastAsia="zh-CN" w:bidi="ar-SA"/>
    </w:rPr>
  </w:style>
  <w:style w:type="paragraph" w:customStyle="1" w:styleId="2440">
    <w:name w:val="封面标准号1"/>
    <w:semiHidden/>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kern w:val="2"/>
      <w:sz w:val="28"/>
      <w:szCs w:val="24"/>
      <w:lang w:val="en-US" w:eastAsia="zh-CN" w:bidi="ar-SA"/>
    </w:rPr>
  </w:style>
  <w:style w:type="character" w:customStyle="1" w:styleId="2441">
    <w:name w:val="样式5 Char"/>
    <w:link w:val="167"/>
    <w:qFormat/>
    <w:uiPriority w:val="0"/>
    <w:rPr>
      <w:rFonts w:eastAsia="宋体"/>
      <w:kern w:val="2"/>
      <w:sz w:val="21"/>
      <w:szCs w:val="24"/>
      <w:lang w:val="en-US" w:eastAsia="zh-CN" w:bidi="ar-SA"/>
    </w:rPr>
  </w:style>
  <w:style w:type="paragraph" w:customStyle="1" w:styleId="2442">
    <w:name w:val="Char Char Char Char11"/>
    <w:basedOn w:val="1"/>
    <w:semiHidden/>
    <w:qFormat/>
    <w:uiPriority w:val="0"/>
    <w:pPr>
      <w:tabs>
        <w:tab w:val="clear" w:pos="480"/>
      </w:tabs>
      <w:spacing w:line="240" w:lineRule="auto"/>
    </w:pPr>
  </w:style>
  <w:style w:type="paragraph" w:customStyle="1" w:styleId="2443">
    <w:name w:val="湛江生物质发电正文"/>
    <w:basedOn w:val="1"/>
    <w:link w:val="2444"/>
    <w:semiHidden/>
    <w:qFormat/>
    <w:uiPriority w:val="0"/>
    <w:pPr>
      <w:tabs>
        <w:tab w:val="clear" w:pos="480"/>
      </w:tabs>
      <w:spacing w:line="324" w:lineRule="auto"/>
      <w:ind w:firstLine="480"/>
    </w:pPr>
    <w:rPr>
      <w:rFonts w:ascii="宋体" w:hAnsi="宋体" w:cs="宋体"/>
      <w:szCs w:val="20"/>
    </w:rPr>
  </w:style>
  <w:style w:type="character" w:customStyle="1" w:styleId="2444">
    <w:name w:val="湛江生物质发电正文 Char Char"/>
    <w:link w:val="2443"/>
    <w:qFormat/>
    <w:uiPriority w:val="0"/>
    <w:rPr>
      <w:rFonts w:ascii="宋体" w:hAnsi="宋体" w:eastAsia="宋体" w:cs="宋体"/>
      <w:kern w:val="2"/>
      <w:sz w:val="24"/>
      <w:lang w:val="en-US" w:eastAsia="zh-CN" w:bidi="ar-SA"/>
    </w:rPr>
  </w:style>
  <w:style w:type="paragraph" w:customStyle="1" w:styleId="2445">
    <w:name w:val="样式 题注 +"/>
    <w:basedOn w:val="21"/>
    <w:link w:val="2446"/>
    <w:semiHidden/>
    <w:qFormat/>
    <w:uiPriority w:val="0"/>
    <w:pPr>
      <w:keepNext/>
      <w:widowControl w:val="0"/>
      <w:spacing w:before="0" w:after="0"/>
      <w:ind w:firstLine="0" w:firstLineChars="0"/>
    </w:pPr>
    <w:rPr>
      <w:rFonts w:ascii="宋体" w:hAnsi="宋体" w:cs="Times New Roman"/>
      <w:b/>
      <w:color w:val="auto"/>
      <w:kern w:val="0"/>
      <w:szCs w:val="24"/>
      <w:u w:color="000000"/>
    </w:rPr>
  </w:style>
  <w:style w:type="character" w:customStyle="1" w:styleId="2446">
    <w:name w:val="样式 题注 + Char"/>
    <w:link w:val="2445"/>
    <w:qFormat/>
    <w:uiPriority w:val="0"/>
    <w:rPr>
      <w:rFonts w:ascii="宋体" w:hAnsi="宋体" w:eastAsia="宋体"/>
      <w:b/>
      <w:sz w:val="24"/>
      <w:szCs w:val="24"/>
      <w:u w:color="000000"/>
      <w:lang w:val="en-US" w:eastAsia="zh-CN" w:bidi="ar-SA"/>
    </w:rPr>
  </w:style>
  <w:style w:type="paragraph" w:customStyle="1" w:styleId="2447">
    <w:name w:val="标准标题 1..."/>
    <w:basedOn w:val="2"/>
    <w:semiHidden/>
    <w:qFormat/>
    <w:uiPriority w:val="0"/>
    <w:pPr>
      <w:numPr>
        <w:numId w:val="0"/>
      </w:numPr>
      <w:tabs>
        <w:tab w:val="clear" w:pos="480"/>
      </w:tabs>
      <w:adjustRightInd w:val="0"/>
      <w:snapToGrid w:val="0"/>
      <w:spacing w:before="300" w:after="300"/>
      <w:jc w:val="center"/>
    </w:pPr>
    <w:rPr>
      <w:rFonts w:ascii="Times New Roman" w:hAnsi="宋体" w:eastAsia="宋体"/>
      <w:kern w:val="2"/>
      <w:szCs w:val="30"/>
    </w:rPr>
  </w:style>
  <w:style w:type="paragraph" w:customStyle="1" w:styleId="2448">
    <w:name w:val="标准标题2"/>
    <w:basedOn w:val="3"/>
    <w:semiHidden/>
    <w:qFormat/>
    <w:uiPriority w:val="0"/>
    <w:pPr>
      <w:numPr>
        <w:numId w:val="0"/>
      </w:numPr>
      <w:tabs>
        <w:tab w:val="clear" w:pos="480"/>
        <w:tab w:val="clear" w:pos="630"/>
      </w:tabs>
      <w:adjustRightInd w:val="0"/>
      <w:snapToGrid w:val="0"/>
      <w:spacing w:beforeLines="50" w:afterLines="50"/>
      <w:jc w:val="left"/>
    </w:pPr>
    <w:rPr>
      <w:rFonts w:cs="Arial"/>
      <w:sz w:val="30"/>
      <w:szCs w:val="30"/>
    </w:rPr>
  </w:style>
  <w:style w:type="paragraph" w:customStyle="1" w:styleId="2449">
    <w:name w:val="我的正文 Char Char Char"/>
    <w:basedOn w:val="1"/>
    <w:next w:val="1"/>
    <w:semiHidden/>
    <w:qFormat/>
    <w:uiPriority w:val="0"/>
    <w:pPr>
      <w:tabs>
        <w:tab w:val="clear" w:pos="480"/>
      </w:tabs>
      <w:spacing w:line="520" w:lineRule="exact"/>
      <w:ind w:firstLine="540" w:firstLineChars="225"/>
    </w:pPr>
  </w:style>
  <w:style w:type="paragraph" w:customStyle="1" w:styleId="2450">
    <w:name w:val="样式 首行缩进:  2 字符4"/>
    <w:basedOn w:val="1"/>
    <w:link w:val="2891"/>
    <w:semiHidden/>
    <w:qFormat/>
    <w:uiPriority w:val="0"/>
    <w:pPr>
      <w:tabs>
        <w:tab w:val="clear" w:pos="480"/>
      </w:tabs>
      <w:spacing w:line="500" w:lineRule="exact"/>
      <w:ind w:firstLine="560"/>
    </w:pPr>
    <w:rPr>
      <w:rFonts w:ascii="宋体" w:hAnsi="宋体"/>
    </w:rPr>
  </w:style>
  <w:style w:type="paragraph" w:customStyle="1" w:styleId="2451">
    <w:name w:val="样式 题注 + 两端对齐"/>
    <w:basedOn w:val="21"/>
    <w:semiHidden/>
    <w:qFormat/>
    <w:uiPriority w:val="0"/>
    <w:pPr>
      <w:keepNext/>
      <w:widowControl w:val="0"/>
      <w:adjustRightInd/>
      <w:snapToGrid/>
      <w:ind w:left="482" w:leftChars="172" w:firstLine="0" w:firstLineChars="0"/>
      <w:jc w:val="both"/>
    </w:pPr>
    <w:rPr>
      <w:rFonts w:ascii="宋体" w:hAnsi="宋体" w:cs="Times New Roman"/>
      <w:b/>
      <w:color w:val="auto"/>
      <w:szCs w:val="24"/>
    </w:rPr>
  </w:style>
  <w:style w:type="character" w:customStyle="1" w:styleId="2452">
    <w:name w:val="css-text3"/>
    <w:basedOn w:val="133"/>
    <w:semiHidden/>
    <w:qFormat/>
    <w:uiPriority w:val="0"/>
  </w:style>
  <w:style w:type="character" w:customStyle="1" w:styleId="2453">
    <w:name w:val="p181"/>
    <w:semiHidden/>
    <w:qFormat/>
    <w:uiPriority w:val="0"/>
    <w:rPr>
      <w:b/>
      <w:bCs/>
      <w:color w:val="000066"/>
      <w:spacing w:val="31680"/>
      <w:sz w:val="34"/>
      <w:szCs w:val="34"/>
    </w:rPr>
  </w:style>
  <w:style w:type="character" w:customStyle="1" w:styleId="2454">
    <w:name w:val="p4"/>
    <w:basedOn w:val="133"/>
    <w:semiHidden/>
    <w:qFormat/>
    <w:uiPriority w:val="0"/>
  </w:style>
  <w:style w:type="paragraph" w:customStyle="1" w:styleId="2455">
    <w:name w:val="样式 标题 3 + 自动设置"/>
    <w:basedOn w:val="4"/>
    <w:link w:val="2456"/>
    <w:semiHidden/>
    <w:qFormat/>
    <w:uiPriority w:val="0"/>
    <w:pPr>
      <w:numPr>
        <w:ilvl w:val="0"/>
        <w:numId w:val="0"/>
      </w:numPr>
      <w:tabs>
        <w:tab w:val="left" w:pos="720"/>
        <w:tab w:val="clear" w:pos="480"/>
        <w:tab w:val="clear" w:pos="840"/>
      </w:tabs>
      <w:spacing w:before="0" w:after="0" w:line="360" w:lineRule="auto"/>
      <w:jc w:val="left"/>
    </w:pPr>
    <w:rPr>
      <w:rFonts w:ascii="Times New Roman" w:eastAsia="宋体"/>
      <w:sz w:val="24"/>
      <w:szCs w:val="24"/>
      <w:lang w:val="en-US"/>
    </w:rPr>
  </w:style>
  <w:style w:type="character" w:customStyle="1" w:styleId="2456">
    <w:name w:val="样式 标题 3 + 自动设置 Char"/>
    <w:link w:val="2455"/>
    <w:qFormat/>
    <w:uiPriority w:val="0"/>
    <w:rPr>
      <w:rFonts w:eastAsia="宋体"/>
      <w:b/>
      <w:bCs/>
      <w:kern w:val="2"/>
      <w:sz w:val="24"/>
      <w:szCs w:val="24"/>
      <w:lang w:val="en-US" w:eastAsia="zh-CN" w:bidi="ar-SA"/>
    </w:rPr>
  </w:style>
  <w:style w:type="paragraph" w:customStyle="1" w:styleId="2457">
    <w:name w:val="样式 标题 3 + 自动设置1"/>
    <w:basedOn w:val="4"/>
    <w:link w:val="2458"/>
    <w:semiHidden/>
    <w:qFormat/>
    <w:uiPriority w:val="0"/>
    <w:pPr>
      <w:numPr>
        <w:ilvl w:val="0"/>
        <w:numId w:val="0"/>
      </w:numPr>
      <w:tabs>
        <w:tab w:val="left" w:pos="720"/>
        <w:tab w:val="clear" w:pos="480"/>
        <w:tab w:val="clear" w:pos="840"/>
      </w:tabs>
      <w:spacing w:before="0" w:after="0" w:line="360" w:lineRule="auto"/>
      <w:ind w:left="720" w:hanging="720"/>
      <w:jc w:val="left"/>
    </w:pPr>
    <w:rPr>
      <w:rFonts w:ascii="Times New Roman" w:eastAsia="宋体"/>
      <w:kern w:val="0"/>
      <w:sz w:val="24"/>
      <w:szCs w:val="24"/>
      <w:lang w:val="en-US"/>
    </w:rPr>
  </w:style>
  <w:style w:type="character" w:customStyle="1" w:styleId="2458">
    <w:name w:val="样式 标题 3 + 自动设置1 Char"/>
    <w:link w:val="2457"/>
    <w:qFormat/>
    <w:uiPriority w:val="0"/>
    <w:rPr>
      <w:rFonts w:eastAsia="宋体"/>
      <w:b/>
      <w:bCs/>
      <w:sz w:val="24"/>
      <w:szCs w:val="24"/>
      <w:lang w:val="en-US" w:eastAsia="zh-CN" w:bidi="ar-SA"/>
    </w:rPr>
  </w:style>
  <w:style w:type="character" w:customStyle="1" w:styleId="2459">
    <w:name w:val="中气正文 Char"/>
    <w:link w:val="481"/>
    <w:qFormat/>
    <w:uiPriority w:val="0"/>
    <w:rPr>
      <w:rFonts w:eastAsia="宋体"/>
      <w:kern w:val="2"/>
      <w:sz w:val="24"/>
      <w:szCs w:val="24"/>
      <w:lang w:val="en-US" w:eastAsia="zh-CN" w:bidi="ar-SA"/>
    </w:rPr>
  </w:style>
  <w:style w:type="character" w:customStyle="1" w:styleId="2460">
    <w:name w:val="正文111111111 Char"/>
    <w:link w:val="2433"/>
    <w:qFormat/>
    <w:uiPriority w:val="0"/>
    <w:rPr>
      <w:rFonts w:eastAsia="宋体" w:cs="宋体"/>
      <w:kern w:val="2"/>
      <w:sz w:val="24"/>
      <w:lang w:val="en-US" w:eastAsia="zh-CN" w:bidi="ar-SA"/>
    </w:rPr>
  </w:style>
  <w:style w:type="character" w:customStyle="1" w:styleId="2461">
    <w:name w:val="正文11 Char Char"/>
    <w:link w:val="2462"/>
    <w:qFormat/>
    <w:uiPriority w:val="0"/>
    <w:rPr>
      <w:rFonts w:eastAsia="宋体"/>
      <w:sz w:val="24"/>
      <w:lang w:bidi="ar-SA"/>
    </w:rPr>
  </w:style>
  <w:style w:type="paragraph" w:customStyle="1" w:styleId="2462">
    <w:name w:val="正文11"/>
    <w:basedOn w:val="1"/>
    <w:link w:val="2461"/>
    <w:semiHidden/>
    <w:qFormat/>
    <w:uiPriority w:val="0"/>
    <w:pPr>
      <w:tabs>
        <w:tab w:val="clear" w:pos="480"/>
      </w:tabs>
    </w:pPr>
    <w:rPr>
      <w:kern w:val="0"/>
      <w:szCs w:val="20"/>
      <w:lang w:val="zh-CN"/>
    </w:rPr>
  </w:style>
  <w:style w:type="character" w:customStyle="1" w:styleId="2463">
    <w:name w:val="正文lly Char Char"/>
    <w:link w:val="2428"/>
    <w:semiHidden/>
    <w:qFormat/>
    <w:uiPriority w:val="0"/>
    <w:rPr>
      <w:bCs/>
      <w:kern w:val="2"/>
      <w:sz w:val="24"/>
      <w:szCs w:val="21"/>
      <w:lang w:val="en-US" w:eastAsia="zh-CN" w:bidi="ar-SA"/>
    </w:rPr>
  </w:style>
  <w:style w:type="paragraph" w:customStyle="1" w:styleId="2464">
    <w:name w:val="C 4级标题"/>
    <w:basedOn w:val="5"/>
    <w:semiHidden/>
    <w:qFormat/>
    <w:uiPriority w:val="0"/>
    <w:pPr>
      <w:keepNext w:val="0"/>
      <w:keepLines w:val="0"/>
      <w:numPr>
        <w:ilvl w:val="0"/>
        <w:numId w:val="0"/>
      </w:numPr>
      <w:tabs>
        <w:tab w:val="left" w:pos="720"/>
        <w:tab w:val="clear" w:pos="480"/>
      </w:tabs>
      <w:spacing w:before="0" w:after="0"/>
    </w:pPr>
    <w:rPr>
      <w:rFonts w:ascii="Times New Roman" w:eastAsia="宋体"/>
    </w:rPr>
  </w:style>
  <w:style w:type="paragraph" w:customStyle="1" w:styleId="2465">
    <w:name w:val="款项"/>
    <w:basedOn w:val="1"/>
    <w:semiHidden/>
    <w:qFormat/>
    <w:uiPriority w:val="0"/>
    <w:pPr>
      <w:tabs>
        <w:tab w:val="clear" w:pos="480"/>
      </w:tabs>
      <w:spacing w:beforeLines="50" w:afterLines="50" w:line="240" w:lineRule="auto"/>
    </w:pPr>
    <w:rPr>
      <w:rFonts w:ascii="黑体" w:eastAsia="黑体"/>
    </w:rPr>
  </w:style>
  <w:style w:type="character" w:customStyle="1" w:styleId="2466">
    <w:name w:val="正文文本 311"/>
    <w:semiHidden/>
    <w:qFormat/>
    <w:uiPriority w:val="0"/>
    <w:rPr>
      <w:rFonts w:eastAsia="宋体"/>
      <w:sz w:val="18"/>
      <w:lang w:val="en-US" w:eastAsia="zh-CN" w:bidi="ar-SA"/>
    </w:rPr>
  </w:style>
  <w:style w:type="paragraph" w:customStyle="1" w:styleId="2467">
    <w:name w:val="表题 1"/>
    <w:semiHidden/>
    <w:qFormat/>
    <w:uiPriority w:val="0"/>
    <w:pPr>
      <w:widowControl w:val="0"/>
      <w:adjustRightInd w:val="0"/>
      <w:spacing w:before="120" w:after="120"/>
      <w:jc w:val="center"/>
      <w:textAlignment w:val="baseline"/>
    </w:pPr>
    <w:rPr>
      <w:rFonts w:ascii="Times New Roman" w:hAnsi="Times New Roman" w:eastAsia="宋体" w:cs="Times New Roman"/>
      <w:kern w:val="2"/>
      <w:sz w:val="30"/>
      <w:szCs w:val="24"/>
      <w:lang w:val="en-US" w:eastAsia="zh-CN" w:bidi="ar-SA"/>
    </w:rPr>
  </w:style>
  <w:style w:type="paragraph" w:customStyle="1" w:styleId="2468">
    <w:name w:val="表格 21"/>
    <w:semiHidden/>
    <w:qFormat/>
    <w:uiPriority w:val="0"/>
    <w:pPr>
      <w:widowControl w:val="0"/>
      <w:autoSpaceDE w:val="0"/>
      <w:autoSpaceDN w:val="0"/>
      <w:adjustRightInd w:val="0"/>
      <w:jc w:val="center"/>
      <w:textAlignment w:val="baseline"/>
    </w:pPr>
    <w:rPr>
      <w:rFonts w:ascii="Times New Roman" w:hAnsi="Times New Roman" w:eastAsia="仿宋体" w:cs="Times New Roman"/>
      <w:kern w:val="2"/>
      <w:sz w:val="28"/>
      <w:szCs w:val="24"/>
      <w:lang w:val="en-US" w:eastAsia="zh-CN" w:bidi="ar-SA"/>
    </w:rPr>
  </w:style>
  <w:style w:type="paragraph" w:customStyle="1" w:styleId="2469">
    <w:name w:val="表题 12"/>
    <w:basedOn w:val="1"/>
    <w:semiHidden/>
    <w:qFormat/>
    <w:uiPriority w:val="0"/>
    <w:pPr>
      <w:tabs>
        <w:tab w:val="clear" w:pos="480"/>
      </w:tabs>
      <w:adjustRightInd w:val="0"/>
      <w:snapToGrid w:val="0"/>
      <w:spacing w:before="120" w:after="120" w:line="240" w:lineRule="auto"/>
      <w:jc w:val="center"/>
      <w:textAlignment w:val="baseline"/>
    </w:pPr>
    <w:rPr>
      <w:kern w:val="0"/>
      <w:szCs w:val="20"/>
    </w:rPr>
  </w:style>
  <w:style w:type="paragraph" w:customStyle="1" w:styleId="2470">
    <w:name w:val="正文 32"/>
    <w:basedOn w:val="1"/>
    <w:link w:val="2734"/>
    <w:semiHidden/>
    <w:qFormat/>
    <w:uiPriority w:val="0"/>
    <w:pPr>
      <w:tabs>
        <w:tab w:val="clear" w:pos="480"/>
      </w:tabs>
      <w:autoSpaceDE w:val="0"/>
      <w:autoSpaceDN w:val="0"/>
      <w:adjustRightInd w:val="0"/>
      <w:snapToGrid w:val="0"/>
      <w:ind w:firstLine="567"/>
      <w:jc w:val="left"/>
      <w:textAlignment w:val="baseline"/>
    </w:pPr>
    <w:rPr>
      <w:rFonts w:eastAsia="楷体"/>
      <w:kern w:val="0"/>
      <w:szCs w:val="20"/>
    </w:rPr>
  </w:style>
  <w:style w:type="character" w:customStyle="1" w:styleId="2471">
    <w:name w:val="f31"/>
    <w:semiHidden/>
    <w:qFormat/>
    <w:uiPriority w:val="0"/>
    <w:rPr>
      <w:spacing w:val="360"/>
      <w:sz w:val="28"/>
      <w:szCs w:val="28"/>
    </w:rPr>
  </w:style>
  <w:style w:type="paragraph" w:customStyle="1" w:styleId="2472">
    <w:name w:val="表格 1"/>
    <w:basedOn w:val="165"/>
    <w:semiHidden/>
    <w:qFormat/>
    <w:uiPriority w:val="0"/>
    <w:pPr>
      <w:autoSpaceDE w:val="0"/>
      <w:autoSpaceDN w:val="0"/>
      <w:spacing w:line="240" w:lineRule="auto"/>
      <w:jc w:val="center"/>
      <w:textAlignment w:val="auto"/>
    </w:pPr>
    <w:rPr>
      <w:kern w:val="0"/>
      <w:sz w:val="28"/>
    </w:rPr>
  </w:style>
  <w:style w:type="paragraph" w:customStyle="1" w:styleId="2473">
    <w:name w:val="页面"/>
    <w:semiHidden/>
    <w:qFormat/>
    <w:uiPriority w:val="0"/>
    <w:pPr>
      <w:widowControl w:val="0"/>
      <w:adjustRightInd w:val="0"/>
      <w:jc w:val="center"/>
    </w:pPr>
    <w:rPr>
      <w:rFonts w:ascii="Times New Roman" w:hAnsi="Times New Roman" w:eastAsia="宋体" w:cs="Times New Roman"/>
      <w:kern w:val="2"/>
      <w:sz w:val="28"/>
      <w:szCs w:val="24"/>
      <w:lang w:val="en-US" w:eastAsia="zh-CN" w:bidi="ar-SA"/>
    </w:rPr>
  </w:style>
  <w:style w:type="paragraph" w:customStyle="1" w:styleId="2474">
    <w:name w:val="页面 2"/>
    <w:basedOn w:val="2473"/>
    <w:semiHidden/>
    <w:qFormat/>
    <w:uiPriority w:val="0"/>
    <w:rPr>
      <w:sz w:val="72"/>
    </w:rPr>
  </w:style>
  <w:style w:type="paragraph" w:customStyle="1" w:styleId="2475">
    <w:name w:val="页面 7"/>
    <w:basedOn w:val="1"/>
    <w:semiHidden/>
    <w:qFormat/>
    <w:uiPriority w:val="0"/>
    <w:pPr>
      <w:tabs>
        <w:tab w:val="clear" w:pos="480"/>
      </w:tabs>
      <w:autoSpaceDE w:val="0"/>
      <w:autoSpaceDN w:val="0"/>
      <w:adjustRightInd w:val="0"/>
      <w:spacing w:before="120" w:after="120"/>
      <w:ind w:firstLine="425"/>
      <w:jc w:val="center"/>
      <w:textAlignment w:val="baseline"/>
    </w:pPr>
    <w:rPr>
      <w:rFonts w:eastAsia="楷体_GB2312"/>
      <w:kern w:val="0"/>
      <w:sz w:val="32"/>
      <w:szCs w:val="20"/>
    </w:rPr>
  </w:style>
  <w:style w:type="paragraph" w:customStyle="1" w:styleId="2476">
    <w:name w:val="正文 1"/>
    <w:semiHidden/>
    <w:qFormat/>
    <w:uiPriority w:val="0"/>
    <w:pPr>
      <w:keepNext/>
      <w:widowControl w:val="0"/>
      <w:topLinePunct/>
      <w:autoSpaceDE w:val="0"/>
      <w:autoSpaceDN w:val="0"/>
      <w:adjustRightInd w:val="0"/>
      <w:ind w:firstLine="454"/>
      <w:jc w:val="center"/>
      <w:textAlignment w:val="baseline"/>
    </w:pPr>
    <w:rPr>
      <w:rFonts w:ascii="Times New Roman" w:hAnsi="Times New Roman" w:eastAsia="宋体" w:cs="Times New Roman"/>
      <w:kern w:val="2"/>
      <w:sz w:val="24"/>
      <w:szCs w:val="24"/>
      <w:lang w:val="en-US" w:eastAsia="zh-CN" w:bidi="ar-SA"/>
    </w:rPr>
  </w:style>
  <w:style w:type="paragraph" w:customStyle="1" w:styleId="2477">
    <w:name w:val="正文 2"/>
    <w:basedOn w:val="1"/>
    <w:semiHidden/>
    <w:qFormat/>
    <w:uiPriority w:val="0"/>
    <w:pPr>
      <w:tabs>
        <w:tab w:val="clear" w:pos="480"/>
      </w:tabs>
      <w:autoSpaceDE w:val="0"/>
      <w:autoSpaceDN w:val="0"/>
      <w:adjustRightInd w:val="0"/>
      <w:spacing w:line="300" w:lineRule="auto"/>
      <w:ind w:firstLine="510"/>
      <w:textAlignment w:val="baseline"/>
    </w:pPr>
    <w:rPr>
      <w:rFonts w:eastAsia="楷体_GB2312"/>
      <w:kern w:val="0"/>
      <w:szCs w:val="20"/>
    </w:rPr>
  </w:style>
  <w:style w:type="paragraph" w:customStyle="1" w:styleId="2478">
    <w:name w:val="页面 3"/>
    <w:basedOn w:val="1"/>
    <w:semiHidden/>
    <w:qFormat/>
    <w:uiPriority w:val="0"/>
    <w:pPr>
      <w:tabs>
        <w:tab w:val="clear" w:pos="480"/>
      </w:tabs>
      <w:adjustRightInd w:val="0"/>
      <w:spacing w:line="240" w:lineRule="auto"/>
      <w:jc w:val="center"/>
    </w:pPr>
    <w:rPr>
      <w:rFonts w:eastAsia="隶书"/>
      <w:kern w:val="0"/>
      <w:sz w:val="52"/>
      <w:szCs w:val="20"/>
    </w:rPr>
  </w:style>
  <w:style w:type="paragraph" w:customStyle="1" w:styleId="2479">
    <w:name w:val="表格 22"/>
    <w:basedOn w:val="2468"/>
    <w:semiHidden/>
    <w:qFormat/>
    <w:uiPriority w:val="0"/>
    <w:rPr>
      <w:sz w:val="24"/>
    </w:rPr>
  </w:style>
  <w:style w:type="paragraph" w:customStyle="1" w:styleId="2480">
    <w:name w:val="ident"/>
    <w:basedOn w:val="1"/>
    <w:semiHidden/>
    <w:qFormat/>
    <w:uiPriority w:val="0"/>
    <w:pPr>
      <w:widowControl/>
      <w:tabs>
        <w:tab w:val="clear" w:pos="480"/>
      </w:tabs>
      <w:spacing w:after="100" w:afterAutospacing="1" w:line="280" w:lineRule="atLeast"/>
      <w:ind w:left="150"/>
      <w:jc w:val="left"/>
    </w:pPr>
    <w:rPr>
      <w:rFonts w:ascii="宋体" w:hAnsi="宋体"/>
      <w:kern w:val="0"/>
    </w:rPr>
  </w:style>
  <w:style w:type="paragraph" w:customStyle="1" w:styleId="2481">
    <w:name w:val="正文1111"/>
    <w:basedOn w:val="1"/>
    <w:link w:val="2535"/>
    <w:qFormat/>
    <w:uiPriority w:val="0"/>
    <w:pPr>
      <w:tabs>
        <w:tab w:val="clear" w:pos="480"/>
      </w:tabs>
      <w:ind w:firstLine="482"/>
    </w:pPr>
    <w:rPr>
      <w:b/>
    </w:rPr>
  </w:style>
  <w:style w:type="paragraph" w:customStyle="1" w:styleId="2482">
    <w:name w:val="xl179"/>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99"/>
      <w:tabs>
        <w:tab w:val="clear" w:pos="480"/>
      </w:tabs>
      <w:spacing w:before="100" w:beforeAutospacing="1" w:after="100" w:afterAutospacing="1" w:line="240" w:lineRule="auto"/>
      <w:jc w:val="center"/>
    </w:pPr>
    <w:rPr>
      <w:rFonts w:ascii="Arial Unicode MS" w:hAnsi="Arial Unicode MS" w:eastAsia="Arial Unicode MS" w:cs="Arial Unicode MS"/>
      <w:kern w:val="0"/>
      <w:sz w:val="20"/>
      <w:szCs w:val="20"/>
    </w:rPr>
  </w:style>
  <w:style w:type="paragraph" w:customStyle="1" w:styleId="2483">
    <w:name w:val="xl180"/>
    <w:basedOn w:val="1"/>
    <w:semiHidden/>
    <w:qFormat/>
    <w:uiPriority w:val="0"/>
    <w:pPr>
      <w:widowControl/>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484">
    <w:name w:val="xl181"/>
    <w:basedOn w:val="1"/>
    <w:semiHidden/>
    <w:qFormat/>
    <w:uiPriority w:val="0"/>
    <w:pPr>
      <w:widowControl/>
      <w:pBdr>
        <w:top w:val="single" w:color="auto" w:sz="4" w:space="0"/>
        <w:left w:val="single" w:color="auto" w:sz="4" w:space="0"/>
        <w:right w:val="single" w:color="auto" w:sz="4" w:space="0"/>
      </w:pBdr>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485">
    <w:name w:val="xl182"/>
    <w:basedOn w:val="1"/>
    <w:semiHidden/>
    <w:qFormat/>
    <w:uiPriority w:val="0"/>
    <w:pPr>
      <w:widowControl/>
      <w:pBdr>
        <w:left w:val="single" w:color="auto" w:sz="4" w:space="0"/>
        <w:right w:val="single" w:color="auto" w:sz="4" w:space="0"/>
      </w:pBdr>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486">
    <w:name w:val="xl183"/>
    <w:basedOn w:val="1"/>
    <w:semiHidden/>
    <w:qFormat/>
    <w:uiPriority w:val="0"/>
    <w:pPr>
      <w:widowControl/>
      <w:pBdr>
        <w:left w:val="single" w:color="auto" w:sz="4" w:space="0"/>
        <w:bottom w:val="single" w:color="auto" w:sz="4" w:space="0"/>
        <w:right w:val="single" w:color="auto" w:sz="4" w:space="0"/>
      </w:pBdr>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487">
    <w:name w:val="xl184"/>
    <w:basedOn w:val="1"/>
    <w:semiHidden/>
    <w:qFormat/>
    <w:uiPriority w:val="0"/>
    <w:pPr>
      <w:widowControl/>
      <w:pBdr>
        <w:top w:val="single" w:color="auto" w:sz="4" w:space="0"/>
        <w:left w:val="single" w:color="auto" w:sz="4" w:space="0"/>
        <w:right w:val="single" w:color="auto" w:sz="4" w:space="0"/>
      </w:pBdr>
      <w:tabs>
        <w:tab w:val="clear" w:pos="480"/>
      </w:tabs>
      <w:spacing w:before="100" w:beforeAutospacing="1" w:after="100" w:afterAutospacing="1" w:line="240" w:lineRule="auto"/>
      <w:jc w:val="left"/>
      <w:textAlignment w:val="center"/>
    </w:pPr>
    <w:rPr>
      <w:rFonts w:ascii="Tahoma" w:hAnsi="Tahoma" w:eastAsia="Arial Unicode MS" w:cs="Tahoma"/>
      <w:kern w:val="0"/>
      <w:sz w:val="20"/>
      <w:szCs w:val="20"/>
    </w:rPr>
  </w:style>
  <w:style w:type="paragraph" w:customStyle="1" w:styleId="2488">
    <w:name w:val="xl185"/>
    <w:basedOn w:val="1"/>
    <w:semiHidden/>
    <w:qFormat/>
    <w:uiPriority w:val="0"/>
    <w:pPr>
      <w:widowControl/>
      <w:pBdr>
        <w:left w:val="single" w:color="auto" w:sz="4" w:space="0"/>
        <w:bottom w:val="single" w:color="auto" w:sz="4" w:space="0"/>
        <w:righ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489">
    <w:name w:val="xl186"/>
    <w:basedOn w:val="1"/>
    <w:semiHidden/>
    <w:qFormat/>
    <w:uiPriority w:val="0"/>
    <w:pPr>
      <w:widowControl/>
      <w:pBdr>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Tahoma" w:hAnsi="Tahoma" w:eastAsia="Arial Unicode MS" w:cs="Tahoma"/>
      <w:kern w:val="0"/>
      <w:sz w:val="20"/>
      <w:szCs w:val="20"/>
    </w:rPr>
  </w:style>
  <w:style w:type="paragraph" w:customStyle="1" w:styleId="2490">
    <w:name w:val="xl187"/>
    <w:basedOn w:val="1"/>
    <w:semiHidden/>
    <w:qFormat/>
    <w:uiPriority w:val="0"/>
    <w:pPr>
      <w:widowControl/>
      <w:pBdr>
        <w:left w:val="single" w:color="auto" w:sz="4" w:space="0"/>
        <w:right w:val="single" w:color="auto" w:sz="4" w:space="0"/>
      </w:pBdr>
      <w:tabs>
        <w:tab w:val="clear" w:pos="480"/>
      </w:tabs>
      <w:spacing w:before="100" w:beforeAutospacing="1" w:after="100" w:afterAutospacing="1" w:line="240" w:lineRule="auto"/>
      <w:jc w:val="left"/>
      <w:textAlignment w:val="center"/>
    </w:pPr>
    <w:rPr>
      <w:rFonts w:ascii="Tahoma" w:hAnsi="Tahoma" w:eastAsia="Arial Unicode MS" w:cs="Tahoma"/>
      <w:kern w:val="0"/>
      <w:sz w:val="20"/>
      <w:szCs w:val="20"/>
    </w:rPr>
  </w:style>
  <w:style w:type="paragraph" w:customStyle="1" w:styleId="2491">
    <w:name w:val="xl188"/>
    <w:basedOn w:val="1"/>
    <w:semiHidden/>
    <w:qFormat/>
    <w:uiPriority w:val="0"/>
    <w:pPr>
      <w:widowControl/>
      <w:pBdr>
        <w:left w:val="single" w:color="auto" w:sz="4" w:space="0"/>
        <w:righ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492">
    <w:name w:val="xl189"/>
    <w:basedOn w:val="1"/>
    <w:semiHidden/>
    <w:qFormat/>
    <w:uiPriority w:val="0"/>
    <w:pPr>
      <w:widowControl/>
      <w:pBdr>
        <w:top w:val="single" w:color="auto" w:sz="4" w:space="0"/>
        <w:left w:val="single" w:color="auto" w:sz="4" w:space="0"/>
        <w:righ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493">
    <w:name w:val="xl190"/>
    <w:basedOn w:val="1"/>
    <w:semiHidden/>
    <w:qFormat/>
    <w:uiPriority w:val="0"/>
    <w:pPr>
      <w:widowControl/>
      <w:pBdr>
        <w:top w:val="single" w:color="auto" w:sz="4" w:space="0"/>
        <w:left w:val="single" w:color="auto" w:sz="4" w:space="0"/>
        <w:right w:val="single" w:color="auto" w:sz="4" w:space="0"/>
      </w:pBdr>
      <w:tabs>
        <w:tab w:val="clear" w:pos="480"/>
      </w:tabs>
      <w:spacing w:before="100" w:beforeAutospacing="1" w:after="100" w:afterAutospacing="1" w:line="240" w:lineRule="auto"/>
      <w:jc w:val="center"/>
      <w:textAlignment w:val="center"/>
    </w:pPr>
    <w:rPr>
      <w:rFonts w:ascii="Tahoma" w:hAnsi="Tahoma" w:eastAsia="Arial Unicode MS" w:cs="Tahoma"/>
      <w:kern w:val="0"/>
      <w:sz w:val="20"/>
      <w:szCs w:val="20"/>
    </w:rPr>
  </w:style>
  <w:style w:type="paragraph" w:customStyle="1" w:styleId="2494">
    <w:name w:val="xl191"/>
    <w:basedOn w:val="1"/>
    <w:semiHidden/>
    <w:qFormat/>
    <w:uiPriority w:val="0"/>
    <w:pPr>
      <w:widowControl/>
      <w:pBdr>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Tahoma" w:hAnsi="Tahoma" w:eastAsia="Arial Unicode MS" w:cs="Tahoma"/>
      <w:kern w:val="0"/>
      <w:sz w:val="20"/>
      <w:szCs w:val="20"/>
    </w:rPr>
  </w:style>
  <w:style w:type="paragraph" w:customStyle="1" w:styleId="2495">
    <w:name w:val="xl192"/>
    <w:basedOn w:val="1"/>
    <w:semiHidden/>
    <w:qFormat/>
    <w:uiPriority w:val="0"/>
    <w:pPr>
      <w:widowControl/>
      <w:pBdr>
        <w:left w:val="single" w:color="auto" w:sz="4" w:space="0"/>
        <w:right w:val="single" w:color="auto" w:sz="4" w:space="0"/>
      </w:pBdr>
      <w:tabs>
        <w:tab w:val="clear" w:pos="480"/>
      </w:tabs>
      <w:spacing w:before="100" w:beforeAutospacing="1" w:after="100" w:afterAutospacing="1" w:line="240" w:lineRule="auto"/>
      <w:jc w:val="center"/>
      <w:textAlignment w:val="center"/>
    </w:pPr>
    <w:rPr>
      <w:rFonts w:ascii="Tahoma" w:hAnsi="Tahoma" w:eastAsia="Arial Unicode MS" w:cs="Tahoma"/>
      <w:kern w:val="0"/>
      <w:sz w:val="20"/>
      <w:szCs w:val="20"/>
    </w:rPr>
  </w:style>
  <w:style w:type="paragraph" w:customStyle="1" w:styleId="2496">
    <w:name w:val="xl193"/>
    <w:basedOn w:val="1"/>
    <w:semiHidden/>
    <w:qFormat/>
    <w:uiPriority w:val="0"/>
    <w:pPr>
      <w:widowControl/>
      <w:pBdr>
        <w:top w:val="single" w:color="auto" w:sz="4" w:space="0"/>
        <w:left w:val="single" w:color="auto" w:sz="4" w:space="0"/>
        <w:bottom w:val="single" w:color="auto" w:sz="4" w:space="0"/>
      </w:pBdr>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497">
    <w:name w:val="xl194"/>
    <w:basedOn w:val="1"/>
    <w:semiHidden/>
    <w:qFormat/>
    <w:uiPriority w:val="0"/>
    <w:pPr>
      <w:widowControl/>
      <w:pBdr>
        <w:top w:val="single" w:color="auto" w:sz="4" w:space="0"/>
        <w:bottom w:val="single" w:color="auto" w:sz="4" w:space="0"/>
      </w:pBdr>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498">
    <w:name w:val="xl195"/>
    <w:basedOn w:val="1"/>
    <w:semiHidden/>
    <w:qFormat/>
    <w:uiPriority w:val="0"/>
    <w:pPr>
      <w:widowControl/>
      <w:pBdr>
        <w:top w:val="single" w:color="auto" w:sz="4" w:space="0"/>
        <w:bottom w:val="single" w:color="auto" w:sz="4" w:space="0"/>
        <w:right w:val="single" w:color="auto" w:sz="4" w:space="0"/>
      </w:pBdr>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499">
    <w:name w:val="xl196"/>
    <w:basedOn w:val="1"/>
    <w:semiHidden/>
    <w:qFormat/>
    <w:uiPriority w:val="0"/>
    <w:pPr>
      <w:widowControl/>
      <w:pBdr>
        <w:top w:val="single" w:color="auto" w:sz="4" w:space="0"/>
        <w:left w:val="single" w:color="auto" w:sz="4" w:space="0"/>
        <w:right w:val="single" w:color="auto" w:sz="4" w:space="0"/>
      </w:pBdr>
      <w:tabs>
        <w:tab w:val="clear" w:pos="480"/>
      </w:tabs>
      <w:spacing w:before="100" w:beforeAutospacing="1" w:after="100" w:afterAutospacing="1" w:line="240" w:lineRule="auto"/>
      <w:jc w:val="left"/>
      <w:textAlignment w:val="center"/>
    </w:pPr>
    <w:rPr>
      <w:rFonts w:ascii="Tahoma" w:hAnsi="Tahoma" w:eastAsia="Arial Unicode MS" w:cs="Tahoma"/>
      <w:kern w:val="0"/>
      <w:sz w:val="20"/>
      <w:szCs w:val="20"/>
    </w:rPr>
  </w:style>
  <w:style w:type="paragraph" w:customStyle="1" w:styleId="2500">
    <w:name w:val="xl197"/>
    <w:basedOn w:val="1"/>
    <w:semiHidden/>
    <w:qFormat/>
    <w:uiPriority w:val="0"/>
    <w:pPr>
      <w:widowControl/>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501">
    <w:name w:val="xl198"/>
    <w:basedOn w:val="1"/>
    <w:semiHidden/>
    <w:qFormat/>
    <w:uiPriority w:val="0"/>
    <w:pPr>
      <w:widowControl/>
      <w:pBdr>
        <w:top w:val="single" w:color="auto" w:sz="4" w:space="0"/>
        <w:left w:val="single" w:color="auto" w:sz="4" w:space="0"/>
        <w:righ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502">
    <w:name w:val="xl199"/>
    <w:basedOn w:val="1"/>
    <w:semiHidden/>
    <w:qFormat/>
    <w:uiPriority w:val="0"/>
    <w:pPr>
      <w:widowControl/>
      <w:pBdr>
        <w:left w:val="single" w:color="auto" w:sz="4" w:space="0"/>
        <w:righ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503">
    <w:name w:val="xl200"/>
    <w:basedOn w:val="1"/>
    <w:semiHidden/>
    <w:qFormat/>
    <w:uiPriority w:val="0"/>
    <w:pPr>
      <w:widowControl/>
      <w:pBdr>
        <w:top w:val="single" w:color="auto" w:sz="4" w:space="0"/>
        <w:lef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504">
    <w:name w:val="xl201"/>
    <w:basedOn w:val="1"/>
    <w:semiHidden/>
    <w:qFormat/>
    <w:uiPriority w:val="0"/>
    <w:pPr>
      <w:widowControl/>
      <w:pBdr>
        <w:lef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505">
    <w:name w:val="xl202"/>
    <w:basedOn w:val="1"/>
    <w:semiHidden/>
    <w:qFormat/>
    <w:uiPriority w:val="0"/>
    <w:pPr>
      <w:widowControl/>
      <w:pBdr>
        <w:left w:val="single" w:color="auto" w:sz="4" w:space="0"/>
        <w:bottom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506">
    <w:name w:val="xl203"/>
    <w:basedOn w:val="1"/>
    <w:semiHidden/>
    <w:qFormat/>
    <w:uiPriority w:val="0"/>
    <w:pPr>
      <w:widowControl/>
      <w:pBdr>
        <w:left w:val="single" w:color="auto" w:sz="4" w:space="0"/>
        <w:right w:val="single" w:color="auto" w:sz="4" w:space="0"/>
      </w:pBdr>
      <w:shd w:val="clear" w:color="auto" w:fill="FFFF99"/>
      <w:tabs>
        <w:tab w:val="clear" w:pos="480"/>
      </w:tabs>
      <w:spacing w:before="100" w:beforeAutospacing="1" w:after="100" w:afterAutospacing="1" w:line="240" w:lineRule="auto"/>
      <w:jc w:val="left"/>
      <w:textAlignment w:val="center"/>
    </w:pPr>
    <w:rPr>
      <w:rFonts w:ascii="Tahoma" w:hAnsi="Tahoma" w:eastAsia="Arial Unicode MS" w:cs="Tahoma"/>
      <w:kern w:val="0"/>
      <w:sz w:val="20"/>
      <w:szCs w:val="20"/>
    </w:rPr>
  </w:style>
  <w:style w:type="paragraph" w:customStyle="1" w:styleId="2507">
    <w:name w:val="xl204"/>
    <w:basedOn w:val="1"/>
    <w:semiHidden/>
    <w:qFormat/>
    <w:uiPriority w:val="0"/>
    <w:pPr>
      <w:widowControl/>
      <w:pBdr>
        <w:top w:val="single" w:color="auto" w:sz="4" w:space="0"/>
        <w:left w:val="single" w:color="auto" w:sz="4" w:space="0"/>
        <w:right w:val="single" w:color="auto" w:sz="4" w:space="0"/>
      </w:pBdr>
      <w:shd w:val="clear" w:color="auto" w:fill="99CC00"/>
      <w:tabs>
        <w:tab w:val="clear" w:pos="480"/>
      </w:tabs>
      <w:spacing w:before="100" w:beforeAutospacing="1" w:after="100" w:afterAutospacing="1" w:line="240" w:lineRule="auto"/>
      <w:jc w:val="center"/>
      <w:textAlignment w:val="center"/>
    </w:pPr>
    <w:rPr>
      <w:rFonts w:ascii="Tahoma" w:hAnsi="Tahoma" w:eastAsia="Arial Unicode MS" w:cs="Tahoma"/>
      <w:kern w:val="0"/>
      <w:sz w:val="20"/>
      <w:szCs w:val="20"/>
    </w:rPr>
  </w:style>
  <w:style w:type="paragraph" w:customStyle="1" w:styleId="2508">
    <w:name w:val="xl205"/>
    <w:basedOn w:val="1"/>
    <w:semiHidden/>
    <w:qFormat/>
    <w:uiPriority w:val="0"/>
    <w:pPr>
      <w:widowControl/>
      <w:pBdr>
        <w:left w:val="single" w:color="auto" w:sz="4" w:space="0"/>
        <w:right w:val="single" w:color="auto" w:sz="4" w:space="0"/>
      </w:pBdr>
      <w:shd w:val="clear" w:color="auto" w:fill="99CC00"/>
      <w:tabs>
        <w:tab w:val="clear" w:pos="480"/>
      </w:tabs>
      <w:spacing w:before="100" w:beforeAutospacing="1" w:after="100" w:afterAutospacing="1" w:line="240" w:lineRule="auto"/>
      <w:jc w:val="center"/>
      <w:textAlignment w:val="center"/>
    </w:pPr>
    <w:rPr>
      <w:rFonts w:ascii="Tahoma" w:hAnsi="Tahoma" w:eastAsia="Arial Unicode MS" w:cs="Tahoma"/>
      <w:kern w:val="0"/>
      <w:sz w:val="20"/>
      <w:szCs w:val="20"/>
    </w:rPr>
  </w:style>
  <w:style w:type="paragraph" w:customStyle="1" w:styleId="2509">
    <w:name w:val="xl206"/>
    <w:basedOn w:val="1"/>
    <w:semiHidden/>
    <w:qFormat/>
    <w:uiPriority w:val="0"/>
    <w:pPr>
      <w:widowControl/>
      <w:pBdr>
        <w:left w:val="single" w:color="auto" w:sz="4" w:space="0"/>
        <w:bottom w:val="single" w:color="auto" w:sz="4" w:space="0"/>
        <w:right w:val="single" w:color="auto" w:sz="4" w:space="0"/>
      </w:pBdr>
      <w:shd w:val="clear" w:color="auto" w:fill="99CC00"/>
      <w:tabs>
        <w:tab w:val="clear" w:pos="480"/>
      </w:tabs>
      <w:spacing w:before="100" w:beforeAutospacing="1" w:after="100" w:afterAutospacing="1" w:line="240" w:lineRule="auto"/>
      <w:jc w:val="center"/>
      <w:textAlignment w:val="center"/>
    </w:pPr>
    <w:rPr>
      <w:rFonts w:ascii="Tahoma" w:hAnsi="Tahoma" w:eastAsia="Arial Unicode MS" w:cs="Tahoma"/>
      <w:kern w:val="0"/>
      <w:sz w:val="20"/>
      <w:szCs w:val="20"/>
    </w:rPr>
  </w:style>
  <w:style w:type="paragraph" w:customStyle="1" w:styleId="2510">
    <w:name w:val="xl207"/>
    <w:basedOn w:val="1"/>
    <w:semiHidden/>
    <w:qFormat/>
    <w:uiPriority w:val="0"/>
    <w:pPr>
      <w:widowControl/>
      <w:shd w:val="clear" w:color="auto" w:fill="99CC00"/>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511">
    <w:name w:val="xl208"/>
    <w:basedOn w:val="1"/>
    <w:semiHidden/>
    <w:qFormat/>
    <w:uiPriority w:val="0"/>
    <w:pPr>
      <w:widowControl/>
      <w:pBdr>
        <w:top w:val="single" w:color="auto" w:sz="4" w:space="0"/>
        <w:left w:val="single" w:color="auto" w:sz="4" w:space="0"/>
        <w:right w:val="single" w:color="auto" w:sz="4" w:space="0"/>
      </w:pBdr>
      <w:shd w:val="clear" w:color="auto" w:fill="99CC00"/>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512">
    <w:name w:val="xl209"/>
    <w:basedOn w:val="1"/>
    <w:semiHidden/>
    <w:qFormat/>
    <w:uiPriority w:val="0"/>
    <w:pPr>
      <w:widowControl/>
      <w:pBdr>
        <w:left w:val="single" w:color="auto" w:sz="4" w:space="0"/>
        <w:right w:val="single" w:color="auto" w:sz="4" w:space="0"/>
      </w:pBdr>
      <w:shd w:val="clear" w:color="auto" w:fill="99CC00"/>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513">
    <w:name w:val="9bold"/>
    <w:basedOn w:val="1"/>
    <w:semiHidden/>
    <w:qFormat/>
    <w:uiPriority w:val="0"/>
    <w:pPr>
      <w:widowControl/>
      <w:tabs>
        <w:tab w:val="clear" w:pos="480"/>
      </w:tabs>
      <w:spacing w:before="100" w:beforeAutospacing="1" w:after="100" w:afterAutospacing="1" w:line="240" w:lineRule="auto"/>
      <w:jc w:val="left"/>
    </w:pPr>
    <w:rPr>
      <w:rFonts w:ascii="Arial Unicode MS" w:hAnsi="Arial Unicode MS" w:eastAsia="Arial Unicode MS" w:cs="Arial Unicode MS"/>
      <w:kern w:val="0"/>
    </w:rPr>
  </w:style>
  <w:style w:type="paragraph" w:customStyle="1" w:styleId="2514">
    <w:name w:val="hei12"/>
    <w:basedOn w:val="1"/>
    <w:semiHidden/>
    <w:qFormat/>
    <w:uiPriority w:val="0"/>
    <w:pPr>
      <w:widowControl/>
      <w:tabs>
        <w:tab w:val="clear" w:pos="480"/>
      </w:tabs>
      <w:spacing w:before="100" w:beforeAutospacing="1" w:after="100" w:afterAutospacing="1" w:line="240" w:lineRule="auto"/>
      <w:jc w:val="left"/>
    </w:pPr>
    <w:rPr>
      <w:rFonts w:hint="eastAsia" w:ascii="黑体" w:hAnsi="Arial Unicode MS" w:eastAsia="黑体" w:cs="Arial Unicode MS"/>
      <w:color w:val="666666"/>
      <w:kern w:val="0"/>
    </w:rPr>
  </w:style>
  <w:style w:type="paragraph" w:customStyle="1" w:styleId="2515">
    <w:name w:val="黑点"/>
    <w:basedOn w:val="1"/>
    <w:semiHidden/>
    <w:qFormat/>
    <w:uiPriority w:val="0"/>
    <w:pPr>
      <w:tabs>
        <w:tab w:val="left" w:pos="600"/>
        <w:tab w:val="left" w:pos="2100"/>
        <w:tab w:val="clear" w:pos="480"/>
      </w:tabs>
      <w:adjustRightInd w:val="0"/>
      <w:ind w:left="2100" w:hanging="420"/>
      <w:jc w:val="left"/>
      <w:textAlignment w:val="baseline"/>
    </w:pPr>
    <w:rPr>
      <w:rFonts w:ascii="宋体" w:hAnsi="宋体"/>
      <w:color w:val="000000"/>
      <w:kern w:val="0"/>
      <w:szCs w:val="20"/>
    </w:rPr>
  </w:style>
  <w:style w:type="paragraph" w:customStyle="1" w:styleId="2516">
    <w:name w:val="样式38"/>
    <w:basedOn w:val="1"/>
    <w:semiHidden/>
    <w:qFormat/>
    <w:uiPriority w:val="0"/>
    <w:pPr>
      <w:widowControl/>
      <w:tabs>
        <w:tab w:val="clear" w:pos="480"/>
      </w:tabs>
      <w:spacing w:before="100" w:after="100" w:line="320" w:lineRule="atLeast"/>
      <w:jc w:val="left"/>
    </w:pPr>
    <w:rPr>
      <w:rFonts w:ascii="宋体" w:hAnsi="宋体"/>
      <w:color w:val="800080"/>
      <w:kern w:val="0"/>
      <w:sz w:val="21"/>
    </w:rPr>
  </w:style>
  <w:style w:type="character" w:customStyle="1" w:styleId="2517">
    <w:name w:val="lineheight 样式37 样式47"/>
    <w:basedOn w:val="133"/>
    <w:semiHidden/>
    <w:qFormat/>
    <w:uiPriority w:val="0"/>
  </w:style>
  <w:style w:type="character" w:customStyle="1" w:styleId="2518">
    <w:name w:val="样式211"/>
    <w:semiHidden/>
    <w:qFormat/>
    <w:uiPriority w:val="0"/>
    <w:rPr>
      <w:sz w:val="21"/>
      <w:szCs w:val="21"/>
    </w:rPr>
  </w:style>
  <w:style w:type="character" w:customStyle="1" w:styleId="2519">
    <w:name w:val="hanggao1"/>
    <w:semiHidden/>
    <w:qFormat/>
    <w:uiPriority w:val="0"/>
    <w:rPr>
      <w:spacing w:val="300"/>
      <w:sz w:val="18"/>
      <w:szCs w:val="18"/>
    </w:rPr>
  </w:style>
  <w:style w:type="paragraph" w:customStyle="1" w:styleId="2520">
    <w:name w:val="奇页页眉样式"/>
    <w:basedOn w:val="1"/>
    <w:semiHidden/>
    <w:qFormat/>
    <w:uiPriority w:val="0"/>
    <w:pPr>
      <w:tabs>
        <w:tab w:val="clear" w:pos="480"/>
      </w:tabs>
      <w:snapToGrid w:val="0"/>
      <w:spacing w:line="288" w:lineRule="auto"/>
      <w:jc w:val="center"/>
    </w:pPr>
    <w:rPr>
      <w:color w:val="0000FF"/>
      <w:sz w:val="21"/>
    </w:rPr>
  </w:style>
  <w:style w:type="character" w:customStyle="1" w:styleId="2521">
    <w:name w:val="正文文字 3 Char Char Char Char"/>
    <w:semiHidden/>
    <w:qFormat/>
    <w:uiPriority w:val="0"/>
    <w:rPr>
      <w:rFonts w:eastAsia="宋体"/>
      <w:sz w:val="18"/>
      <w:lang w:val="en-US" w:eastAsia="zh-CN" w:bidi="ar-SA"/>
    </w:rPr>
  </w:style>
  <w:style w:type="paragraph" w:customStyle="1" w:styleId="2522">
    <w:name w:val="样式 样式1 Char + 首行缩进:  1 字符"/>
    <w:basedOn w:val="1"/>
    <w:semiHidden/>
    <w:qFormat/>
    <w:uiPriority w:val="0"/>
    <w:pPr>
      <w:tabs>
        <w:tab w:val="left" w:pos="6321"/>
        <w:tab w:val="clear" w:pos="480"/>
      </w:tabs>
      <w:spacing w:line="498" w:lineRule="atLeast"/>
      <w:ind w:firstLine="100" w:firstLineChars="100"/>
    </w:pPr>
    <w:rPr>
      <w:rFonts w:ascii="楷体_GB2312" w:eastAsia="楷体_GB2312" w:cs="宋体"/>
      <w:sz w:val="28"/>
      <w:szCs w:val="20"/>
    </w:rPr>
  </w:style>
  <w:style w:type="paragraph" w:customStyle="1" w:styleId="2523">
    <w:name w:val="gao"/>
    <w:basedOn w:val="1"/>
    <w:semiHidden/>
    <w:qFormat/>
    <w:uiPriority w:val="0"/>
    <w:pPr>
      <w:tabs>
        <w:tab w:val="clear" w:pos="480"/>
      </w:tabs>
      <w:autoSpaceDE w:val="0"/>
      <w:autoSpaceDN w:val="0"/>
      <w:adjustRightInd w:val="0"/>
    </w:pPr>
    <w:rPr>
      <w:rFonts w:ascii="宋体"/>
      <w:kern w:val="0"/>
      <w:sz w:val="28"/>
      <w:szCs w:val="20"/>
    </w:rPr>
  </w:style>
  <w:style w:type="paragraph" w:customStyle="1" w:styleId="2524">
    <w:name w:val="Char Char1 Char Char Char Char Char Char Char Char Char Char Char Char Char Char Char Char Char Char Char Char1 Char"/>
    <w:basedOn w:val="1"/>
    <w:semiHidden/>
    <w:qFormat/>
    <w:uiPriority w:val="0"/>
    <w:pPr>
      <w:tabs>
        <w:tab w:val="clear" w:pos="480"/>
      </w:tabs>
    </w:pPr>
    <w:rPr>
      <w:rFonts w:ascii="宋体" w:hAnsi="宋体" w:cs="宋体"/>
    </w:rPr>
  </w:style>
  <w:style w:type="paragraph" w:customStyle="1" w:styleId="2525">
    <w:name w:val="表格2 Char"/>
    <w:basedOn w:val="1"/>
    <w:semiHidden/>
    <w:qFormat/>
    <w:uiPriority w:val="0"/>
    <w:pPr>
      <w:tabs>
        <w:tab w:val="clear" w:pos="480"/>
      </w:tabs>
      <w:spacing w:line="280" w:lineRule="exact"/>
      <w:jc w:val="center"/>
    </w:pPr>
    <w:rPr>
      <w:rFonts w:ascii="宋体" w:hAnsi="宋体"/>
      <w:bCs/>
      <w:color w:val="000000"/>
      <w:sz w:val="21"/>
      <w:szCs w:val="20"/>
    </w:rPr>
  </w:style>
  <w:style w:type="character" w:customStyle="1" w:styleId="2526">
    <w:name w:val="正文文本缩进 2 Char"/>
    <w:qFormat/>
    <w:uiPriority w:val="0"/>
    <w:rPr>
      <w:rFonts w:ascii="楷体_GB2312" w:hAnsi="宋体" w:eastAsia="宋体"/>
      <w:b/>
      <w:color w:val="000000"/>
      <w:kern w:val="2"/>
      <w:sz w:val="24"/>
      <w:szCs w:val="28"/>
      <w:lang w:val="en-US" w:eastAsia="zh-CN" w:bidi="ar-SA"/>
    </w:rPr>
  </w:style>
  <w:style w:type="character" w:customStyle="1" w:styleId="2527">
    <w:name w:val="表标题  Char1"/>
    <w:semiHidden/>
    <w:qFormat/>
    <w:uiPriority w:val="0"/>
    <w:rPr>
      <w:rFonts w:ascii="楷体_GB2312" w:hAnsi="宋体" w:eastAsia="宋体"/>
      <w:b/>
      <w:color w:val="000000"/>
      <w:kern w:val="24"/>
      <w:sz w:val="24"/>
      <w:szCs w:val="28"/>
      <w:lang w:val="en-US" w:eastAsia="zh-CN" w:bidi="ar-SA"/>
    </w:rPr>
  </w:style>
  <w:style w:type="paragraph" w:customStyle="1" w:styleId="2528">
    <w:name w:val="样式 正文缩进正文（首行缩进两字）表正文正文非缩进正文（首行缩进两字） Char Char Char Char正文（首..."/>
    <w:basedOn w:val="20"/>
    <w:semiHidden/>
    <w:qFormat/>
    <w:uiPriority w:val="0"/>
    <w:pPr>
      <w:tabs>
        <w:tab w:val="clear" w:pos="480"/>
      </w:tabs>
      <w:adjustRightInd w:val="0"/>
      <w:snapToGrid w:val="0"/>
      <w:spacing w:beforeLines="100" w:afterLines="50" w:line="312" w:lineRule="auto"/>
      <w:ind w:left="-119" w:firstLine="600" w:firstLineChars="250"/>
    </w:pPr>
    <w:rPr>
      <w:szCs w:val="20"/>
    </w:rPr>
  </w:style>
  <w:style w:type="character" w:customStyle="1" w:styleId="2529">
    <w:name w:val="样式 表格2 + (符号) 宋体 Char Char"/>
    <w:semiHidden/>
    <w:qFormat/>
    <w:uiPriority w:val="0"/>
    <w:rPr>
      <w:rFonts w:ascii="宋体" w:hAnsi="宋体" w:eastAsia="宋体"/>
      <w:b/>
      <w:bCs/>
      <w:color w:val="000000"/>
      <w:kern w:val="2"/>
      <w:sz w:val="21"/>
      <w:szCs w:val="28"/>
      <w:lang w:val="en-US" w:eastAsia="zh-CN" w:bidi="ar-SA"/>
    </w:rPr>
  </w:style>
  <w:style w:type="paragraph" w:customStyle="1" w:styleId="2530">
    <w:name w:val="表头文字（五号）"/>
    <w:basedOn w:val="1"/>
    <w:semiHidden/>
    <w:qFormat/>
    <w:uiPriority w:val="0"/>
    <w:pPr>
      <w:widowControl/>
      <w:tabs>
        <w:tab w:val="clear" w:pos="480"/>
      </w:tabs>
      <w:adjustRightInd w:val="0"/>
      <w:jc w:val="center"/>
      <w:textAlignment w:val="baseline"/>
    </w:pPr>
    <w:rPr>
      <w:b/>
      <w:kern w:val="0"/>
      <w:sz w:val="21"/>
      <w:szCs w:val="21"/>
    </w:rPr>
  </w:style>
  <w:style w:type="paragraph" w:customStyle="1" w:styleId="2531">
    <w:name w:val="表格-五号"/>
    <w:basedOn w:val="1"/>
    <w:semiHidden/>
    <w:qFormat/>
    <w:uiPriority w:val="0"/>
    <w:pPr>
      <w:tabs>
        <w:tab w:val="clear" w:pos="480"/>
      </w:tabs>
      <w:adjustRightInd w:val="0"/>
      <w:spacing w:before="100" w:beforeAutospacing="1" w:after="100" w:afterAutospacing="1" w:line="312" w:lineRule="auto"/>
      <w:jc w:val="center"/>
      <w:textAlignment w:val="baseline"/>
    </w:pPr>
    <w:rPr>
      <w:rFonts w:ascii="宋体"/>
      <w:kern w:val="0"/>
      <w:sz w:val="21"/>
    </w:rPr>
  </w:style>
  <w:style w:type="paragraph" w:customStyle="1" w:styleId="2532">
    <w:name w:val="宗兴正文"/>
    <w:basedOn w:val="1"/>
    <w:link w:val="2533"/>
    <w:semiHidden/>
    <w:qFormat/>
    <w:uiPriority w:val="0"/>
    <w:pPr>
      <w:tabs>
        <w:tab w:val="clear" w:pos="480"/>
      </w:tabs>
      <w:spacing w:before="93" w:after="93"/>
      <w:ind w:firstLine="480"/>
    </w:pPr>
    <w:rPr>
      <w:snapToGrid w:val="0"/>
    </w:rPr>
  </w:style>
  <w:style w:type="character" w:customStyle="1" w:styleId="2533">
    <w:name w:val="宗兴正文 Char"/>
    <w:link w:val="2532"/>
    <w:qFormat/>
    <w:uiPriority w:val="0"/>
    <w:rPr>
      <w:rFonts w:eastAsia="宋体"/>
      <w:snapToGrid w:val="0"/>
      <w:kern w:val="2"/>
      <w:sz w:val="24"/>
      <w:szCs w:val="24"/>
      <w:lang w:val="en-US" w:eastAsia="zh-CN" w:bidi="ar-SA"/>
    </w:rPr>
  </w:style>
  <w:style w:type="paragraph" w:customStyle="1" w:styleId="2534">
    <w:name w:val="Char Char Char Char Char1"/>
    <w:basedOn w:val="1"/>
    <w:semiHidden/>
    <w:qFormat/>
    <w:uiPriority w:val="0"/>
    <w:pPr>
      <w:widowControl/>
      <w:tabs>
        <w:tab w:val="clear" w:pos="480"/>
      </w:tabs>
      <w:spacing w:after="160" w:line="240" w:lineRule="exact"/>
      <w:jc w:val="left"/>
    </w:pPr>
    <w:rPr>
      <w:rFonts w:ascii="Verdana" w:hAnsi="Verdana"/>
      <w:kern w:val="0"/>
      <w:sz w:val="21"/>
      <w:szCs w:val="20"/>
      <w:lang w:eastAsia="en-US"/>
    </w:rPr>
  </w:style>
  <w:style w:type="character" w:customStyle="1" w:styleId="2535">
    <w:name w:val="正文1111 Char"/>
    <w:link w:val="2481"/>
    <w:qFormat/>
    <w:uiPriority w:val="0"/>
    <w:rPr>
      <w:rFonts w:eastAsia="宋体"/>
      <w:b/>
      <w:kern w:val="2"/>
      <w:sz w:val="24"/>
      <w:szCs w:val="24"/>
      <w:lang w:val="en-US" w:eastAsia="zh-CN" w:bidi="ar-SA"/>
    </w:rPr>
  </w:style>
  <w:style w:type="character" w:customStyle="1" w:styleId="2536">
    <w:name w:val="yiyuan21"/>
    <w:semiHidden/>
    <w:qFormat/>
    <w:uiPriority w:val="0"/>
    <w:rPr>
      <w:rFonts w:hint="default" w:ascii="Hei" w:hAnsi="Hei"/>
      <w:sz w:val="21"/>
    </w:rPr>
  </w:style>
  <w:style w:type="paragraph" w:customStyle="1" w:styleId="2537">
    <w:name w:val="列表(L)"/>
    <w:basedOn w:val="66"/>
    <w:link w:val="2538"/>
    <w:semiHidden/>
    <w:qFormat/>
    <w:uiPriority w:val="0"/>
    <w:pPr>
      <w:snapToGrid w:val="0"/>
      <w:ind w:left="0" w:firstLine="0" w:firstLineChars="0"/>
    </w:pPr>
    <w:rPr>
      <w:rFonts w:cs="宋体"/>
      <w:szCs w:val="20"/>
    </w:rPr>
  </w:style>
  <w:style w:type="character" w:customStyle="1" w:styleId="2538">
    <w:name w:val="列表(L) Char"/>
    <w:link w:val="2537"/>
    <w:qFormat/>
    <w:uiPriority w:val="0"/>
    <w:rPr>
      <w:rFonts w:eastAsia="宋体" w:cs="宋体"/>
      <w:kern w:val="2"/>
      <w:sz w:val="21"/>
      <w:lang w:val="en-US" w:eastAsia="zh-CN" w:bidi="ar-SA"/>
    </w:rPr>
  </w:style>
  <w:style w:type="paragraph" w:customStyle="1" w:styleId="2539">
    <w:name w:val="Char Char Char Char Char Char Char Char Char Char Char Char1 Char Char Char Char Char Char Char Char Char Char"/>
    <w:basedOn w:val="1"/>
    <w:semiHidden/>
    <w:qFormat/>
    <w:uiPriority w:val="0"/>
    <w:pPr>
      <w:tabs>
        <w:tab w:val="clear" w:pos="480"/>
      </w:tabs>
    </w:pPr>
    <w:rPr>
      <w:rFonts w:ascii="宋体" w:hAnsi="宋体"/>
      <w:szCs w:val="20"/>
    </w:rPr>
  </w:style>
  <w:style w:type="character" w:customStyle="1" w:styleId="2540">
    <w:name w:val="font141"/>
    <w:semiHidden/>
    <w:qFormat/>
    <w:uiPriority w:val="0"/>
    <w:rPr>
      <w:rFonts w:hint="default" w:ascii="Arial" w:hAnsi="Arial" w:cs="Arial"/>
      <w:color w:val="000000"/>
      <w:sz w:val="23"/>
      <w:szCs w:val="23"/>
    </w:rPr>
  </w:style>
  <w:style w:type="character" w:customStyle="1" w:styleId="2541">
    <w:name w:val="style121"/>
    <w:semiHidden/>
    <w:qFormat/>
    <w:uiPriority w:val="0"/>
    <w:rPr>
      <w:sz w:val="20"/>
      <w:szCs w:val="20"/>
    </w:rPr>
  </w:style>
  <w:style w:type="character" w:customStyle="1" w:styleId="2542">
    <w:name w:val="列表项目符号 Char"/>
    <w:semiHidden/>
    <w:qFormat/>
    <w:uiPriority w:val="0"/>
    <w:rPr>
      <w:rFonts w:eastAsia="宋体"/>
      <w:kern w:val="2"/>
      <w:sz w:val="21"/>
      <w:szCs w:val="24"/>
      <w:lang w:val="en-US" w:eastAsia="zh-CN" w:bidi="ar-SA"/>
    </w:rPr>
  </w:style>
  <w:style w:type="character" w:customStyle="1" w:styleId="2543">
    <w:name w:val="gary101"/>
    <w:semiHidden/>
    <w:qFormat/>
    <w:uiPriority w:val="0"/>
    <w:rPr>
      <w:color w:val="000000"/>
      <w:sz w:val="21"/>
      <w:szCs w:val="21"/>
      <w:u w:val="none"/>
    </w:rPr>
  </w:style>
  <w:style w:type="paragraph" w:customStyle="1" w:styleId="2544">
    <w:name w:val="Date1"/>
    <w:basedOn w:val="1"/>
    <w:next w:val="1"/>
    <w:qFormat/>
    <w:uiPriority w:val="0"/>
    <w:pPr>
      <w:tabs>
        <w:tab w:val="clear" w:pos="480"/>
      </w:tabs>
      <w:adjustRightInd w:val="0"/>
      <w:spacing w:line="240" w:lineRule="auto"/>
      <w:textAlignment w:val="baseline"/>
    </w:pPr>
    <w:rPr>
      <w:sz w:val="21"/>
      <w:szCs w:val="20"/>
    </w:rPr>
  </w:style>
  <w:style w:type="character" w:customStyle="1" w:styleId="2545">
    <w:name w:val="main_tdbg_760"/>
    <w:basedOn w:val="133"/>
    <w:semiHidden/>
    <w:qFormat/>
    <w:uiPriority w:val="0"/>
  </w:style>
  <w:style w:type="character" w:customStyle="1" w:styleId="2546">
    <w:name w:val="zhou11"/>
    <w:basedOn w:val="133"/>
    <w:semiHidden/>
    <w:qFormat/>
    <w:uiPriority w:val="0"/>
  </w:style>
  <w:style w:type="paragraph" w:customStyle="1" w:styleId="2547">
    <w:name w:val="K4"/>
    <w:basedOn w:val="5"/>
    <w:qFormat/>
    <w:uiPriority w:val="0"/>
    <w:pPr>
      <w:tabs>
        <w:tab w:val="left" w:pos="720"/>
        <w:tab w:val="clear" w:pos="480"/>
      </w:tabs>
      <w:spacing w:before="0" w:after="0"/>
    </w:pPr>
    <w:rPr>
      <w:rFonts w:ascii="Times New Roman" w:hAnsi="Times New Roman" w:eastAsia="宋体"/>
      <w:kern w:val="0"/>
      <w:szCs w:val="24"/>
    </w:rPr>
  </w:style>
  <w:style w:type="character" w:customStyle="1" w:styleId="2548">
    <w:name w:val="TT表格标题 Char Char"/>
    <w:qFormat/>
    <w:uiPriority w:val="0"/>
    <w:rPr>
      <w:rFonts w:eastAsia="宋体"/>
      <w:b/>
      <w:sz w:val="24"/>
      <w:lang w:val="en-US" w:eastAsia="zh-CN" w:bidi="ar-SA"/>
    </w:rPr>
  </w:style>
  <w:style w:type="paragraph" w:customStyle="1" w:styleId="2549">
    <w:name w:val="表格文字KK"/>
    <w:basedOn w:val="1"/>
    <w:qFormat/>
    <w:uiPriority w:val="0"/>
    <w:pPr>
      <w:tabs>
        <w:tab w:val="clear" w:pos="480"/>
      </w:tabs>
      <w:spacing w:line="240" w:lineRule="auto"/>
      <w:jc w:val="center"/>
    </w:pPr>
    <w:rPr>
      <w:sz w:val="21"/>
      <w:szCs w:val="22"/>
    </w:rPr>
  </w:style>
  <w:style w:type="character" w:customStyle="1" w:styleId="2550">
    <w:name w:val="样式 正文"/>
    <w:semiHidden/>
    <w:qFormat/>
    <w:uiPriority w:val="0"/>
    <w:rPr>
      <w:rFonts w:ascii="Times New Roman" w:hAnsi="Times New Roman" w:eastAsia="宋体"/>
      <w:snapToGrid/>
      <w:spacing w:val="0"/>
      <w:w w:val="100"/>
      <w:kern w:val="2"/>
      <w:position w:val="0"/>
      <w:sz w:val="24"/>
    </w:rPr>
  </w:style>
  <w:style w:type="paragraph" w:customStyle="1" w:styleId="2551">
    <w:name w:val="表头+times new roma"/>
    <w:basedOn w:val="1"/>
    <w:qFormat/>
    <w:uiPriority w:val="0"/>
    <w:pPr>
      <w:tabs>
        <w:tab w:val="clear" w:pos="480"/>
      </w:tabs>
    </w:pPr>
    <w:rPr>
      <w:rFonts w:cs="宋体"/>
    </w:rPr>
  </w:style>
  <w:style w:type="character" w:customStyle="1" w:styleId="2552">
    <w:name w:val="正文文字缩进 2 Char Char2"/>
    <w:qFormat/>
    <w:uiPriority w:val="0"/>
    <w:rPr>
      <w:rFonts w:ascii="宋体"/>
      <w:sz w:val="24"/>
    </w:rPr>
  </w:style>
  <w:style w:type="character" w:customStyle="1" w:styleId="2553">
    <w:name w:val="图文 Char2"/>
    <w:qFormat/>
    <w:uiPriority w:val="0"/>
    <w:rPr>
      <w:kern w:val="2"/>
      <w:sz w:val="21"/>
      <w:szCs w:val="24"/>
    </w:rPr>
  </w:style>
  <w:style w:type="character" w:customStyle="1" w:styleId="2554">
    <w:name w:val="落款 Char Char2"/>
    <w:qFormat/>
    <w:uiPriority w:val="0"/>
    <w:rPr>
      <w:kern w:val="2"/>
      <w:sz w:val="28"/>
      <w:szCs w:val="24"/>
    </w:rPr>
  </w:style>
  <w:style w:type="paragraph" w:customStyle="1" w:styleId="2555">
    <w:name w:val="批注框文本11"/>
    <w:basedOn w:val="1"/>
    <w:qFormat/>
    <w:uiPriority w:val="0"/>
    <w:pPr>
      <w:tabs>
        <w:tab w:val="clear" w:pos="480"/>
      </w:tabs>
    </w:pPr>
    <w:rPr>
      <w:sz w:val="18"/>
      <w:szCs w:val="18"/>
    </w:rPr>
  </w:style>
  <w:style w:type="paragraph" w:customStyle="1" w:styleId="2556">
    <w:name w:val="日期12"/>
    <w:basedOn w:val="1"/>
    <w:next w:val="1"/>
    <w:qFormat/>
    <w:uiPriority w:val="0"/>
    <w:pPr>
      <w:tabs>
        <w:tab w:val="clear" w:pos="480"/>
      </w:tabs>
      <w:adjustRightInd w:val="0"/>
      <w:textAlignment w:val="baseline"/>
    </w:pPr>
    <w:rPr>
      <w:szCs w:val="20"/>
    </w:rPr>
  </w:style>
  <w:style w:type="paragraph" w:customStyle="1" w:styleId="2557">
    <w:name w:val="批注框文本2"/>
    <w:basedOn w:val="1"/>
    <w:qFormat/>
    <w:uiPriority w:val="0"/>
    <w:pPr>
      <w:tabs>
        <w:tab w:val="clear" w:pos="480"/>
      </w:tabs>
    </w:pPr>
    <w:rPr>
      <w:sz w:val="18"/>
      <w:szCs w:val="18"/>
    </w:rPr>
  </w:style>
  <w:style w:type="paragraph" w:customStyle="1" w:styleId="2558">
    <w:name w:val="日期2"/>
    <w:basedOn w:val="1"/>
    <w:next w:val="1"/>
    <w:qFormat/>
    <w:uiPriority w:val="0"/>
    <w:pPr>
      <w:tabs>
        <w:tab w:val="clear" w:pos="480"/>
      </w:tabs>
      <w:adjustRightInd w:val="0"/>
      <w:textAlignment w:val="baseline"/>
    </w:pPr>
    <w:rPr>
      <w:szCs w:val="20"/>
    </w:rPr>
  </w:style>
  <w:style w:type="paragraph" w:customStyle="1" w:styleId="2559">
    <w:name w:val="纯文本2"/>
    <w:basedOn w:val="1"/>
    <w:qFormat/>
    <w:uiPriority w:val="0"/>
    <w:pPr>
      <w:tabs>
        <w:tab w:val="clear" w:pos="480"/>
      </w:tabs>
      <w:adjustRightInd w:val="0"/>
    </w:pPr>
    <w:rPr>
      <w:rFonts w:ascii="宋体" w:hAnsi="Courier New"/>
      <w:szCs w:val="20"/>
    </w:rPr>
  </w:style>
  <w:style w:type="paragraph" w:customStyle="1" w:styleId="2560">
    <w:name w:val="Char Char Char Char Char Char2"/>
    <w:basedOn w:val="1"/>
    <w:qFormat/>
    <w:uiPriority w:val="0"/>
    <w:pPr>
      <w:tabs>
        <w:tab w:val="clear" w:pos="480"/>
      </w:tabs>
    </w:pPr>
    <w:rPr>
      <w:szCs w:val="22"/>
    </w:rPr>
  </w:style>
  <w:style w:type="paragraph" w:customStyle="1" w:styleId="2561">
    <w:name w:val="Char Char Char Char Char Char Char Char Char Char2"/>
    <w:basedOn w:val="1"/>
    <w:qFormat/>
    <w:uiPriority w:val="0"/>
    <w:pPr>
      <w:tabs>
        <w:tab w:val="clear" w:pos="480"/>
      </w:tabs>
      <w:adjustRightInd w:val="0"/>
    </w:pPr>
    <w:rPr>
      <w:kern w:val="0"/>
      <w:szCs w:val="20"/>
    </w:rPr>
  </w:style>
  <w:style w:type="character" w:customStyle="1" w:styleId="2562">
    <w:name w:val="head31"/>
    <w:qFormat/>
    <w:uiPriority w:val="0"/>
    <w:rPr>
      <w:b/>
      <w:bCs/>
      <w:sz w:val="24"/>
      <w:szCs w:val="24"/>
      <w:u w:val="none"/>
    </w:rPr>
  </w:style>
  <w:style w:type="paragraph" w:customStyle="1" w:styleId="2563">
    <w:name w:val="Char Char Char Char Char Char Char Char Char Char Char1 Char1"/>
    <w:basedOn w:val="1"/>
    <w:qFormat/>
    <w:uiPriority w:val="0"/>
    <w:pPr>
      <w:tabs>
        <w:tab w:val="clear" w:pos="480"/>
      </w:tabs>
      <w:spacing w:line="240" w:lineRule="auto"/>
    </w:pPr>
  </w:style>
  <w:style w:type="paragraph" w:customStyle="1" w:styleId="2564">
    <w:name w:val="Char Char1 Char Char Char Char Char Char Char1"/>
    <w:basedOn w:val="1"/>
    <w:qFormat/>
    <w:uiPriority w:val="0"/>
    <w:pPr>
      <w:tabs>
        <w:tab w:val="clear" w:pos="480"/>
      </w:tabs>
      <w:spacing w:line="240" w:lineRule="auto"/>
    </w:pPr>
    <w:rPr>
      <w:sz w:val="21"/>
    </w:rPr>
  </w:style>
  <w:style w:type="paragraph" w:customStyle="1" w:styleId="2565">
    <w:name w:val="列出段落1"/>
    <w:basedOn w:val="1"/>
    <w:qFormat/>
    <w:uiPriority w:val="0"/>
    <w:pPr>
      <w:tabs>
        <w:tab w:val="clear" w:pos="480"/>
      </w:tabs>
      <w:spacing w:line="240" w:lineRule="auto"/>
      <w:ind w:left="720"/>
    </w:pPr>
    <w:rPr>
      <w:sz w:val="21"/>
    </w:rPr>
  </w:style>
  <w:style w:type="paragraph" w:customStyle="1" w:styleId="2566">
    <w:name w:val="批注框文本3"/>
    <w:basedOn w:val="1"/>
    <w:qFormat/>
    <w:uiPriority w:val="0"/>
    <w:pPr>
      <w:tabs>
        <w:tab w:val="clear" w:pos="480"/>
      </w:tabs>
      <w:spacing w:line="240" w:lineRule="auto"/>
    </w:pPr>
    <w:rPr>
      <w:sz w:val="18"/>
      <w:szCs w:val="18"/>
    </w:rPr>
  </w:style>
  <w:style w:type="paragraph" w:customStyle="1" w:styleId="2567">
    <w:name w:val="日期3"/>
    <w:basedOn w:val="1"/>
    <w:next w:val="1"/>
    <w:qFormat/>
    <w:uiPriority w:val="0"/>
    <w:pPr>
      <w:tabs>
        <w:tab w:val="clear" w:pos="480"/>
      </w:tabs>
      <w:adjustRightInd w:val="0"/>
      <w:spacing w:line="240" w:lineRule="auto"/>
      <w:textAlignment w:val="baseline"/>
    </w:pPr>
    <w:rPr>
      <w:szCs w:val="20"/>
    </w:rPr>
  </w:style>
  <w:style w:type="paragraph" w:customStyle="1" w:styleId="2568">
    <w:name w:val="纯文本3"/>
    <w:basedOn w:val="1"/>
    <w:qFormat/>
    <w:uiPriority w:val="0"/>
    <w:pPr>
      <w:tabs>
        <w:tab w:val="clear" w:pos="480"/>
      </w:tabs>
      <w:adjustRightInd w:val="0"/>
      <w:spacing w:line="240" w:lineRule="auto"/>
    </w:pPr>
    <w:rPr>
      <w:rFonts w:ascii="宋体" w:hAnsi="Courier New"/>
      <w:sz w:val="21"/>
      <w:szCs w:val="20"/>
    </w:rPr>
  </w:style>
  <w:style w:type="character" w:customStyle="1" w:styleId="2569">
    <w:name w:val="txt11"/>
    <w:qFormat/>
    <w:uiPriority w:val="0"/>
    <w:rPr>
      <w:rFonts w:hint="eastAsia" w:ascii="宋体" w:hAnsi="宋体" w:eastAsia="宋体"/>
      <w:b/>
      <w:bCs/>
      <w:color w:val="FF3300"/>
      <w:sz w:val="27"/>
      <w:szCs w:val="27"/>
      <w:u w:val="none"/>
    </w:rPr>
  </w:style>
  <w:style w:type="character" w:customStyle="1" w:styleId="2570">
    <w:name w:val="apple-converted-space"/>
    <w:basedOn w:val="133"/>
    <w:qFormat/>
    <w:uiPriority w:val="0"/>
  </w:style>
  <w:style w:type="character" w:customStyle="1" w:styleId="2571">
    <w:name w:val="落款 Char Char"/>
    <w:semiHidden/>
    <w:qFormat/>
    <w:uiPriority w:val="0"/>
    <w:rPr>
      <w:rFonts w:ascii="Times New Roman" w:hAnsi="Times New Roman" w:eastAsia="宋体" w:cs="Times New Roman"/>
      <w:color w:val="FF0000"/>
      <w:kern w:val="2"/>
      <w:sz w:val="21"/>
      <w:szCs w:val="22"/>
    </w:rPr>
  </w:style>
  <w:style w:type="table" w:customStyle="1" w:styleId="2572">
    <w:name w:val="中等深浅底纹 1 - 强调文字颜色 31"/>
    <w:basedOn w:val="88"/>
    <w:qFormat/>
    <w:uiPriority w:val="0"/>
    <w:rPr>
      <w:rFonts w:ascii="Calibri" w:hAnsi="Calibri"/>
    </w:rPr>
    <w:tblPr>
      <w:tblBorders>
        <w:top w:val="single" w:color="B3CC82" w:sz="8" w:space="0"/>
        <w:left w:val="single" w:color="B3CC82" w:sz="8" w:space="0"/>
        <w:bottom w:val="single" w:color="B3CC82" w:sz="8" w:space="0"/>
        <w:right w:val="single" w:color="B3CC82" w:sz="8" w:space="0"/>
        <w:insideH w:val="single" w:color="B3CC82" w:sz="8" w:space="0"/>
      </w:tblBorders>
    </w:tblPr>
    <w:tblStylePr w:type="firstRow">
      <w:pPr>
        <w:spacing w:before="0" w:after="0" w:line="240" w:lineRule="auto"/>
      </w:pPr>
      <w:rPr>
        <w:b/>
        <w:bCs/>
        <w:color w:val="FFFFFF"/>
      </w:rPr>
      <w:tcPr>
        <w:tcBorders>
          <w:top w:val="single" w:color="B3CC82" w:sz="8" w:space="0"/>
          <w:left w:val="single" w:color="B3CC82" w:sz="8" w:space="0"/>
          <w:bottom w:val="single" w:color="B3CC82" w:sz="8" w:space="0"/>
          <w:right w:val="single" w:color="B3CC82" w:sz="8" w:space="0"/>
          <w:insideH w:val="nil"/>
          <w:insideV w:val="nil"/>
        </w:tcBorders>
        <w:shd w:val="clear" w:color="auto" w:fill="9BBB59"/>
      </w:tcPr>
    </w:tblStylePr>
    <w:tblStylePr w:type="lastRow">
      <w:pPr>
        <w:spacing w:before="0" w:after="0" w:line="240" w:lineRule="auto"/>
      </w:pPr>
      <w:rPr>
        <w:b/>
        <w:bCs/>
      </w:rPr>
      <w:tcPr>
        <w:tcBorders>
          <w:top w:val="double" w:color="B3CC82" w:sz="6" w:space="0"/>
          <w:left w:val="single" w:color="B3CC82" w:sz="8" w:space="0"/>
          <w:bottom w:val="single" w:color="B3CC82" w:sz="8" w:space="0"/>
          <w:right w:val="single" w:color="B3CC82" w:sz="8" w:space="0"/>
          <w:insideH w:val="nil"/>
          <w:insideV w:val="nil"/>
        </w:tcBorders>
      </w:tcPr>
    </w:tblStylePr>
    <w:tblStylePr w:type="firstCol">
      <w:rPr>
        <w:b/>
        <w:bCs/>
      </w:rPr>
    </w:tblStylePr>
    <w:tblStylePr w:type="lastCol">
      <w:rPr>
        <w:b/>
        <w:bCs/>
      </w:rPr>
    </w:tblStylePr>
    <w:tblStylePr w:type="band1Vert">
      <w:tcPr>
        <w:shd w:val="clear" w:color="auto" w:fill="E6EED5"/>
      </w:tcPr>
    </w:tblStylePr>
    <w:tblStylePr w:type="band1Horz">
      <w:tcPr>
        <w:tcBorders>
          <w:insideH w:val="nil"/>
          <w:insideV w:val="nil"/>
        </w:tcBorders>
        <w:shd w:val="clear" w:color="auto" w:fill="E6EED5"/>
      </w:tcPr>
    </w:tblStylePr>
    <w:tblStylePr w:type="band2Horz">
      <w:tcPr>
        <w:tcBorders>
          <w:insideH w:val="nil"/>
          <w:insideV w:val="nil"/>
        </w:tcBorders>
      </w:tcPr>
    </w:tblStylePr>
  </w:style>
  <w:style w:type="table" w:customStyle="1" w:styleId="2573">
    <w:name w:val="中等深浅网格 3 - 强调文字颜色 31"/>
    <w:basedOn w:val="88"/>
    <w:qFormat/>
    <w:uiPriority w:val="0"/>
    <w:rPr>
      <w:rFonts w:ascii="Calibri" w:hAnsi="Calibri"/>
    </w:rPr>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E6EED5"/>
    </w:tcPr>
    <w:tblStylePr w:type="firstRow">
      <w:rPr>
        <w:b/>
        <w:bCs/>
        <w:i w:val="0"/>
        <w:iCs w:val="0"/>
        <w:color w:val="FFFFFF"/>
      </w:rPr>
      <w:tcPr>
        <w:tcBorders>
          <w:top w:val="single" w:color="FFFFFF" w:sz="8" w:space="0"/>
          <w:left w:val="single" w:color="FFFFFF" w:sz="8" w:space="0"/>
          <w:bottom w:val="single" w:color="FFFFFF" w:sz="24" w:space="0"/>
          <w:right w:val="single" w:color="FFFFFF" w:sz="8" w:space="0"/>
          <w:insideH w:val="nil"/>
          <w:insideV w:val="single" w:sz="8" w:space="0"/>
        </w:tcBorders>
        <w:shd w:val="clear" w:color="auto" w:fill="9BBB59"/>
      </w:tcPr>
    </w:tblStylePr>
    <w:tblStylePr w:type="lastRow">
      <w:rPr>
        <w:b/>
        <w:bCs/>
        <w:i w:val="0"/>
        <w:iCs w:val="0"/>
        <w:color w:val="FFFFFF"/>
      </w:r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9BBB59"/>
      </w:tcPr>
    </w:tblStylePr>
    <w:tblStylePr w:type="firstCol">
      <w:rPr>
        <w:b/>
        <w:bCs/>
        <w:i w:val="0"/>
        <w:iCs w:val="0"/>
        <w:color w:val="FFFFFF"/>
      </w:rPr>
      <w:tcPr>
        <w:tcBorders>
          <w:left w:val="single" w:color="FFFFFF" w:sz="8" w:space="0"/>
          <w:right w:val="single" w:color="FFFFFF" w:sz="24" w:space="0"/>
          <w:insideH w:val="nil"/>
          <w:insideV w:val="nil"/>
        </w:tcBorders>
        <w:shd w:val="clear" w:color="auto" w:fill="9BBB59"/>
      </w:tcPr>
    </w:tblStylePr>
    <w:tblStylePr w:type="lastCol">
      <w:rPr>
        <w:b/>
        <w:bCs/>
        <w:i w:val="0"/>
        <w:iCs w:val="0"/>
        <w:color w:val="FFFFFF"/>
      </w:rPr>
      <w:tcPr>
        <w:tcBorders>
          <w:top w:val="nil"/>
          <w:left w:val="single" w:color="FFFFFF" w:sz="24" w:space="0"/>
          <w:bottom w:val="nil"/>
          <w:right w:val="nil"/>
          <w:insideH w:val="nil"/>
          <w:insideV w:val="nil"/>
        </w:tcBorders>
        <w:shd w:val="clear" w:color="auto" w:fill="9BBB59"/>
      </w:tcPr>
    </w:tblStylePr>
    <w:tblStylePr w:type="band1Vert">
      <w:tcPr>
        <w:tcBorders>
          <w:top w:val="single" w:color="FFFFFF" w:sz="8" w:space="0"/>
          <w:left w:val="single" w:color="FFFFFF" w:sz="8" w:space="0"/>
          <w:bottom w:val="single" w:color="FFFFFF" w:sz="8" w:space="0"/>
          <w:right w:val="single" w:color="FFFFFF" w:sz="8" w:space="0"/>
          <w:insideH w:val="nil"/>
          <w:insideV w:val="nil"/>
        </w:tcBorders>
        <w:shd w:val="clear" w:color="auto" w:fill="CDDDAC"/>
      </w:tcPr>
    </w:tblStylePr>
    <w:tblStylePr w:type="band1Horz">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CDDDAC"/>
      </w:tcPr>
    </w:tblStylePr>
  </w:style>
  <w:style w:type="paragraph" w:customStyle="1" w:styleId="2574">
    <w:name w:val="样式 列表 Char + 居中"/>
    <w:basedOn w:val="66"/>
    <w:qFormat/>
    <w:uiPriority w:val="0"/>
    <w:pPr>
      <w:snapToGrid w:val="0"/>
      <w:ind w:left="0" w:firstLine="0" w:firstLineChars="0"/>
    </w:pPr>
    <w:rPr>
      <w:rFonts w:cs="宋体"/>
      <w:szCs w:val="20"/>
    </w:rPr>
  </w:style>
  <w:style w:type="paragraph" w:customStyle="1" w:styleId="2575">
    <w:name w:val="正文(a)"/>
    <w:basedOn w:val="33"/>
    <w:qFormat/>
    <w:uiPriority w:val="0"/>
    <w:pPr>
      <w:widowControl/>
      <w:tabs>
        <w:tab w:val="left" w:pos="1139"/>
        <w:tab w:val="left" w:pos="1332"/>
      </w:tabs>
      <w:spacing w:line="351" w:lineRule="atLeast"/>
      <w:ind w:left="-141" w:firstLine="566"/>
      <w:textAlignment w:val="baseline"/>
    </w:pPr>
    <w:rPr>
      <w:rFonts w:hAnsi="Times New Roman"/>
      <w:color w:val="000000"/>
      <w:spacing w:val="5"/>
      <w:szCs w:val="24"/>
      <w:u w:color="000000"/>
    </w:rPr>
  </w:style>
  <w:style w:type="paragraph" w:customStyle="1" w:styleId="2576">
    <w:name w:val="样式 正文编号（1） +"/>
    <w:basedOn w:val="1"/>
    <w:qFormat/>
    <w:uiPriority w:val="0"/>
    <w:pPr>
      <w:tabs>
        <w:tab w:val="left" w:pos="360"/>
        <w:tab w:val="left" w:pos="572"/>
        <w:tab w:val="clear" w:pos="480"/>
      </w:tabs>
      <w:spacing w:line="520" w:lineRule="exact"/>
      <w:ind w:left="360" w:hanging="360"/>
    </w:pPr>
    <w:rPr>
      <w:kern w:val="0"/>
      <w:sz w:val="28"/>
    </w:rPr>
  </w:style>
  <w:style w:type="paragraph" w:customStyle="1" w:styleId="2577">
    <w:name w:val="样式 列表 + 黑色 左侧:  0 厘米 悬挂缩进: 2 字符 段前: 0.5 行"/>
    <w:basedOn w:val="66"/>
    <w:qFormat/>
    <w:uiPriority w:val="0"/>
    <w:pPr>
      <w:spacing w:beforeLines="50"/>
    </w:pPr>
    <w:rPr>
      <w:rFonts w:eastAsia="仿宋_GB2312"/>
      <w:color w:val="000000"/>
      <w:sz w:val="24"/>
      <w:szCs w:val="20"/>
    </w:rPr>
  </w:style>
  <w:style w:type="paragraph" w:customStyle="1" w:styleId="2578">
    <w:name w:val="调查表正文"/>
    <w:qFormat/>
    <w:uiPriority w:val="0"/>
    <w:pPr>
      <w:ind w:firstLine="200" w:firstLineChars="200"/>
      <w:jc w:val="center"/>
    </w:pPr>
    <w:rPr>
      <w:rFonts w:ascii="Times New Roman" w:hAnsi="Times New Roman" w:eastAsia="宋体" w:cs="Times New Roman"/>
      <w:color w:val="000000"/>
      <w:kern w:val="2"/>
      <w:sz w:val="24"/>
      <w:szCs w:val="24"/>
      <w:lang w:val="en-US" w:eastAsia="zh-CN" w:bidi="ar-SA"/>
    </w:rPr>
  </w:style>
  <w:style w:type="paragraph" w:customStyle="1" w:styleId="2579">
    <w:name w:val="流程文字"/>
    <w:qFormat/>
    <w:uiPriority w:val="0"/>
    <w:pPr>
      <w:spacing w:line="440" w:lineRule="exact"/>
      <w:jc w:val="center"/>
    </w:pPr>
    <w:rPr>
      <w:rFonts w:ascii="楷体_GB2312" w:hAnsi="Times New Roman" w:eastAsia="楷体_GB2312" w:cs="Times New Roman"/>
      <w:kern w:val="2"/>
      <w:sz w:val="28"/>
      <w:szCs w:val="24"/>
      <w:lang w:val="en-US" w:eastAsia="zh-CN" w:bidi="ar-SA"/>
    </w:rPr>
  </w:style>
  <w:style w:type="character" w:customStyle="1" w:styleId="2580">
    <w:name w:val="批注文字 Char"/>
    <w:qFormat/>
    <w:uiPriority w:val="99"/>
    <w:rPr>
      <w:kern w:val="2"/>
      <w:sz w:val="21"/>
      <w:szCs w:val="24"/>
    </w:rPr>
  </w:style>
  <w:style w:type="paragraph" w:customStyle="1" w:styleId="2581">
    <w:name w:val="第一标题"/>
    <w:basedOn w:val="2"/>
    <w:qFormat/>
    <w:uiPriority w:val="0"/>
    <w:pPr>
      <w:numPr>
        <w:numId w:val="0"/>
      </w:numPr>
      <w:tabs>
        <w:tab w:val="clear" w:pos="480"/>
      </w:tabs>
      <w:snapToGrid w:val="0"/>
      <w:spacing w:beforeAutospacing="1" w:afterAutospacing="1"/>
      <w:jc w:val="center"/>
    </w:pPr>
    <w:rPr>
      <w:rFonts w:ascii="Times New Roman" w:eastAsia="宋体" w:cs="宋体"/>
      <w:sz w:val="44"/>
    </w:rPr>
  </w:style>
  <w:style w:type="paragraph" w:customStyle="1" w:styleId="2582">
    <w:name w:val="第四层标题"/>
    <w:basedOn w:val="1"/>
    <w:qFormat/>
    <w:uiPriority w:val="0"/>
    <w:pPr>
      <w:tabs>
        <w:tab w:val="clear" w:pos="480"/>
      </w:tabs>
      <w:outlineLvl w:val="3"/>
    </w:pPr>
    <w:rPr>
      <w:rFonts w:ascii="Arial" w:hAnsi="Arial"/>
      <w:b/>
      <w:szCs w:val="28"/>
    </w:rPr>
  </w:style>
  <w:style w:type="paragraph" w:customStyle="1" w:styleId="2583">
    <w:name w:val="样式 四号 加粗 黑色"/>
    <w:basedOn w:val="1"/>
    <w:next w:val="63"/>
    <w:qFormat/>
    <w:uiPriority w:val="0"/>
    <w:pPr>
      <w:tabs>
        <w:tab w:val="clear" w:pos="480"/>
      </w:tabs>
    </w:pPr>
    <w:rPr>
      <w:rFonts w:cs="宋体"/>
      <w:b/>
      <w:bCs/>
      <w:color w:val="000000"/>
      <w:sz w:val="32"/>
      <w:szCs w:val="20"/>
    </w:rPr>
  </w:style>
  <w:style w:type="paragraph" w:customStyle="1" w:styleId="2584">
    <w:name w:val="样式 小四 加粗"/>
    <w:basedOn w:val="1"/>
    <w:qFormat/>
    <w:uiPriority w:val="0"/>
    <w:pPr>
      <w:tabs>
        <w:tab w:val="clear" w:pos="480"/>
      </w:tabs>
    </w:pPr>
    <w:rPr>
      <w:rFonts w:cs="宋体"/>
      <w:b/>
      <w:bCs/>
      <w:szCs w:val="20"/>
    </w:rPr>
  </w:style>
  <w:style w:type="paragraph" w:customStyle="1" w:styleId="2585">
    <w:name w:val="第四层次"/>
    <w:basedOn w:val="3"/>
    <w:qFormat/>
    <w:uiPriority w:val="0"/>
    <w:pPr>
      <w:numPr>
        <w:ilvl w:val="0"/>
        <w:numId w:val="0"/>
      </w:numPr>
      <w:tabs>
        <w:tab w:val="clear" w:pos="480"/>
        <w:tab w:val="clear" w:pos="630"/>
      </w:tabs>
      <w:spacing w:before="120" w:after="260"/>
    </w:pPr>
    <w:rPr>
      <w:rFonts w:ascii="Arial" w:hAnsi="Arial"/>
      <w:sz w:val="24"/>
      <w:szCs w:val="30"/>
    </w:rPr>
  </w:style>
  <w:style w:type="paragraph" w:customStyle="1" w:styleId="2586">
    <w:name w:val="第二标题"/>
    <w:basedOn w:val="3"/>
    <w:next w:val="3"/>
    <w:qFormat/>
    <w:uiPriority w:val="0"/>
    <w:pPr>
      <w:numPr>
        <w:ilvl w:val="0"/>
        <w:numId w:val="0"/>
      </w:numPr>
      <w:tabs>
        <w:tab w:val="clear" w:pos="480"/>
        <w:tab w:val="clear" w:pos="630"/>
      </w:tabs>
      <w:snapToGrid w:val="0"/>
      <w:spacing w:after="260"/>
    </w:pPr>
    <w:rPr>
      <w:rFonts w:ascii="Arial" w:hAnsi="Arial" w:eastAsia="黑体"/>
      <w:bCs w:val="0"/>
      <w:sz w:val="36"/>
      <w:szCs w:val="36"/>
    </w:rPr>
  </w:style>
  <w:style w:type="character" w:customStyle="1" w:styleId="2587">
    <w:name w:val="第二标题 Char"/>
    <w:qFormat/>
    <w:uiPriority w:val="0"/>
    <w:rPr>
      <w:rFonts w:ascii="Arial" w:hAnsi="Arial" w:eastAsia="黑体"/>
      <w:b/>
      <w:bCs/>
      <w:kern w:val="2"/>
      <w:sz w:val="36"/>
      <w:szCs w:val="36"/>
    </w:rPr>
  </w:style>
  <w:style w:type="paragraph" w:customStyle="1" w:styleId="2588">
    <w:name w:val="第三标题"/>
    <w:basedOn w:val="4"/>
    <w:qFormat/>
    <w:uiPriority w:val="0"/>
    <w:pPr>
      <w:numPr>
        <w:ilvl w:val="0"/>
        <w:numId w:val="0"/>
      </w:numPr>
      <w:tabs>
        <w:tab w:val="clear" w:pos="480"/>
        <w:tab w:val="clear" w:pos="840"/>
      </w:tabs>
      <w:adjustRightInd w:val="0"/>
      <w:spacing w:beforeLines="50" w:afterLines="50" w:line="240" w:lineRule="atLeast"/>
    </w:pPr>
    <w:rPr>
      <w:rFonts w:ascii="Arial" w:hAnsi="Arial" w:eastAsia="宋体"/>
      <w:sz w:val="32"/>
    </w:rPr>
  </w:style>
  <w:style w:type="character" w:customStyle="1" w:styleId="2589">
    <w:name w:val="第三标题 Char"/>
    <w:qFormat/>
    <w:uiPriority w:val="0"/>
    <w:rPr>
      <w:rFonts w:ascii="Arial" w:hAnsi="Arial"/>
      <w:b/>
      <w:bCs/>
      <w:color w:val="000000"/>
      <w:kern w:val="2"/>
      <w:sz w:val="32"/>
      <w:szCs w:val="32"/>
    </w:rPr>
  </w:style>
  <w:style w:type="paragraph" w:customStyle="1" w:styleId="2590">
    <w:name w:val="样式 第三标题 + 宋体"/>
    <w:basedOn w:val="2588"/>
    <w:qFormat/>
    <w:uiPriority w:val="0"/>
    <w:pPr>
      <w:spacing w:line="360" w:lineRule="auto"/>
    </w:pPr>
    <w:rPr>
      <w:rFonts w:ascii="宋体" w:hAnsi="宋体"/>
    </w:rPr>
  </w:style>
  <w:style w:type="character" w:customStyle="1" w:styleId="2591">
    <w:name w:val="样式 第三标题 + 宋体 Char"/>
    <w:qFormat/>
    <w:uiPriority w:val="0"/>
    <w:rPr>
      <w:rFonts w:ascii="宋体" w:hAnsi="宋体"/>
      <w:b/>
      <w:bCs/>
      <w:color w:val="000000"/>
      <w:kern w:val="2"/>
      <w:sz w:val="32"/>
      <w:szCs w:val="32"/>
    </w:rPr>
  </w:style>
  <w:style w:type="paragraph" w:customStyle="1" w:styleId="2592">
    <w:name w:val="样式 表 + 蓝色"/>
    <w:basedOn w:val="545"/>
    <w:qFormat/>
    <w:uiPriority w:val="0"/>
    <w:pPr>
      <w:snapToGrid/>
      <w:spacing w:line="360" w:lineRule="auto"/>
    </w:pPr>
    <w:rPr>
      <w:rFonts w:ascii="宋体" w:hAnsi="宋体"/>
      <w:b/>
      <w:color w:val="0000FF"/>
      <w:spacing w:val="0"/>
      <w:sz w:val="24"/>
      <w:szCs w:val="24"/>
    </w:rPr>
  </w:style>
  <w:style w:type="paragraph" w:customStyle="1" w:styleId="2593">
    <w:name w:val="退格正文"/>
    <w:basedOn w:val="1"/>
    <w:semiHidden/>
    <w:qFormat/>
    <w:uiPriority w:val="0"/>
    <w:pPr>
      <w:tabs>
        <w:tab w:val="clear" w:pos="480"/>
      </w:tabs>
      <w:ind w:firstLine="538" w:firstLineChars="192"/>
    </w:pPr>
    <w:rPr>
      <w:sz w:val="28"/>
    </w:rPr>
  </w:style>
  <w:style w:type="character" w:customStyle="1" w:styleId="2594">
    <w:name w:val="unnamed3"/>
    <w:basedOn w:val="133"/>
    <w:qFormat/>
    <w:uiPriority w:val="0"/>
  </w:style>
  <w:style w:type="character" w:customStyle="1" w:styleId="2595">
    <w:name w:val="标题 Char"/>
    <w:qFormat/>
    <w:uiPriority w:val="0"/>
    <w:rPr>
      <w:rFonts w:ascii="Arial" w:hAnsi="Arial" w:cs="Arial"/>
      <w:b/>
      <w:bCs/>
      <w:kern w:val="2"/>
      <w:sz w:val="32"/>
      <w:szCs w:val="32"/>
    </w:rPr>
  </w:style>
  <w:style w:type="character" w:customStyle="1" w:styleId="2596">
    <w:name w:val="正文文本 2 Char"/>
    <w:qFormat/>
    <w:uiPriority w:val="0"/>
    <w:rPr>
      <w:rFonts w:hAnsi="宋体"/>
      <w:spacing w:val="-20"/>
      <w:kern w:val="2"/>
      <w:sz w:val="22"/>
    </w:rPr>
  </w:style>
  <w:style w:type="character" w:customStyle="1" w:styleId="2597">
    <w:name w:val="批注主题 Char"/>
    <w:qFormat/>
    <w:uiPriority w:val="0"/>
    <w:rPr>
      <w:b/>
      <w:bCs/>
      <w:kern w:val="2"/>
      <w:sz w:val="21"/>
      <w:szCs w:val="24"/>
    </w:rPr>
  </w:style>
  <w:style w:type="character" w:customStyle="1" w:styleId="2598">
    <w:name w:val="批注框文本 Char"/>
    <w:qFormat/>
    <w:uiPriority w:val="0"/>
    <w:rPr>
      <w:kern w:val="2"/>
      <w:sz w:val="18"/>
      <w:szCs w:val="18"/>
    </w:rPr>
  </w:style>
  <w:style w:type="character" w:customStyle="1" w:styleId="2599">
    <w:name w:val="日期 Char"/>
    <w:qFormat/>
    <w:uiPriority w:val="0"/>
    <w:rPr>
      <w:kern w:val="2"/>
      <w:sz w:val="24"/>
    </w:rPr>
  </w:style>
  <w:style w:type="character" w:customStyle="1" w:styleId="2600">
    <w:name w:val="注释标题 Char"/>
    <w:qFormat/>
    <w:uiPriority w:val="0"/>
    <w:rPr>
      <w:rFonts w:ascii="宋体" w:hAnsi="宋体" w:eastAsia="黑体"/>
      <w:snapToGrid w:val="0"/>
      <w:sz w:val="28"/>
      <w:szCs w:val="24"/>
    </w:rPr>
  </w:style>
  <w:style w:type="paragraph" w:customStyle="1" w:styleId="2601">
    <w:name w:val="正文仿宋"/>
    <w:basedOn w:val="1"/>
    <w:qFormat/>
    <w:uiPriority w:val="0"/>
    <w:pPr>
      <w:tabs>
        <w:tab w:val="clear" w:pos="480"/>
      </w:tabs>
      <w:adjustRightInd w:val="0"/>
      <w:snapToGrid w:val="0"/>
      <w:ind w:firstLine="567"/>
    </w:pPr>
    <w:rPr>
      <w:rFonts w:eastAsia="仿宋_GB2312"/>
      <w:snapToGrid w:val="0"/>
      <w:kern w:val="0"/>
      <w:szCs w:val="20"/>
    </w:rPr>
  </w:style>
  <w:style w:type="paragraph" w:customStyle="1" w:styleId="2602">
    <w:name w:val="正文图小四"/>
    <w:basedOn w:val="1"/>
    <w:qFormat/>
    <w:uiPriority w:val="0"/>
    <w:pPr>
      <w:tabs>
        <w:tab w:val="clear" w:pos="480"/>
      </w:tabs>
      <w:adjustRightInd w:val="0"/>
      <w:snapToGrid w:val="0"/>
      <w:spacing w:line="240" w:lineRule="auto"/>
      <w:jc w:val="center"/>
      <w:textAlignment w:val="baseline"/>
    </w:pPr>
    <w:rPr>
      <w:rFonts w:ascii="宋体"/>
      <w:kern w:val="0"/>
      <w:szCs w:val="20"/>
    </w:rPr>
  </w:style>
  <w:style w:type="paragraph" w:customStyle="1" w:styleId="2603">
    <w:name w:val="编号4号"/>
    <w:basedOn w:val="1"/>
    <w:qFormat/>
    <w:uiPriority w:val="0"/>
    <w:pPr>
      <w:widowControl/>
      <w:tabs>
        <w:tab w:val="clear" w:pos="480"/>
      </w:tabs>
      <w:snapToGrid w:val="0"/>
      <w:spacing w:line="312" w:lineRule="auto"/>
    </w:pPr>
    <w:rPr>
      <w:rFonts w:ascii="Arial" w:hAnsi="Arial" w:cs="Arial"/>
      <w:sz w:val="21"/>
    </w:rPr>
  </w:style>
  <w:style w:type="paragraph" w:customStyle="1" w:styleId="2604">
    <w:name w:val="正文仿宋小四"/>
    <w:basedOn w:val="1"/>
    <w:qFormat/>
    <w:uiPriority w:val="0"/>
    <w:pPr>
      <w:tabs>
        <w:tab w:val="clear" w:pos="480"/>
      </w:tabs>
      <w:adjustRightInd w:val="0"/>
      <w:snapToGrid w:val="0"/>
      <w:ind w:firstLine="480"/>
    </w:pPr>
    <w:rPr>
      <w:rFonts w:eastAsia="仿宋_GB2312"/>
    </w:rPr>
  </w:style>
  <w:style w:type="character" w:customStyle="1" w:styleId="2605">
    <w:name w:val="正文文本 3 Char"/>
    <w:qFormat/>
    <w:uiPriority w:val="0"/>
    <w:rPr>
      <w:kern w:val="2"/>
      <w:sz w:val="21"/>
      <w:szCs w:val="24"/>
    </w:rPr>
  </w:style>
  <w:style w:type="paragraph" w:customStyle="1" w:styleId="2606">
    <w:name w:val="样式 标题 2H2标题1.1节SeHead wsa2标题 1.1节标题 1.11.1标题2b2标题2 + 首..."/>
    <w:basedOn w:val="3"/>
    <w:qFormat/>
    <w:uiPriority w:val="0"/>
    <w:pPr>
      <w:numPr>
        <w:ilvl w:val="0"/>
        <w:numId w:val="0"/>
      </w:numPr>
      <w:tabs>
        <w:tab w:val="clear" w:pos="480"/>
        <w:tab w:val="clear" w:pos="630"/>
      </w:tabs>
      <w:spacing w:before="100" w:after="100" w:line="415" w:lineRule="auto"/>
    </w:pPr>
    <w:rPr>
      <w:rFonts w:ascii="Arial" w:hAnsi="Arial" w:eastAsia="黑体" w:cs="宋体"/>
      <w:b w:val="0"/>
      <w:sz w:val="30"/>
      <w:szCs w:val="20"/>
    </w:rPr>
  </w:style>
  <w:style w:type="paragraph" w:customStyle="1" w:styleId="2607">
    <w:name w:val="表注文"/>
    <w:basedOn w:val="1"/>
    <w:qFormat/>
    <w:uiPriority w:val="0"/>
    <w:pPr>
      <w:tabs>
        <w:tab w:val="clear" w:pos="480"/>
      </w:tabs>
      <w:adjustRightInd w:val="0"/>
      <w:spacing w:after="100" w:line="314" w:lineRule="atLeast"/>
      <w:ind w:left="180" w:hanging="180"/>
      <w:jc w:val="left"/>
      <w:textAlignment w:val="baseline"/>
    </w:pPr>
    <w:rPr>
      <w:kern w:val="0"/>
      <w:sz w:val="18"/>
      <w:szCs w:val="20"/>
    </w:rPr>
  </w:style>
  <w:style w:type="paragraph" w:customStyle="1" w:styleId="2608">
    <w:name w:val="标题02"/>
    <w:basedOn w:val="1"/>
    <w:qFormat/>
    <w:uiPriority w:val="0"/>
    <w:pPr>
      <w:tabs>
        <w:tab w:val="clear" w:pos="480"/>
      </w:tabs>
      <w:outlineLvl w:val="1"/>
    </w:pPr>
    <w:rPr>
      <w:b/>
      <w:sz w:val="28"/>
      <w:szCs w:val="20"/>
    </w:rPr>
  </w:style>
  <w:style w:type="character" w:customStyle="1" w:styleId="2609">
    <w:name w:val="第二节"/>
    <w:qFormat/>
    <w:uiPriority w:val="0"/>
    <w:rPr>
      <w:rFonts w:ascii="黑体" w:eastAsia="黑体"/>
      <w:sz w:val="36"/>
    </w:rPr>
  </w:style>
  <w:style w:type="character" w:customStyle="1" w:styleId="2610">
    <w:name w:val="right-content3"/>
    <w:qFormat/>
    <w:uiPriority w:val="0"/>
    <w:rPr>
      <w:rFonts w:hint="default" w:ascii="Tahoma" w:hAnsi="Tahoma" w:cs="Tahoma"/>
      <w:sz w:val="18"/>
      <w:szCs w:val="18"/>
    </w:rPr>
  </w:style>
  <w:style w:type="character" w:customStyle="1" w:styleId="2611">
    <w:name w:val="正文首行缩进 2 Char"/>
    <w:qFormat/>
    <w:uiPriority w:val="0"/>
    <w:rPr>
      <w:kern w:val="2"/>
      <w:sz w:val="21"/>
      <w:szCs w:val="24"/>
    </w:rPr>
  </w:style>
  <w:style w:type="paragraph" w:customStyle="1" w:styleId="2612">
    <w:name w:val="Char82"/>
    <w:basedOn w:val="1"/>
    <w:qFormat/>
    <w:uiPriority w:val="0"/>
    <w:pPr>
      <w:tabs>
        <w:tab w:val="clear" w:pos="480"/>
      </w:tabs>
      <w:spacing w:line="240" w:lineRule="auto"/>
    </w:pPr>
    <w:rPr>
      <w:rFonts w:ascii="Tahoma" w:hAnsi="Tahoma"/>
      <w:szCs w:val="20"/>
    </w:rPr>
  </w:style>
  <w:style w:type="paragraph" w:customStyle="1" w:styleId="2613">
    <w:name w:val="TOC 标题1"/>
    <w:basedOn w:val="2"/>
    <w:next w:val="1"/>
    <w:qFormat/>
    <w:uiPriority w:val="39"/>
    <w:pPr>
      <w:widowControl/>
      <w:numPr>
        <w:numId w:val="0"/>
      </w:numPr>
      <w:tabs>
        <w:tab w:val="clear" w:pos="480"/>
      </w:tabs>
      <w:spacing w:before="480" w:after="0" w:line="276" w:lineRule="auto"/>
      <w:jc w:val="left"/>
      <w:outlineLvl w:val="9"/>
    </w:pPr>
    <w:rPr>
      <w:rFonts w:ascii="Cambria" w:hAnsi="Cambria" w:eastAsia="宋体"/>
      <w:color w:val="365F91"/>
      <w:kern w:val="0"/>
      <w:sz w:val="28"/>
      <w:szCs w:val="28"/>
    </w:rPr>
  </w:style>
  <w:style w:type="paragraph" w:customStyle="1" w:styleId="2614">
    <w:name w:val="Char Char Char Char Char Char Char Char Char Char3"/>
    <w:basedOn w:val="1"/>
    <w:qFormat/>
    <w:uiPriority w:val="0"/>
    <w:pPr>
      <w:tabs>
        <w:tab w:val="clear" w:pos="480"/>
      </w:tabs>
      <w:spacing w:line="240" w:lineRule="auto"/>
    </w:pPr>
    <w:rPr>
      <w:sz w:val="21"/>
      <w:szCs w:val="21"/>
    </w:rPr>
  </w:style>
  <w:style w:type="paragraph" w:customStyle="1" w:styleId="2615">
    <w:name w:val="Char Char Char11"/>
    <w:basedOn w:val="1"/>
    <w:qFormat/>
    <w:uiPriority w:val="0"/>
    <w:pPr>
      <w:keepNext/>
      <w:widowControl/>
      <w:tabs>
        <w:tab w:val="left" w:pos="425"/>
        <w:tab w:val="clear" w:pos="480"/>
      </w:tabs>
      <w:autoSpaceDE w:val="0"/>
      <w:autoSpaceDN w:val="0"/>
      <w:adjustRightInd w:val="0"/>
      <w:spacing w:before="80" w:after="80" w:line="240" w:lineRule="auto"/>
      <w:ind w:hanging="425"/>
    </w:pPr>
    <w:rPr>
      <w:rFonts w:ascii="Arial" w:hAnsi="Arial" w:cs="Arial"/>
      <w:sz w:val="20"/>
      <w:szCs w:val="20"/>
    </w:rPr>
  </w:style>
  <w:style w:type="paragraph" w:customStyle="1" w:styleId="2616">
    <w:name w:val="纯文本11"/>
    <w:basedOn w:val="1"/>
    <w:qFormat/>
    <w:uiPriority w:val="0"/>
    <w:pPr>
      <w:tabs>
        <w:tab w:val="clear" w:pos="480"/>
      </w:tabs>
      <w:adjustRightInd w:val="0"/>
      <w:spacing w:line="240" w:lineRule="auto"/>
      <w:textAlignment w:val="baseline"/>
    </w:pPr>
    <w:rPr>
      <w:rFonts w:ascii="宋体" w:hAnsi="Courier New"/>
      <w:sz w:val="21"/>
      <w:szCs w:val="20"/>
    </w:rPr>
  </w:style>
  <w:style w:type="character" w:customStyle="1" w:styleId="2617">
    <w:name w:val="Char Char Char2"/>
    <w:qFormat/>
    <w:uiPriority w:val="0"/>
    <w:rPr>
      <w:rFonts w:eastAsia="宋体"/>
      <w:kern w:val="2"/>
      <w:sz w:val="16"/>
      <w:szCs w:val="16"/>
      <w:lang w:val="en-US" w:eastAsia="zh-CN" w:bidi="ar-SA"/>
    </w:rPr>
  </w:style>
  <w:style w:type="paragraph" w:customStyle="1" w:styleId="2618">
    <w:name w:val="Char81"/>
    <w:basedOn w:val="1"/>
    <w:qFormat/>
    <w:uiPriority w:val="0"/>
    <w:pPr>
      <w:tabs>
        <w:tab w:val="clear" w:pos="480"/>
      </w:tabs>
      <w:spacing w:line="240" w:lineRule="auto"/>
    </w:pPr>
    <w:rPr>
      <w:rFonts w:ascii="Tahoma" w:hAnsi="Tahoma"/>
      <w:szCs w:val="20"/>
    </w:rPr>
  </w:style>
  <w:style w:type="character" w:customStyle="1" w:styleId="2619">
    <w:name w:val="副标题 Char"/>
    <w:qFormat/>
    <w:uiPriority w:val="0"/>
    <w:rPr>
      <w:rFonts w:ascii="Cambria" w:hAnsi="Cambria" w:cs="Times New Roman"/>
      <w:b/>
      <w:bCs/>
      <w:kern w:val="28"/>
      <w:sz w:val="32"/>
      <w:szCs w:val="32"/>
    </w:rPr>
  </w:style>
  <w:style w:type="paragraph" w:customStyle="1" w:styleId="2620">
    <w:name w:val="麦志勤表格标题"/>
    <w:basedOn w:val="34"/>
    <w:qFormat/>
    <w:uiPriority w:val="0"/>
    <w:pPr>
      <w:tabs>
        <w:tab w:val="clear" w:pos="480"/>
      </w:tabs>
      <w:adjustRightInd w:val="0"/>
      <w:snapToGrid w:val="0"/>
      <w:spacing w:beforeLines="50" w:afterLines="20" w:line="300" w:lineRule="auto"/>
      <w:ind w:firstLine="0" w:firstLineChars="0"/>
      <w:jc w:val="center"/>
    </w:pPr>
    <w:rPr>
      <w:rFonts w:ascii="宋体" w:hAnsi="宋体"/>
    </w:rPr>
  </w:style>
  <w:style w:type="paragraph" w:customStyle="1" w:styleId="2621">
    <w:name w:val="麦志勤表格式"/>
    <w:basedOn w:val="1"/>
    <w:qFormat/>
    <w:uiPriority w:val="0"/>
    <w:pPr>
      <w:tabs>
        <w:tab w:val="clear" w:pos="480"/>
      </w:tabs>
      <w:adjustRightInd w:val="0"/>
      <w:snapToGrid w:val="0"/>
      <w:spacing w:line="0" w:lineRule="atLeast"/>
      <w:jc w:val="center"/>
    </w:pPr>
    <w:rPr>
      <w:rFonts w:ascii="宋体" w:hAnsi="宋体"/>
      <w:color w:val="000000"/>
    </w:rPr>
  </w:style>
  <w:style w:type="paragraph" w:customStyle="1" w:styleId="2622">
    <w:name w:val="样式 正文首行缩进 2 + 首行缩进:  2 字符"/>
    <w:basedOn w:val="87"/>
    <w:qFormat/>
    <w:uiPriority w:val="0"/>
    <w:pPr>
      <w:tabs>
        <w:tab w:val="clear" w:pos="480"/>
      </w:tabs>
      <w:ind w:left="0" w:leftChars="0" w:firstLine="480"/>
    </w:pPr>
    <w:rPr>
      <w:rFonts w:cs="宋体"/>
      <w:szCs w:val="20"/>
    </w:rPr>
  </w:style>
  <w:style w:type="character" w:customStyle="1" w:styleId="2623">
    <w:name w:val="rcjs_jswm_font1"/>
    <w:qFormat/>
    <w:uiPriority w:val="0"/>
    <w:rPr>
      <w:sz w:val="20"/>
      <w:szCs w:val="20"/>
    </w:rPr>
  </w:style>
  <w:style w:type="paragraph" w:customStyle="1" w:styleId="2624">
    <w:name w:val="样式 正文文本 + 四号 段后: 0 磅 行距: 固定值 24 磅"/>
    <w:basedOn w:val="33"/>
    <w:qFormat/>
    <w:uiPriority w:val="0"/>
    <w:pPr>
      <w:spacing w:line="480" w:lineRule="exact"/>
      <w:ind w:firstLine="630" w:firstLineChars="225"/>
    </w:pPr>
    <w:rPr>
      <w:rFonts w:ascii="Times New Roman" w:hAnsi="Times New Roman"/>
      <w:sz w:val="28"/>
    </w:rPr>
  </w:style>
  <w:style w:type="paragraph" w:customStyle="1" w:styleId="2625">
    <w:name w:val="样式 四号 首行缩进:  1.92 字符"/>
    <w:basedOn w:val="1"/>
    <w:qFormat/>
    <w:uiPriority w:val="0"/>
    <w:pPr>
      <w:tabs>
        <w:tab w:val="clear" w:pos="480"/>
      </w:tabs>
      <w:spacing w:line="240" w:lineRule="auto"/>
    </w:pPr>
    <w:rPr>
      <w:rFonts w:cs="黑体"/>
      <w:sz w:val="28"/>
      <w:szCs w:val="20"/>
    </w:rPr>
  </w:style>
  <w:style w:type="character" w:customStyle="1" w:styleId="2626">
    <w:name w:val="zt1"/>
    <w:qFormat/>
    <w:uiPriority w:val="0"/>
    <w:rPr>
      <w:sz w:val="18"/>
      <w:szCs w:val="18"/>
    </w:rPr>
  </w:style>
  <w:style w:type="paragraph" w:customStyle="1" w:styleId="2627">
    <w:name w:val="样式 文字 + 段前: 7.8 磅"/>
    <w:basedOn w:val="1"/>
    <w:qFormat/>
    <w:uiPriority w:val="0"/>
    <w:pPr>
      <w:tabs>
        <w:tab w:val="clear" w:pos="480"/>
      </w:tabs>
      <w:adjustRightInd w:val="0"/>
      <w:snapToGrid w:val="0"/>
      <w:ind w:firstLine="480"/>
    </w:pPr>
    <w:rPr>
      <w:szCs w:val="20"/>
    </w:rPr>
  </w:style>
  <w:style w:type="paragraph" w:customStyle="1" w:styleId="2628">
    <w:name w:val="样式 正文（首行缩进两字） + 首行缩进:  2 字符"/>
    <w:basedOn w:val="20"/>
    <w:qFormat/>
    <w:uiPriority w:val="0"/>
    <w:pPr>
      <w:tabs>
        <w:tab w:val="clear" w:pos="480"/>
      </w:tabs>
      <w:adjustRightInd w:val="0"/>
      <w:ind w:firstLine="480"/>
      <w:textAlignment w:val="baseline"/>
    </w:pPr>
    <w:rPr>
      <w:rFonts w:cs="宋体"/>
      <w:szCs w:val="20"/>
    </w:rPr>
  </w:style>
  <w:style w:type="paragraph" w:customStyle="1" w:styleId="2629">
    <w:name w:val="文字"/>
    <w:basedOn w:val="1"/>
    <w:qFormat/>
    <w:uiPriority w:val="0"/>
    <w:pPr>
      <w:tabs>
        <w:tab w:val="clear" w:pos="480"/>
      </w:tabs>
      <w:adjustRightInd w:val="0"/>
      <w:snapToGrid w:val="0"/>
      <w:ind w:firstLine="480"/>
    </w:pPr>
  </w:style>
  <w:style w:type="paragraph" w:customStyle="1" w:styleId="2630">
    <w:name w:val="样式 标题 3条标题1.1.13h33rd levelH3l3CTReHead 3 WSA + 小三 首行缩..."/>
    <w:basedOn w:val="4"/>
    <w:qFormat/>
    <w:uiPriority w:val="0"/>
    <w:pPr>
      <w:numPr>
        <w:ilvl w:val="0"/>
        <w:numId w:val="0"/>
      </w:numPr>
      <w:tabs>
        <w:tab w:val="clear" w:pos="480"/>
        <w:tab w:val="clear" w:pos="840"/>
      </w:tabs>
      <w:adjustRightInd w:val="0"/>
      <w:snapToGrid w:val="0"/>
      <w:spacing w:beforeLines="50" w:after="62" w:line="240" w:lineRule="auto"/>
    </w:pPr>
    <w:rPr>
      <w:rFonts w:ascii="Times New Roman" w:eastAsia="宋体"/>
      <w:bCs w:val="0"/>
      <w:snapToGrid w:val="0"/>
      <w:kern w:val="0"/>
      <w:sz w:val="32"/>
      <w:szCs w:val="30"/>
    </w:rPr>
  </w:style>
  <w:style w:type="paragraph" w:customStyle="1" w:styleId="2631">
    <w:name w:val="Title.2"/>
    <w:qFormat/>
    <w:uiPriority w:val="0"/>
    <w:pPr>
      <w:keepNext/>
      <w:keepLines/>
      <w:spacing w:beforeLines="50" w:afterLines="50"/>
      <w:jc w:val="center"/>
      <w:outlineLvl w:val="1"/>
    </w:pPr>
    <w:rPr>
      <w:rFonts w:ascii="Times New Roman" w:hAnsi="Times New Roman" w:eastAsia="黑体" w:cs="Times New Roman"/>
      <w:kern w:val="2"/>
      <w:sz w:val="28"/>
      <w:szCs w:val="24"/>
      <w:lang w:val="en-US" w:eastAsia="zh-CN" w:bidi="ar-SA"/>
    </w:rPr>
  </w:style>
  <w:style w:type="paragraph" w:customStyle="1" w:styleId="2632">
    <w:name w:val="样式 标题 4H4 + (中文) 楷体_GB2312"/>
    <w:basedOn w:val="5"/>
    <w:qFormat/>
    <w:uiPriority w:val="0"/>
    <w:pPr>
      <w:keepNext w:val="0"/>
      <w:keepLines w:val="0"/>
      <w:numPr>
        <w:ilvl w:val="0"/>
        <w:numId w:val="0"/>
      </w:numPr>
      <w:tabs>
        <w:tab w:val="clear" w:pos="480"/>
      </w:tabs>
      <w:autoSpaceDE w:val="0"/>
      <w:autoSpaceDN w:val="0"/>
      <w:adjustRightInd w:val="0"/>
      <w:spacing w:before="0" w:after="120"/>
    </w:pPr>
    <w:rPr>
      <w:rFonts w:ascii="Times New Roman" w:hAnsi="Times New Roman" w:eastAsia="黑体"/>
      <w:b w:val="0"/>
    </w:rPr>
  </w:style>
  <w:style w:type="paragraph" w:customStyle="1" w:styleId="2633">
    <w:name w:val="正文-G Char Char"/>
    <w:basedOn w:val="1"/>
    <w:qFormat/>
    <w:uiPriority w:val="0"/>
    <w:pPr>
      <w:tabs>
        <w:tab w:val="clear" w:pos="480"/>
      </w:tabs>
      <w:spacing w:line="400" w:lineRule="exact"/>
      <w:ind w:firstLine="480"/>
    </w:pPr>
    <w:rPr>
      <w:rFonts w:eastAsia="仿宋_GB2312"/>
      <w:kern w:val="0"/>
      <w:szCs w:val="20"/>
    </w:rPr>
  </w:style>
  <w:style w:type="paragraph" w:customStyle="1" w:styleId="2634">
    <w:name w:val="样式 标题 1Head 1wsah1一、标题 1 Char Char标题0标题 1（报告）(小2黑)标题 1 Ch..."/>
    <w:basedOn w:val="2"/>
    <w:qFormat/>
    <w:uiPriority w:val="0"/>
    <w:pPr>
      <w:pageBreakBefore/>
      <w:numPr>
        <w:numId w:val="0"/>
      </w:numPr>
      <w:tabs>
        <w:tab w:val="clear" w:pos="480"/>
      </w:tabs>
      <w:spacing w:before="360" w:after="120"/>
      <w:jc w:val="center"/>
    </w:pPr>
    <w:rPr>
      <w:rFonts w:ascii="Times New Roman" w:eastAsia="宋体" w:cs="宋体"/>
      <w:sz w:val="44"/>
      <w:szCs w:val="20"/>
    </w:rPr>
  </w:style>
  <w:style w:type="paragraph" w:customStyle="1" w:styleId="2635">
    <w:name w:val="样式 标题 2标题 2 Char标题 2 Char Char节标题 1.11.1标题2b2SeHead wsa2..."/>
    <w:basedOn w:val="3"/>
    <w:qFormat/>
    <w:uiPriority w:val="0"/>
    <w:pPr>
      <w:numPr>
        <w:numId w:val="0"/>
      </w:numPr>
      <w:tabs>
        <w:tab w:val="left" w:pos="576"/>
        <w:tab w:val="clear" w:pos="480"/>
        <w:tab w:val="clear" w:pos="630"/>
      </w:tabs>
      <w:spacing w:before="120"/>
      <w:ind w:left="576" w:hanging="576"/>
    </w:pPr>
    <w:rPr>
      <w:rFonts w:ascii="Arial" w:hAnsi="Arial" w:eastAsia="黑体"/>
    </w:rPr>
  </w:style>
  <w:style w:type="character" w:customStyle="1" w:styleId="2636">
    <w:name w:val="样式 标题 2标题 2 Char标题 2 Char Char节标题 1.11.1标题2b2SeHead wsa2... Char"/>
    <w:qFormat/>
    <w:uiPriority w:val="0"/>
    <w:rPr>
      <w:rFonts w:ascii="Arial" w:hAnsi="Arial" w:eastAsia="黑体"/>
      <w:b/>
      <w:bCs/>
      <w:color w:val="000000"/>
      <w:kern w:val="2"/>
      <w:sz w:val="32"/>
      <w:szCs w:val="32"/>
      <w:lang w:val="en-US" w:eastAsia="zh-CN" w:bidi="ar-SA"/>
    </w:rPr>
  </w:style>
  <w:style w:type="paragraph" w:customStyle="1" w:styleId="2637">
    <w:name w:val="样式 标题 3条标题1.1.13h33rd levelH3l3CTReHead 3 WSA标题 3 Char..."/>
    <w:basedOn w:val="4"/>
    <w:qFormat/>
    <w:uiPriority w:val="0"/>
    <w:pPr>
      <w:numPr>
        <w:numId w:val="0"/>
      </w:numPr>
      <w:tabs>
        <w:tab w:val="left" w:pos="720"/>
        <w:tab w:val="clear" w:pos="480"/>
        <w:tab w:val="clear" w:pos="840"/>
      </w:tabs>
      <w:spacing w:before="190" w:after="120" w:line="240" w:lineRule="auto"/>
      <w:ind w:left="1797" w:hanging="720"/>
    </w:pPr>
    <w:rPr>
      <w:rFonts w:ascii="Times New Roman" w:eastAsia="宋体"/>
    </w:rPr>
  </w:style>
  <w:style w:type="paragraph" w:customStyle="1" w:styleId="2638">
    <w:name w:val="样式 标题 2 + 小三 加粗"/>
    <w:basedOn w:val="3"/>
    <w:qFormat/>
    <w:uiPriority w:val="0"/>
    <w:pPr>
      <w:numPr>
        <w:ilvl w:val="0"/>
        <w:numId w:val="0"/>
      </w:numPr>
      <w:tabs>
        <w:tab w:val="clear" w:pos="480"/>
        <w:tab w:val="clear" w:pos="630"/>
      </w:tabs>
      <w:spacing w:beforeLines="50" w:afterLines="50" w:line="240" w:lineRule="auto"/>
      <w:jc w:val="left"/>
    </w:pPr>
    <w:rPr>
      <w:rFonts w:ascii="Arial" w:hAnsi="Arial" w:eastAsia="黑体"/>
      <w:sz w:val="30"/>
    </w:rPr>
  </w:style>
  <w:style w:type="paragraph" w:customStyle="1" w:styleId="2639">
    <w:name w:val="样式 标题 4Subsection + 首行缩进:  2 字符"/>
    <w:basedOn w:val="5"/>
    <w:qFormat/>
    <w:uiPriority w:val="0"/>
    <w:pPr>
      <w:numPr>
        <w:ilvl w:val="0"/>
        <w:numId w:val="0"/>
      </w:numPr>
      <w:tabs>
        <w:tab w:val="left" w:pos="1680"/>
        <w:tab w:val="clear" w:pos="480"/>
      </w:tabs>
      <w:snapToGrid w:val="0"/>
      <w:spacing w:before="0" w:after="0"/>
      <w:ind w:left="1680" w:hanging="420"/>
    </w:pPr>
    <w:rPr>
      <w:rFonts w:ascii="Arial" w:hAnsi="Arial" w:eastAsia="黑体"/>
      <w:sz w:val="24"/>
      <w:szCs w:val="24"/>
    </w:rPr>
  </w:style>
  <w:style w:type="paragraph" w:customStyle="1" w:styleId="2640">
    <w:name w:val="样式 正文缩进 +"/>
    <w:basedOn w:val="20"/>
    <w:qFormat/>
    <w:uiPriority w:val="0"/>
    <w:pPr>
      <w:tabs>
        <w:tab w:val="clear" w:pos="480"/>
      </w:tabs>
      <w:adjustRightInd w:val="0"/>
      <w:spacing w:after="120"/>
      <w:ind w:firstLine="567" w:firstLineChars="0"/>
      <w:textAlignment w:val="baseline"/>
    </w:pPr>
  </w:style>
  <w:style w:type="paragraph" w:customStyle="1" w:styleId="2641">
    <w:name w:val="样式 标题 3 + (中文) 黑体 四号 段前: 6 磅 段后: 6 磅 行距: 多倍行距 1.73 字行"/>
    <w:basedOn w:val="4"/>
    <w:qFormat/>
    <w:uiPriority w:val="0"/>
    <w:pPr>
      <w:numPr>
        <w:ilvl w:val="0"/>
        <w:numId w:val="0"/>
      </w:numPr>
      <w:tabs>
        <w:tab w:val="clear" w:pos="480"/>
        <w:tab w:val="clear" w:pos="840"/>
      </w:tabs>
      <w:spacing w:before="190" w:after="120" w:line="560" w:lineRule="exact"/>
      <w:jc w:val="left"/>
    </w:pPr>
    <w:rPr>
      <w:rFonts w:ascii="黑体" w:eastAsia="黑体" w:cs="宋体"/>
      <w:b w:val="0"/>
      <w:szCs w:val="20"/>
    </w:rPr>
  </w:style>
  <w:style w:type="paragraph" w:customStyle="1" w:styleId="2642">
    <w:name w:val="样式 四号 首行缩进:  0.85 厘米 段前: 6 磅 行距: 1.5 倍行距"/>
    <w:basedOn w:val="1"/>
    <w:qFormat/>
    <w:uiPriority w:val="0"/>
    <w:pPr>
      <w:tabs>
        <w:tab w:val="clear" w:pos="480"/>
      </w:tabs>
      <w:spacing w:before="120"/>
      <w:ind w:firstLine="567"/>
    </w:pPr>
    <w:rPr>
      <w:rFonts w:cs="宋体"/>
      <w:sz w:val="28"/>
      <w:szCs w:val="20"/>
    </w:rPr>
  </w:style>
  <w:style w:type="paragraph" w:customStyle="1" w:styleId="2643">
    <w:name w:val="CY－正文"/>
    <w:basedOn w:val="1"/>
    <w:qFormat/>
    <w:uiPriority w:val="0"/>
    <w:pPr>
      <w:tabs>
        <w:tab w:val="clear" w:pos="480"/>
      </w:tabs>
      <w:ind w:firstLine="560"/>
    </w:pPr>
    <w:rPr>
      <w:sz w:val="28"/>
    </w:rPr>
  </w:style>
  <w:style w:type="paragraph" w:customStyle="1" w:styleId="2644">
    <w:name w:val="样式 标题 4 + 黑色 段前: 12 磅 段后: 6 磅 行距: 1.5 倍行距"/>
    <w:basedOn w:val="5"/>
    <w:qFormat/>
    <w:uiPriority w:val="0"/>
    <w:pPr>
      <w:keepNext w:val="0"/>
      <w:keepLines w:val="0"/>
      <w:numPr>
        <w:ilvl w:val="0"/>
        <w:numId w:val="0"/>
      </w:numPr>
      <w:tabs>
        <w:tab w:val="clear" w:pos="480"/>
      </w:tabs>
      <w:adjustRightInd w:val="0"/>
      <w:spacing w:before="120" w:after="120" w:line="500" w:lineRule="exact"/>
    </w:pPr>
    <w:rPr>
      <w:rFonts w:ascii="Times New Roman" w:hAnsi="Times New Roman" w:eastAsia="宋体" w:cs="宋体"/>
      <w:color w:val="000000"/>
      <w:kern w:val="0"/>
      <w:szCs w:val="20"/>
    </w:rPr>
  </w:style>
  <w:style w:type="paragraph" w:customStyle="1" w:styleId="2645">
    <w:name w:val="样式 标题 3 + 小三 黑色 左 段前: 6 磅 段后: 0 磅 行距: 固定值 25 磅"/>
    <w:basedOn w:val="4"/>
    <w:qFormat/>
    <w:uiPriority w:val="0"/>
    <w:pPr>
      <w:numPr>
        <w:ilvl w:val="0"/>
        <w:numId w:val="0"/>
      </w:numPr>
      <w:tabs>
        <w:tab w:val="clear" w:pos="480"/>
        <w:tab w:val="clear" w:pos="840"/>
      </w:tabs>
      <w:spacing w:before="190" w:after="120" w:line="500" w:lineRule="exact"/>
      <w:jc w:val="left"/>
    </w:pPr>
    <w:rPr>
      <w:rFonts w:ascii="Times New Roman" w:eastAsia="宋体" w:cs="宋体"/>
      <w:color w:val="000000"/>
      <w:kern w:val="0"/>
      <w:szCs w:val="20"/>
    </w:rPr>
  </w:style>
  <w:style w:type="paragraph" w:customStyle="1" w:styleId="2646">
    <w:name w:val="样式 标题 2第几节 + 首行缩进:  1.05 厘米 段前: 0.5 行"/>
    <w:basedOn w:val="3"/>
    <w:qFormat/>
    <w:uiPriority w:val="0"/>
    <w:pPr>
      <w:numPr>
        <w:ilvl w:val="0"/>
        <w:numId w:val="0"/>
      </w:numPr>
      <w:tabs>
        <w:tab w:val="clear" w:pos="480"/>
        <w:tab w:val="clear" w:pos="630"/>
      </w:tabs>
      <w:spacing w:before="50" w:afterLines="50" w:line="560" w:lineRule="exact"/>
      <w:jc w:val="left"/>
    </w:pPr>
    <w:rPr>
      <w:rFonts w:cs="宋体"/>
      <w:w w:val="99"/>
      <w:kern w:val="28"/>
      <w:sz w:val="30"/>
      <w:szCs w:val="20"/>
    </w:rPr>
  </w:style>
  <w:style w:type="paragraph" w:customStyle="1" w:styleId="2647">
    <w:name w:val="con14"/>
    <w:basedOn w:val="1"/>
    <w:qFormat/>
    <w:uiPriority w:val="0"/>
    <w:pPr>
      <w:widowControl/>
      <w:tabs>
        <w:tab w:val="clear" w:pos="480"/>
      </w:tabs>
      <w:spacing w:before="100" w:beforeAutospacing="1" w:after="100" w:afterAutospacing="1" w:line="240" w:lineRule="auto"/>
      <w:jc w:val="left"/>
    </w:pPr>
    <w:rPr>
      <w:rFonts w:ascii="Arial Unicode MS" w:hAnsi="Arial Unicode MS" w:eastAsia="Arial Unicode MS" w:cs="Arial Unicode MS"/>
      <w:color w:val="000000"/>
      <w:kern w:val="0"/>
      <w:sz w:val="20"/>
      <w:szCs w:val="20"/>
    </w:rPr>
  </w:style>
  <w:style w:type="character" w:customStyle="1" w:styleId="2648">
    <w:name w:val="large1"/>
    <w:qFormat/>
    <w:uiPriority w:val="0"/>
    <w:rPr>
      <w:spacing w:val="380"/>
      <w:sz w:val="22"/>
      <w:szCs w:val="22"/>
    </w:rPr>
  </w:style>
  <w:style w:type="character" w:customStyle="1" w:styleId="2649">
    <w:name w:val="cityname1"/>
    <w:qFormat/>
    <w:uiPriority w:val="0"/>
    <w:rPr>
      <w:color w:val="FF0000"/>
      <w:sz w:val="32"/>
      <w:szCs w:val="32"/>
    </w:rPr>
  </w:style>
  <w:style w:type="paragraph" w:customStyle="1" w:styleId="2650">
    <w:name w:val="麦志勤标题一"/>
    <w:basedOn w:val="2"/>
    <w:qFormat/>
    <w:uiPriority w:val="0"/>
    <w:pPr>
      <w:numPr>
        <w:numId w:val="0"/>
      </w:numPr>
      <w:tabs>
        <w:tab w:val="clear" w:pos="480"/>
      </w:tabs>
      <w:adjustRightInd w:val="0"/>
      <w:snapToGrid w:val="0"/>
      <w:spacing w:before="50" w:after="0" w:line="300" w:lineRule="auto"/>
    </w:pPr>
    <w:rPr>
      <w:rFonts w:ascii="黑体" w:hAnsi="Arial" w:eastAsia="黑体" w:cs="Arial"/>
      <w:color w:val="000000"/>
      <w:kern w:val="0"/>
      <w:sz w:val="44"/>
    </w:rPr>
  </w:style>
  <w:style w:type="paragraph" w:customStyle="1" w:styleId="2651">
    <w:name w:val="麦志勤标题二"/>
    <w:basedOn w:val="3"/>
    <w:qFormat/>
    <w:uiPriority w:val="0"/>
    <w:pPr>
      <w:numPr>
        <w:ilvl w:val="0"/>
        <w:numId w:val="0"/>
      </w:numPr>
      <w:tabs>
        <w:tab w:val="clear" w:pos="480"/>
        <w:tab w:val="clear" w:pos="630"/>
      </w:tabs>
      <w:adjustRightInd w:val="0"/>
      <w:snapToGrid w:val="0"/>
      <w:spacing w:beforeLines="150" w:after="0" w:line="300" w:lineRule="auto"/>
    </w:pPr>
    <w:rPr>
      <w:rFonts w:ascii="黑体" w:hAnsi="Arial" w:eastAsia="黑体"/>
      <w:b w:val="0"/>
      <w:sz w:val="36"/>
    </w:rPr>
  </w:style>
  <w:style w:type="paragraph" w:customStyle="1" w:styleId="2652">
    <w:name w:val="麦志勤标题三"/>
    <w:basedOn w:val="4"/>
    <w:qFormat/>
    <w:uiPriority w:val="0"/>
    <w:pPr>
      <w:keepNext w:val="0"/>
      <w:keepLines w:val="0"/>
      <w:numPr>
        <w:ilvl w:val="0"/>
        <w:numId w:val="0"/>
      </w:numPr>
      <w:tabs>
        <w:tab w:val="clear" w:pos="480"/>
        <w:tab w:val="clear" w:pos="840"/>
      </w:tabs>
      <w:adjustRightInd w:val="0"/>
      <w:snapToGrid w:val="0"/>
      <w:spacing w:beforeLines="100" w:after="0" w:line="300" w:lineRule="auto"/>
    </w:pPr>
    <w:rPr>
      <w:rFonts w:ascii="黑体" w:hAnsi="宋体" w:eastAsia="黑体"/>
      <w:b w:val="0"/>
      <w:sz w:val="32"/>
    </w:rPr>
  </w:style>
  <w:style w:type="paragraph" w:customStyle="1" w:styleId="2653">
    <w:name w:val="麦志勤标题五"/>
    <w:basedOn w:val="50"/>
    <w:qFormat/>
    <w:uiPriority w:val="0"/>
    <w:pPr>
      <w:adjustRightInd w:val="0"/>
      <w:snapToGrid w:val="0"/>
      <w:spacing w:beforeLines="100" w:line="300" w:lineRule="auto"/>
      <w:ind w:left="0" w:leftChars="0"/>
      <w:outlineLvl w:val="0"/>
    </w:pPr>
    <w:rPr>
      <w:rFonts w:ascii="黑体" w:eastAsia="黑体"/>
      <w:spacing w:val="0"/>
      <w:kern w:val="2"/>
      <w:sz w:val="28"/>
      <w:szCs w:val="20"/>
    </w:rPr>
  </w:style>
  <w:style w:type="paragraph" w:customStyle="1" w:styleId="2654">
    <w:name w:val="麦志勤标题六"/>
    <w:basedOn w:val="2001"/>
    <w:qFormat/>
    <w:uiPriority w:val="0"/>
    <w:pPr>
      <w:spacing w:beforeLines="100"/>
    </w:pPr>
    <w:rPr>
      <w:rFonts w:ascii="黑体" w:eastAsia="黑体" w:cs="Times New Roman"/>
      <w:snapToGrid/>
      <w:kern w:val="2"/>
      <w:szCs w:val="20"/>
      <w:lang w:val="en-US"/>
    </w:rPr>
  </w:style>
  <w:style w:type="paragraph" w:customStyle="1" w:styleId="2655">
    <w:name w:val="麦志勤表标题"/>
    <w:basedOn w:val="1"/>
    <w:qFormat/>
    <w:uiPriority w:val="0"/>
    <w:pPr>
      <w:tabs>
        <w:tab w:val="clear" w:pos="480"/>
      </w:tabs>
      <w:adjustRightInd w:val="0"/>
      <w:snapToGrid w:val="0"/>
      <w:spacing w:beforeLines="50" w:afterLines="20" w:line="300" w:lineRule="auto"/>
      <w:jc w:val="center"/>
      <w:textAlignment w:val="baseline"/>
    </w:pPr>
    <w:rPr>
      <w:rFonts w:ascii="宋体" w:hAnsi="宋体"/>
      <w:snapToGrid w:val="0"/>
      <w:kern w:val="0"/>
      <w:szCs w:val="28"/>
    </w:rPr>
  </w:style>
  <w:style w:type="paragraph" w:customStyle="1" w:styleId="2656">
    <w:name w:val="麦志勤图标题"/>
    <w:basedOn w:val="1"/>
    <w:qFormat/>
    <w:uiPriority w:val="0"/>
    <w:pPr>
      <w:tabs>
        <w:tab w:val="clear" w:pos="480"/>
      </w:tabs>
      <w:adjustRightInd w:val="0"/>
      <w:snapToGrid w:val="0"/>
      <w:spacing w:beforeLines="50" w:line="300" w:lineRule="auto"/>
      <w:ind w:firstLine="480"/>
    </w:pPr>
    <w:rPr>
      <w:rFonts w:ascii="宋体" w:hAnsi="宋体"/>
    </w:rPr>
  </w:style>
  <w:style w:type="paragraph" w:customStyle="1" w:styleId="2657">
    <w:name w:val="麦志勤标题6"/>
    <w:basedOn w:val="2001"/>
    <w:qFormat/>
    <w:uiPriority w:val="0"/>
    <w:pPr>
      <w:spacing w:beforeLines="100"/>
    </w:pPr>
    <w:rPr>
      <w:rFonts w:ascii="黑体" w:hAnsi="Times New Roman" w:eastAsia="黑体" w:cs="Times New Roman"/>
      <w:b/>
      <w:snapToGrid/>
      <w:kern w:val="2"/>
      <w:szCs w:val="20"/>
      <w:lang w:val="en-US"/>
    </w:rPr>
  </w:style>
  <w:style w:type="paragraph" w:customStyle="1" w:styleId="2658">
    <w:name w:val="麦志勤标题1"/>
    <w:basedOn w:val="33"/>
    <w:qFormat/>
    <w:uiPriority w:val="0"/>
    <w:pPr>
      <w:adjustRightInd w:val="0"/>
      <w:snapToGrid w:val="0"/>
      <w:spacing w:beforeLines="50" w:line="300" w:lineRule="auto"/>
    </w:pPr>
    <w:rPr>
      <w:rFonts w:ascii="Times New Roman" w:hAnsi="Times New Roman" w:eastAsia="黑体"/>
      <w:snapToGrid w:val="0"/>
      <w:kern w:val="0"/>
      <w:sz w:val="44"/>
      <w:szCs w:val="24"/>
    </w:rPr>
  </w:style>
  <w:style w:type="paragraph" w:customStyle="1" w:styleId="2659">
    <w:name w:val="麦志勤标题2"/>
    <w:basedOn w:val="1"/>
    <w:qFormat/>
    <w:uiPriority w:val="0"/>
    <w:pPr>
      <w:tabs>
        <w:tab w:val="clear" w:pos="480"/>
      </w:tabs>
      <w:adjustRightInd w:val="0"/>
      <w:snapToGrid w:val="0"/>
      <w:spacing w:beforeLines="100" w:line="300" w:lineRule="auto"/>
    </w:pPr>
    <w:rPr>
      <w:rFonts w:ascii="黑体" w:hAnsi="楷体_GB2312" w:eastAsia="黑体"/>
      <w:bCs/>
      <w:snapToGrid w:val="0"/>
      <w:kern w:val="0"/>
      <w:sz w:val="36"/>
    </w:rPr>
  </w:style>
  <w:style w:type="paragraph" w:customStyle="1" w:styleId="2660">
    <w:name w:val="麦志勤标题3"/>
    <w:basedOn w:val="30"/>
    <w:qFormat/>
    <w:uiPriority w:val="0"/>
    <w:pPr>
      <w:adjustRightInd w:val="0"/>
      <w:snapToGrid w:val="0"/>
      <w:spacing w:beforeLines="100" w:line="300" w:lineRule="auto"/>
      <w:jc w:val="both"/>
    </w:pPr>
    <w:rPr>
      <w:rFonts w:ascii="黑体" w:eastAsia="黑体"/>
      <w:snapToGrid w:val="0"/>
      <w:kern w:val="0"/>
      <w:sz w:val="32"/>
    </w:rPr>
  </w:style>
  <w:style w:type="paragraph" w:customStyle="1" w:styleId="2661">
    <w:name w:val="麦志勤标题4"/>
    <w:basedOn w:val="5"/>
    <w:qFormat/>
    <w:uiPriority w:val="0"/>
    <w:pPr>
      <w:numPr>
        <w:ilvl w:val="0"/>
        <w:numId w:val="0"/>
      </w:numPr>
      <w:tabs>
        <w:tab w:val="clear" w:pos="480"/>
      </w:tabs>
      <w:adjustRightInd w:val="0"/>
      <w:snapToGrid w:val="0"/>
      <w:spacing w:beforeLines="100" w:after="0" w:line="300" w:lineRule="auto"/>
    </w:pPr>
    <w:rPr>
      <w:rFonts w:ascii="黑体" w:hAnsi="Times New Roman" w:eastAsia="黑体"/>
      <w:b w:val="0"/>
      <w:bCs w:val="0"/>
      <w:snapToGrid w:val="0"/>
      <w:kern w:val="0"/>
      <w:sz w:val="30"/>
      <w:szCs w:val="24"/>
    </w:rPr>
  </w:style>
  <w:style w:type="paragraph" w:customStyle="1" w:styleId="2662">
    <w:name w:val="麦志勤标题5"/>
    <w:basedOn w:val="1"/>
    <w:qFormat/>
    <w:uiPriority w:val="0"/>
    <w:pPr>
      <w:tabs>
        <w:tab w:val="clear" w:pos="480"/>
      </w:tabs>
      <w:adjustRightInd w:val="0"/>
      <w:snapToGrid w:val="0"/>
      <w:spacing w:beforeLines="100" w:line="300" w:lineRule="auto"/>
    </w:pPr>
    <w:rPr>
      <w:rFonts w:ascii="黑体" w:hAnsi="宋体" w:eastAsia="黑体"/>
      <w:snapToGrid w:val="0"/>
      <w:color w:val="000000"/>
      <w:kern w:val="0"/>
      <w:sz w:val="28"/>
    </w:rPr>
  </w:style>
  <w:style w:type="paragraph" w:customStyle="1" w:styleId="2663">
    <w:name w:val="ajaxdi1"/>
    <w:basedOn w:val="1"/>
    <w:qFormat/>
    <w:uiPriority w:val="0"/>
    <w:pPr>
      <w:widowControl/>
      <w:tabs>
        <w:tab w:val="clear" w:pos="480"/>
      </w:tabs>
      <w:spacing w:before="100" w:beforeAutospacing="1" w:after="100" w:afterAutospacing="1" w:line="240" w:lineRule="auto"/>
      <w:jc w:val="left"/>
    </w:pPr>
    <w:rPr>
      <w:rFonts w:ascii="宋体" w:hAnsi="宋体"/>
      <w:kern w:val="0"/>
    </w:rPr>
  </w:style>
  <w:style w:type="paragraph" w:customStyle="1" w:styleId="2664">
    <w:name w:val="grajaxhang2"/>
    <w:basedOn w:val="1"/>
    <w:qFormat/>
    <w:uiPriority w:val="0"/>
    <w:pPr>
      <w:widowControl/>
      <w:pBdr>
        <w:top w:val="single" w:color="08BD0C" w:sz="6" w:space="6"/>
        <w:left w:val="single" w:color="08BD0C" w:sz="6" w:space="6"/>
        <w:bottom w:val="single" w:color="08BD0C" w:sz="6" w:space="6"/>
        <w:right w:val="single" w:color="08BD0C" w:sz="6" w:space="6"/>
      </w:pBdr>
      <w:shd w:val="clear" w:color="auto" w:fill="E7FFE7"/>
      <w:tabs>
        <w:tab w:val="clear" w:pos="480"/>
      </w:tabs>
      <w:spacing w:before="100" w:beforeAutospacing="1" w:after="100" w:afterAutospacing="1" w:line="240" w:lineRule="auto"/>
      <w:jc w:val="left"/>
    </w:pPr>
    <w:rPr>
      <w:rFonts w:ascii="宋体" w:hAnsi="宋体"/>
      <w:color w:val="000000"/>
      <w:kern w:val="0"/>
      <w:sz w:val="18"/>
      <w:szCs w:val="18"/>
    </w:rPr>
  </w:style>
  <w:style w:type="paragraph" w:customStyle="1" w:styleId="2665">
    <w:name w:val="第三节"/>
    <w:basedOn w:val="1"/>
    <w:qFormat/>
    <w:uiPriority w:val="0"/>
    <w:pPr>
      <w:tabs>
        <w:tab w:val="clear" w:pos="480"/>
      </w:tabs>
      <w:spacing w:beforeLines="100"/>
      <w:jc w:val="left"/>
    </w:pPr>
    <w:rPr>
      <w:rFonts w:ascii="黑体" w:eastAsia="黑体"/>
      <w:b/>
      <w:bCs/>
      <w:sz w:val="32"/>
    </w:rPr>
  </w:style>
  <w:style w:type="character" w:customStyle="1" w:styleId="2666">
    <w:name w:val="无间隔 Char"/>
    <w:link w:val="1565"/>
    <w:qFormat/>
    <w:uiPriority w:val="0"/>
    <w:rPr>
      <w:kern w:val="2"/>
      <w:sz w:val="24"/>
      <w:lang w:val="en-US" w:eastAsia="zh-CN" w:bidi="ar-SA"/>
    </w:rPr>
  </w:style>
  <w:style w:type="character" w:customStyle="1" w:styleId="2667">
    <w:name w:val="正文文字缩进 2 Char Char1"/>
    <w:qFormat/>
    <w:uiPriority w:val="0"/>
    <w:rPr>
      <w:rFonts w:ascii="宋体"/>
      <w:sz w:val="24"/>
    </w:rPr>
  </w:style>
  <w:style w:type="character" w:customStyle="1" w:styleId="2668">
    <w:name w:val="落款 Char Char1"/>
    <w:qFormat/>
    <w:uiPriority w:val="0"/>
    <w:rPr>
      <w:kern w:val="2"/>
      <w:sz w:val="28"/>
      <w:szCs w:val="24"/>
    </w:rPr>
  </w:style>
  <w:style w:type="table" w:customStyle="1" w:styleId="2669">
    <w:name w:val="中等深浅底纹 1 - 强调文字颜色 311"/>
    <w:basedOn w:val="88"/>
    <w:qFormat/>
    <w:uiPriority w:val="0"/>
    <w:rPr>
      <w:rFonts w:ascii="Calibri" w:hAnsi="Calibri"/>
    </w:rPr>
    <w:tblPr>
      <w:tblBorders>
        <w:top w:val="single" w:color="B3CC82" w:sz="8" w:space="0"/>
        <w:left w:val="single" w:color="B3CC82" w:sz="8" w:space="0"/>
        <w:bottom w:val="single" w:color="B3CC82" w:sz="8" w:space="0"/>
        <w:right w:val="single" w:color="B3CC82" w:sz="8" w:space="0"/>
        <w:insideH w:val="single" w:color="B3CC82" w:sz="8" w:space="0"/>
      </w:tblBorders>
    </w:tblPr>
    <w:tblStylePr w:type="firstRow">
      <w:pPr>
        <w:spacing w:before="0" w:after="0" w:line="240" w:lineRule="auto"/>
      </w:pPr>
      <w:rPr>
        <w:b/>
        <w:bCs/>
        <w:color w:val="FFFFFF"/>
      </w:rPr>
      <w:tcPr>
        <w:tcBorders>
          <w:top w:val="single" w:color="B3CC82" w:sz="8" w:space="0"/>
          <w:left w:val="single" w:color="B3CC82" w:sz="8" w:space="0"/>
          <w:bottom w:val="single" w:color="B3CC82" w:sz="8" w:space="0"/>
          <w:right w:val="single" w:color="B3CC82" w:sz="8" w:space="0"/>
          <w:insideH w:val="nil"/>
          <w:insideV w:val="nil"/>
        </w:tcBorders>
        <w:shd w:val="clear" w:color="auto" w:fill="9BBB59"/>
      </w:tcPr>
    </w:tblStylePr>
    <w:tblStylePr w:type="lastRow">
      <w:pPr>
        <w:spacing w:before="0" w:after="0" w:line="240" w:lineRule="auto"/>
      </w:pPr>
      <w:rPr>
        <w:b/>
        <w:bCs/>
      </w:rPr>
      <w:tcPr>
        <w:tcBorders>
          <w:top w:val="double" w:color="B3CC82" w:sz="6" w:space="0"/>
          <w:left w:val="single" w:color="B3CC82" w:sz="8" w:space="0"/>
          <w:bottom w:val="single" w:color="B3CC82" w:sz="8" w:space="0"/>
          <w:right w:val="single" w:color="B3CC82" w:sz="8" w:space="0"/>
          <w:insideH w:val="nil"/>
          <w:insideV w:val="nil"/>
        </w:tcBorders>
      </w:tcPr>
    </w:tblStylePr>
    <w:tblStylePr w:type="firstCol">
      <w:rPr>
        <w:b/>
        <w:bCs/>
      </w:rPr>
    </w:tblStylePr>
    <w:tblStylePr w:type="lastCol">
      <w:rPr>
        <w:b/>
        <w:bCs/>
      </w:rPr>
    </w:tblStylePr>
    <w:tblStylePr w:type="band1Vert">
      <w:tcPr>
        <w:shd w:val="clear" w:color="auto" w:fill="E6EED5"/>
      </w:tcPr>
    </w:tblStylePr>
    <w:tblStylePr w:type="band1Horz">
      <w:tcPr>
        <w:tcBorders>
          <w:insideH w:val="nil"/>
          <w:insideV w:val="nil"/>
        </w:tcBorders>
        <w:shd w:val="clear" w:color="auto" w:fill="E6EED5"/>
      </w:tcPr>
    </w:tblStylePr>
    <w:tblStylePr w:type="band2Horz">
      <w:tcPr>
        <w:tcBorders>
          <w:insideH w:val="nil"/>
          <w:insideV w:val="nil"/>
        </w:tcBorders>
      </w:tcPr>
    </w:tblStylePr>
  </w:style>
  <w:style w:type="table" w:customStyle="1" w:styleId="2670">
    <w:name w:val="中等深浅底纹 1 - 强调文字颜色 32"/>
    <w:basedOn w:val="88"/>
    <w:qFormat/>
    <w:uiPriority w:val="0"/>
    <w:rPr>
      <w:rFonts w:ascii="Calibri" w:hAnsi="Calibri"/>
    </w:rPr>
    <w:tblPr>
      <w:tblBorders>
        <w:top w:val="single" w:color="B3CC82" w:sz="8" w:space="0"/>
        <w:left w:val="single" w:color="B3CC82" w:sz="8" w:space="0"/>
        <w:bottom w:val="single" w:color="B3CC82" w:sz="8" w:space="0"/>
        <w:right w:val="single" w:color="B3CC82" w:sz="8" w:space="0"/>
        <w:insideH w:val="single" w:color="B3CC82" w:sz="8" w:space="0"/>
      </w:tblBorders>
    </w:tblPr>
    <w:tblStylePr w:type="firstRow">
      <w:pPr>
        <w:spacing w:before="0" w:after="0" w:line="240" w:lineRule="auto"/>
      </w:pPr>
      <w:rPr>
        <w:b/>
        <w:bCs/>
        <w:color w:val="FFFFFF"/>
      </w:rPr>
      <w:tcPr>
        <w:tcBorders>
          <w:top w:val="single" w:color="B3CC82" w:sz="8" w:space="0"/>
          <w:left w:val="single" w:color="B3CC82" w:sz="8" w:space="0"/>
          <w:bottom w:val="single" w:color="B3CC82" w:sz="8" w:space="0"/>
          <w:right w:val="single" w:color="B3CC82" w:sz="8" w:space="0"/>
          <w:insideH w:val="nil"/>
          <w:insideV w:val="nil"/>
        </w:tcBorders>
        <w:shd w:val="clear" w:color="auto" w:fill="9BBB59"/>
      </w:tcPr>
    </w:tblStylePr>
    <w:tblStylePr w:type="lastRow">
      <w:pPr>
        <w:spacing w:before="0" w:after="0" w:line="240" w:lineRule="auto"/>
      </w:pPr>
      <w:rPr>
        <w:b/>
        <w:bCs/>
      </w:rPr>
      <w:tcPr>
        <w:tcBorders>
          <w:top w:val="double" w:color="B3CC82" w:sz="6" w:space="0"/>
          <w:left w:val="single" w:color="B3CC82" w:sz="8" w:space="0"/>
          <w:bottom w:val="single" w:color="B3CC82" w:sz="8" w:space="0"/>
          <w:right w:val="single" w:color="B3CC82" w:sz="8" w:space="0"/>
          <w:insideH w:val="nil"/>
          <w:insideV w:val="nil"/>
        </w:tcBorders>
      </w:tcPr>
    </w:tblStylePr>
    <w:tblStylePr w:type="firstCol">
      <w:rPr>
        <w:b/>
        <w:bCs/>
      </w:rPr>
    </w:tblStylePr>
    <w:tblStylePr w:type="lastCol">
      <w:rPr>
        <w:b/>
        <w:bCs/>
      </w:rPr>
    </w:tblStylePr>
    <w:tblStylePr w:type="band1Vert">
      <w:tcPr>
        <w:shd w:val="clear" w:color="auto" w:fill="E6EED5"/>
      </w:tcPr>
    </w:tblStylePr>
    <w:tblStylePr w:type="band1Horz">
      <w:tcPr>
        <w:tcBorders>
          <w:insideH w:val="nil"/>
          <w:insideV w:val="nil"/>
        </w:tcBorders>
        <w:shd w:val="clear" w:color="auto" w:fill="E6EED5"/>
      </w:tcPr>
    </w:tblStylePr>
    <w:tblStylePr w:type="band2Horz">
      <w:tcPr>
        <w:tcBorders>
          <w:insideH w:val="nil"/>
          <w:insideV w:val="nil"/>
        </w:tcBorders>
      </w:tcPr>
    </w:tblStylePr>
  </w:style>
  <w:style w:type="table" w:customStyle="1" w:styleId="2671">
    <w:name w:val="表格主题1"/>
    <w:basedOn w:val="88"/>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672">
    <w:name w:val="标题 Char1"/>
    <w:qFormat/>
    <w:uiPriority w:val="0"/>
    <w:rPr>
      <w:rFonts w:ascii="Cambria" w:hAnsi="Cambria" w:cs="Times New Roman"/>
      <w:b/>
      <w:bCs/>
      <w:kern w:val="2"/>
      <w:sz w:val="32"/>
      <w:szCs w:val="32"/>
    </w:rPr>
  </w:style>
  <w:style w:type="character" w:customStyle="1" w:styleId="2673">
    <w:name w:val="副标题 Char1"/>
    <w:qFormat/>
    <w:uiPriority w:val="0"/>
    <w:rPr>
      <w:rFonts w:ascii="Cambria" w:hAnsi="Cambria" w:cs="Times New Roman"/>
      <w:b/>
      <w:bCs/>
      <w:kern w:val="28"/>
      <w:sz w:val="32"/>
      <w:szCs w:val="32"/>
    </w:rPr>
  </w:style>
  <w:style w:type="paragraph" w:customStyle="1" w:styleId="2674">
    <w:name w:val="列出段落2"/>
    <w:basedOn w:val="1"/>
    <w:qFormat/>
    <w:uiPriority w:val="0"/>
    <w:pPr>
      <w:tabs>
        <w:tab w:val="clear" w:pos="480"/>
      </w:tabs>
      <w:spacing w:line="240" w:lineRule="auto"/>
      <w:ind w:firstLine="420"/>
    </w:pPr>
    <w:rPr>
      <w:sz w:val="21"/>
    </w:rPr>
  </w:style>
  <w:style w:type="character" w:customStyle="1" w:styleId="2675">
    <w:name w:val="佛表 Char Char"/>
    <w:qFormat/>
    <w:uiPriority w:val="0"/>
    <w:rPr>
      <w:rFonts w:eastAsia="宋体"/>
      <w:color w:val="000000"/>
      <w:kern w:val="2"/>
      <w:sz w:val="21"/>
      <w:szCs w:val="21"/>
      <w:lang w:val="en-US" w:eastAsia="zh-CN" w:bidi="ar-SA"/>
    </w:rPr>
  </w:style>
  <w:style w:type="paragraph" w:customStyle="1" w:styleId="2676">
    <w:name w:val="reader-word-layer reader-word-s2-8"/>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677">
    <w:name w:val="TTT Char Char"/>
    <w:qFormat/>
    <w:uiPriority w:val="0"/>
    <w:rPr>
      <w:rFonts w:eastAsia="宋体" w:cs="宋体"/>
      <w:b/>
      <w:kern w:val="2"/>
      <w:sz w:val="24"/>
      <w:szCs w:val="24"/>
      <w:lang w:val="en-US" w:eastAsia="zh-CN" w:bidi="ar-SA"/>
    </w:rPr>
  </w:style>
  <w:style w:type="paragraph" w:customStyle="1" w:styleId="2678">
    <w:name w:val="reader-word-layer reader-word-s1-7"/>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79">
    <w:name w:val="reader-word-layer reader-word-s1-8"/>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80">
    <w:name w:val="reader-word-layer reader-word-s1-9"/>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81">
    <w:name w:val="reader-word-layer reader-word-s1-2"/>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82">
    <w:name w:val="reader-word-layer reader-word-s1-10"/>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83">
    <w:name w:val="reader-word-layer reader-word-s1-11"/>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684">
    <w:name w:val="headline-1-index"/>
    <w:basedOn w:val="133"/>
    <w:qFormat/>
    <w:uiPriority w:val="0"/>
  </w:style>
  <w:style w:type="paragraph" w:customStyle="1" w:styleId="2685">
    <w:name w:val="reader-word-layer reader-word-s1-6"/>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686">
    <w:name w:val="text_edit editable-title"/>
    <w:basedOn w:val="133"/>
    <w:qFormat/>
    <w:uiPriority w:val="0"/>
  </w:style>
  <w:style w:type="paragraph" w:customStyle="1" w:styleId="2687">
    <w:name w:val="reader-word-layer reader-word-s1-1 reader-word-s1-14"/>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88">
    <w:name w:val="reader-word-layer reader-word-s1-15"/>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89">
    <w:name w:val="reader-word-layer reader-word-s1-5"/>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90">
    <w:name w:val="reader-word-layer reader-word-s1-17"/>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91">
    <w:name w:val="reader-word-layer reader-word-s1-2 reader-word-s1-13"/>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92">
    <w:name w:val="reader-word-layer reader-word-s1-18"/>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93">
    <w:name w:val="reader-word-layer reader-word-s1-2 reader-word-s1-14"/>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694">
    <w:name w:val="ZX 0 表格文字 Char"/>
    <w:link w:val="2695"/>
    <w:qFormat/>
    <w:uiPriority w:val="0"/>
    <w:rPr>
      <w:sz w:val="21"/>
      <w:szCs w:val="21"/>
    </w:rPr>
  </w:style>
  <w:style w:type="paragraph" w:customStyle="1" w:styleId="2695">
    <w:name w:val="ZX 0 表格文字"/>
    <w:basedOn w:val="1"/>
    <w:link w:val="2694"/>
    <w:qFormat/>
    <w:uiPriority w:val="0"/>
    <w:pPr>
      <w:widowControl/>
      <w:tabs>
        <w:tab w:val="clear" w:pos="480"/>
      </w:tabs>
      <w:wordWrap w:val="0"/>
      <w:overflowPunct w:val="0"/>
      <w:topLinePunct/>
      <w:spacing w:line="276" w:lineRule="auto"/>
      <w:ind w:firstLine="0" w:firstLineChars="0"/>
      <w:jc w:val="center"/>
    </w:pPr>
    <w:rPr>
      <w:sz w:val="21"/>
      <w:szCs w:val="21"/>
    </w:rPr>
  </w:style>
  <w:style w:type="paragraph" w:customStyle="1" w:styleId="2696">
    <w:name w:val="pic-info"/>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697">
    <w:name w:val="LS表格文字 Char Char"/>
    <w:link w:val="2698"/>
    <w:qFormat/>
    <w:uiPriority w:val="0"/>
    <w:rPr>
      <w:rFonts w:eastAsia="宋体"/>
      <w:iCs/>
      <w:color w:val="000000"/>
      <w:kern w:val="2"/>
      <w:sz w:val="21"/>
      <w:szCs w:val="21"/>
      <w:lang w:val="en-US" w:eastAsia="zh-CN" w:bidi="ar-SA"/>
    </w:rPr>
  </w:style>
  <w:style w:type="paragraph" w:customStyle="1" w:styleId="2698">
    <w:name w:val="LS表格文字"/>
    <w:basedOn w:val="1"/>
    <w:next w:val="1"/>
    <w:link w:val="2697"/>
    <w:qFormat/>
    <w:uiPriority w:val="0"/>
    <w:pPr>
      <w:widowControl/>
      <w:tabs>
        <w:tab w:val="clear" w:pos="480"/>
      </w:tabs>
      <w:spacing w:line="360" w:lineRule="exact"/>
      <w:jc w:val="center"/>
    </w:pPr>
    <w:rPr>
      <w:iCs/>
      <w:color w:val="000000"/>
      <w:sz w:val="21"/>
      <w:szCs w:val="21"/>
    </w:rPr>
  </w:style>
  <w:style w:type="paragraph" w:customStyle="1" w:styleId="2699">
    <w:name w:val="表内"/>
    <w:qFormat/>
    <w:uiPriority w:val="0"/>
    <w:pPr>
      <w:adjustRightInd w:val="0"/>
      <w:snapToGrid w:val="0"/>
      <w:ind w:left="-105" w:leftChars="-50" w:right="-105" w:rightChars="-50"/>
      <w:jc w:val="center"/>
    </w:pPr>
    <w:rPr>
      <w:rFonts w:ascii="Times New Roman" w:hAnsi="Times New Roman" w:eastAsia="宋体" w:cs="Times New Roman"/>
      <w:kern w:val="2"/>
      <w:sz w:val="21"/>
      <w:szCs w:val="24"/>
      <w:lang w:val="en-US" w:eastAsia="zh-CN" w:bidi="ar-SA"/>
    </w:rPr>
  </w:style>
  <w:style w:type="character" w:customStyle="1" w:styleId="2700">
    <w:name w:val="样式30 Char"/>
    <w:link w:val="2701"/>
    <w:qFormat/>
    <w:uiPriority w:val="0"/>
    <w:rPr>
      <w:rFonts w:ascii="Calibri" w:hAnsi="Calibri" w:eastAsia="宋体" w:cs="Arial"/>
      <w:bCs/>
      <w:kern w:val="2"/>
      <w:sz w:val="24"/>
      <w:szCs w:val="24"/>
      <w:lang w:bidi="ar-SA"/>
    </w:rPr>
  </w:style>
  <w:style w:type="paragraph" w:customStyle="1" w:styleId="2701">
    <w:name w:val="样式30"/>
    <w:basedOn w:val="86"/>
    <w:link w:val="2700"/>
    <w:semiHidden/>
    <w:qFormat/>
    <w:uiPriority w:val="0"/>
    <w:pPr>
      <w:adjustRightInd w:val="0"/>
      <w:snapToGrid w:val="0"/>
      <w:spacing w:after="0" w:line="360" w:lineRule="auto"/>
      <w:ind w:firstLine="480" w:firstLineChars="200"/>
    </w:pPr>
    <w:rPr>
      <w:rFonts w:ascii="Calibri" w:hAnsi="Calibri" w:cs="Arial"/>
      <w:bCs/>
      <w:sz w:val="24"/>
      <w:lang w:val="zh-CN"/>
    </w:rPr>
  </w:style>
  <w:style w:type="paragraph" w:customStyle="1" w:styleId="2702">
    <w:name w:val="默认段落字体 Para Char Char Char Char Char Char1 Char Char Char Char"/>
    <w:basedOn w:val="1"/>
    <w:semiHidden/>
    <w:qFormat/>
    <w:uiPriority w:val="0"/>
    <w:pPr>
      <w:tabs>
        <w:tab w:val="clear" w:pos="480"/>
      </w:tabs>
    </w:pPr>
    <w:rPr>
      <w:rFonts w:ascii="宋体" w:hAnsi="宋体" w:cs="宋体"/>
    </w:rPr>
  </w:style>
  <w:style w:type="paragraph" w:customStyle="1" w:styleId="2703">
    <w:name w:val="样式7"/>
    <w:basedOn w:val="6"/>
    <w:link w:val="2792"/>
    <w:qFormat/>
    <w:uiPriority w:val="0"/>
    <w:pPr>
      <w:widowControl/>
      <w:numPr>
        <w:ilvl w:val="0"/>
        <w:numId w:val="0"/>
      </w:numPr>
      <w:tabs>
        <w:tab w:val="clear" w:pos="480"/>
      </w:tabs>
      <w:spacing w:before="280" w:after="290" w:line="300" w:lineRule="auto"/>
    </w:pPr>
    <w:rPr>
      <w:rFonts w:ascii="Times New Roman" w:hAnsi="Times New Roman" w:eastAsia="宋体" w:cs="宋体"/>
      <w:bCs/>
      <w:sz w:val="28"/>
      <w:szCs w:val="28"/>
    </w:rPr>
  </w:style>
  <w:style w:type="paragraph" w:customStyle="1" w:styleId="2704">
    <w:name w:val="zhang正文"/>
    <w:basedOn w:val="1"/>
    <w:link w:val="2705"/>
    <w:qFormat/>
    <w:uiPriority w:val="0"/>
    <w:pPr>
      <w:tabs>
        <w:tab w:val="clear" w:pos="480"/>
      </w:tabs>
    </w:pPr>
    <w:rPr>
      <w:szCs w:val="20"/>
    </w:rPr>
  </w:style>
  <w:style w:type="character" w:customStyle="1" w:styleId="2705">
    <w:name w:val="zhang正文 Char"/>
    <w:link w:val="2704"/>
    <w:qFormat/>
    <w:uiPriority w:val="0"/>
    <w:rPr>
      <w:rFonts w:eastAsia="宋体"/>
      <w:kern w:val="2"/>
      <w:sz w:val="24"/>
      <w:lang w:val="en-US" w:eastAsia="zh-CN" w:bidi="ar-SA"/>
    </w:rPr>
  </w:style>
  <w:style w:type="paragraph" w:customStyle="1" w:styleId="2706">
    <w:name w:val="正文－1"/>
    <w:basedOn w:val="1"/>
    <w:link w:val="2707"/>
    <w:semiHidden/>
    <w:qFormat/>
    <w:uiPriority w:val="0"/>
    <w:pPr>
      <w:tabs>
        <w:tab w:val="clear" w:pos="480"/>
      </w:tabs>
      <w:adjustRightInd w:val="0"/>
      <w:snapToGrid w:val="0"/>
      <w:ind w:firstLine="420" w:firstLineChars="150"/>
    </w:pPr>
    <w:rPr>
      <w:sz w:val="28"/>
      <w:szCs w:val="28"/>
    </w:rPr>
  </w:style>
  <w:style w:type="character" w:customStyle="1" w:styleId="2707">
    <w:name w:val="正文－1 Char"/>
    <w:link w:val="2706"/>
    <w:qFormat/>
    <w:uiPriority w:val="0"/>
    <w:rPr>
      <w:rFonts w:eastAsia="宋体"/>
      <w:kern w:val="2"/>
      <w:sz w:val="28"/>
      <w:szCs w:val="28"/>
      <w:lang w:val="en-US" w:eastAsia="zh-CN" w:bidi="ar-SA"/>
    </w:rPr>
  </w:style>
  <w:style w:type="paragraph" w:customStyle="1" w:styleId="2708">
    <w:name w:val="正文文章"/>
    <w:basedOn w:val="1"/>
    <w:link w:val="2709"/>
    <w:semiHidden/>
    <w:qFormat/>
    <w:uiPriority w:val="0"/>
    <w:pPr>
      <w:tabs>
        <w:tab w:val="clear" w:pos="480"/>
      </w:tabs>
      <w:ind w:firstLine="480"/>
    </w:pPr>
    <w:rPr>
      <w:kern w:val="0"/>
      <w:sz w:val="28"/>
      <w:lang w:val="zh-CN"/>
    </w:rPr>
  </w:style>
  <w:style w:type="character" w:customStyle="1" w:styleId="2709">
    <w:name w:val="正文文章 Char"/>
    <w:link w:val="2708"/>
    <w:qFormat/>
    <w:uiPriority w:val="0"/>
    <w:rPr>
      <w:rFonts w:eastAsia="宋体"/>
      <w:sz w:val="28"/>
      <w:szCs w:val="24"/>
      <w:lang w:bidi="ar-SA"/>
    </w:rPr>
  </w:style>
  <w:style w:type="character" w:customStyle="1" w:styleId="2710">
    <w:name w:val="正文标题 Char"/>
    <w:link w:val="1309"/>
    <w:qFormat/>
    <w:uiPriority w:val="0"/>
    <w:rPr>
      <w:rFonts w:ascii="华文楷体" w:hAnsi="华文楷体" w:eastAsia="华文楷体"/>
      <w:b/>
      <w:color w:val="000000"/>
      <w:sz w:val="36"/>
      <w:szCs w:val="36"/>
      <w:u w:color="000000"/>
      <w:lang w:val="en-US" w:eastAsia="zh-CN" w:bidi="ar-SA"/>
    </w:rPr>
  </w:style>
  <w:style w:type="paragraph" w:customStyle="1" w:styleId="2711">
    <w:name w:val="表中正文"/>
    <w:basedOn w:val="1"/>
    <w:link w:val="2712"/>
    <w:semiHidden/>
    <w:qFormat/>
    <w:uiPriority w:val="0"/>
    <w:pPr>
      <w:tabs>
        <w:tab w:val="clear" w:pos="480"/>
      </w:tabs>
      <w:autoSpaceDE w:val="0"/>
      <w:autoSpaceDN w:val="0"/>
      <w:adjustRightInd w:val="0"/>
      <w:snapToGrid w:val="0"/>
      <w:spacing w:line="300" w:lineRule="exact"/>
      <w:jc w:val="center"/>
    </w:pPr>
    <w:rPr>
      <w:rFonts w:ascii="宋体"/>
      <w:kern w:val="0"/>
      <w:sz w:val="20"/>
      <w:szCs w:val="21"/>
      <w:lang w:val="zh-CN"/>
    </w:rPr>
  </w:style>
  <w:style w:type="character" w:customStyle="1" w:styleId="2712">
    <w:name w:val="表中正文 Char"/>
    <w:link w:val="2711"/>
    <w:qFormat/>
    <w:uiPriority w:val="0"/>
    <w:rPr>
      <w:rFonts w:ascii="宋体" w:eastAsia="宋体"/>
      <w:szCs w:val="21"/>
      <w:lang w:bidi="ar-SA"/>
    </w:rPr>
  </w:style>
  <w:style w:type="paragraph" w:customStyle="1" w:styleId="2713">
    <w:name w:val="表的标题"/>
    <w:basedOn w:val="1"/>
    <w:next w:val="2711"/>
    <w:link w:val="2714"/>
    <w:semiHidden/>
    <w:qFormat/>
    <w:uiPriority w:val="0"/>
    <w:pPr>
      <w:tabs>
        <w:tab w:val="clear" w:pos="480"/>
      </w:tabs>
      <w:adjustRightInd w:val="0"/>
      <w:snapToGrid w:val="0"/>
      <w:spacing w:line="240" w:lineRule="auto"/>
      <w:jc w:val="center"/>
    </w:pPr>
    <w:rPr>
      <w:rFonts w:ascii="Arial" w:hAnsi="Arial"/>
      <w:kern w:val="0"/>
      <w:szCs w:val="20"/>
      <w:lang w:val="zh-CN"/>
    </w:rPr>
  </w:style>
  <w:style w:type="character" w:customStyle="1" w:styleId="2714">
    <w:name w:val="表的标题 Char"/>
    <w:link w:val="2713"/>
    <w:qFormat/>
    <w:uiPriority w:val="0"/>
    <w:rPr>
      <w:rFonts w:ascii="Arial" w:hAnsi="Arial" w:eastAsia="宋体"/>
      <w:sz w:val="24"/>
      <w:lang w:bidi="ar-SA"/>
    </w:rPr>
  </w:style>
  <w:style w:type="paragraph" w:customStyle="1" w:styleId="2715">
    <w:name w:val="福建正文文字"/>
    <w:basedOn w:val="1"/>
    <w:link w:val="2716"/>
    <w:semiHidden/>
    <w:qFormat/>
    <w:uiPriority w:val="0"/>
    <w:pPr>
      <w:tabs>
        <w:tab w:val="clear" w:pos="480"/>
      </w:tabs>
      <w:spacing w:line="312" w:lineRule="auto"/>
    </w:pPr>
    <w:rPr>
      <w:kern w:val="0"/>
      <w:szCs w:val="20"/>
      <w:lang w:val="zh-CN"/>
    </w:rPr>
  </w:style>
  <w:style w:type="character" w:customStyle="1" w:styleId="2716">
    <w:name w:val="福建正文文字 Char"/>
    <w:link w:val="2715"/>
    <w:qFormat/>
    <w:uiPriority w:val="0"/>
    <w:rPr>
      <w:sz w:val="24"/>
      <w:lang w:bidi="ar-SA"/>
    </w:rPr>
  </w:style>
  <w:style w:type="character" w:styleId="2717">
    <w:name w:val="Placeholder Text"/>
    <w:semiHidden/>
    <w:qFormat/>
    <w:uiPriority w:val="0"/>
    <w:rPr>
      <w:color w:val="808080"/>
    </w:rPr>
  </w:style>
  <w:style w:type="character" w:customStyle="1" w:styleId="2718">
    <w:name w:val="批注引用1"/>
    <w:qFormat/>
    <w:uiPriority w:val="0"/>
    <w:rPr>
      <w:sz w:val="21"/>
      <w:szCs w:val="21"/>
    </w:rPr>
  </w:style>
  <w:style w:type="character" w:customStyle="1" w:styleId="2719">
    <w:name w:val="正文文章 Char Char"/>
    <w:semiHidden/>
    <w:qFormat/>
    <w:uiPriority w:val="0"/>
    <w:rPr>
      <w:sz w:val="28"/>
    </w:rPr>
  </w:style>
  <w:style w:type="paragraph" w:customStyle="1" w:styleId="2720">
    <w:name w:val="无间隔1"/>
    <w:next w:val="1"/>
    <w:semiHidden/>
    <w:qFormat/>
    <w:uiPriority w:val="0"/>
    <w:pPr>
      <w:widowControl w:val="0"/>
      <w:jc w:val="center"/>
    </w:pPr>
    <w:rPr>
      <w:rFonts w:ascii="Times New Roman" w:hAnsi="Times New Roman" w:eastAsia="宋体" w:cs="Times New Roman"/>
      <w:kern w:val="2"/>
      <w:sz w:val="24"/>
      <w:szCs w:val="24"/>
      <w:lang w:val="en-US" w:eastAsia="zh-CN" w:bidi="ar-SA"/>
    </w:rPr>
  </w:style>
  <w:style w:type="paragraph" w:customStyle="1" w:styleId="2721">
    <w:name w:val="无间隔2"/>
    <w:semiHidden/>
    <w:qFormat/>
    <w:uiPriority w:val="0"/>
    <w:pPr>
      <w:widowControl w:val="0"/>
      <w:jc w:val="center"/>
    </w:pPr>
    <w:rPr>
      <w:rFonts w:ascii="Times New Roman" w:hAnsi="Times New Roman" w:eastAsia="宋体" w:cs="Times New Roman"/>
      <w:kern w:val="2"/>
      <w:sz w:val="24"/>
      <w:szCs w:val="24"/>
      <w:lang w:val="en-US" w:eastAsia="zh-CN" w:bidi="ar-SA"/>
    </w:rPr>
  </w:style>
  <w:style w:type="character" w:customStyle="1" w:styleId="2722">
    <w:name w:val="批注引用2"/>
    <w:semiHidden/>
    <w:qFormat/>
    <w:uiPriority w:val="0"/>
    <w:rPr>
      <w:sz w:val="21"/>
      <w:szCs w:val="21"/>
    </w:rPr>
  </w:style>
  <w:style w:type="character" w:customStyle="1" w:styleId="2723">
    <w:name w:val="表格 Char Char"/>
    <w:qFormat/>
    <w:uiPriority w:val="0"/>
    <w:rPr>
      <w:rFonts w:ascii="宋体" w:hAnsi="Times New Roman" w:eastAsia="宋体" w:cs="Times New Roman"/>
      <w:spacing w:val="10"/>
      <w:kern w:val="18"/>
      <w:szCs w:val="20"/>
    </w:rPr>
  </w:style>
  <w:style w:type="character" w:customStyle="1" w:styleId="2724">
    <w:name w:val="正文(首行缩进) Char Char"/>
    <w:qFormat/>
    <w:uiPriority w:val="0"/>
    <w:rPr>
      <w:rFonts w:ascii="Times New Roman" w:hAnsi="Times New Roman" w:eastAsia="宋体" w:cs="Times New Roman"/>
      <w:kern w:val="0"/>
      <w:sz w:val="24"/>
      <w:szCs w:val="24"/>
    </w:rPr>
  </w:style>
  <w:style w:type="paragraph" w:customStyle="1" w:styleId="2725">
    <w:name w:val="Char12"/>
    <w:basedOn w:val="1"/>
    <w:semiHidden/>
    <w:qFormat/>
    <w:uiPriority w:val="0"/>
    <w:pPr>
      <w:tabs>
        <w:tab w:val="clear" w:pos="480"/>
      </w:tabs>
    </w:pPr>
    <w:rPr>
      <w:rFonts w:ascii="Tahoma" w:hAnsi="Tahoma"/>
      <w:szCs w:val="20"/>
    </w:rPr>
  </w:style>
  <w:style w:type="character" w:customStyle="1" w:styleId="2726">
    <w:name w:val="干标题(a) Char Char1"/>
    <w:semiHidden/>
    <w:qFormat/>
    <w:uiPriority w:val="0"/>
    <w:rPr>
      <w:rFonts w:ascii="黑体" w:hAnsi="Arial" w:eastAsia="黑体" w:cs="Times New Roman"/>
      <w:kern w:val="0"/>
      <w:sz w:val="24"/>
      <w:szCs w:val="20"/>
    </w:rPr>
  </w:style>
  <w:style w:type="paragraph" w:customStyle="1" w:styleId="2727">
    <w:name w:val="cc"/>
    <w:basedOn w:val="1569"/>
    <w:semiHidden/>
    <w:qFormat/>
    <w:uiPriority w:val="0"/>
    <w:pPr>
      <w:widowControl w:val="0"/>
      <w:ind w:firstLine="200"/>
      <w:jc w:val="left"/>
    </w:pPr>
    <w:rPr>
      <w:szCs w:val="20"/>
    </w:rPr>
  </w:style>
  <w:style w:type="paragraph" w:customStyle="1" w:styleId="2728">
    <w:name w:val="样式 标题 2 + 左侧:  0.32 厘米 首行缩进:  0 厘米"/>
    <w:basedOn w:val="3"/>
    <w:semiHidden/>
    <w:qFormat/>
    <w:uiPriority w:val="0"/>
    <w:pPr>
      <w:keepLines w:val="0"/>
      <w:widowControl/>
      <w:numPr>
        <w:ilvl w:val="0"/>
        <w:numId w:val="0"/>
      </w:numPr>
      <w:tabs>
        <w:tab w:val="left" w:pos="360"/>
        <w:tab w:val="left" w:pos="1320"/>
        <w:tab w:val="clear" w:pos="480"/>
        <w:tab w:val="clear" w:pos="630"/>
      </w:tabs>
      <w:overflowPunct w:val="0"/>
      <w:topLinePunct/>
      <w:autoSpaceDE w:val="0"/>
      <w:spacing w:before="0" w:after="0" w:line="312" w:lineRule="auto"/>
      <w:ind w:left="576" w:hanging="420"/>
    </w:pPr>
    <w:rPr>
      <w:rFonts w:ascii="黑体" w:eastAsia="黑体"/>
      <w:color w:val="000000"/>
      <w:spacing w:val="20"/>
      <w:kern w:val="0"/>
      <w:sz w:val="30"/>
      <w:szCs w:val="20"/>
    </w:rPr>
  </w:style>
  <w:style w:type="character" w:customStyle="1" w:styleId="2729">
    <w:name w:val="脚注文本 Char1"/>
    <w:semiHidden/>
    <w:qFormat/>
    <w:uiPriority w:val="99"/>
    <w:rPr>
      <w:rFonts w:ascii="Times New Roman" w:hAnsi="Times New Roman" w:eastAsia="宋体" w:cs="Times New Roman"/>
      <w:sz w:val="18"/>
      <w:szCs w:val="18"/>
    </w:rPr>
  </w:style>
  <w:style w:type="character" w:customStyle="1" w:styleId="2730">
    <w:name w:val="一号 加粗 无缩进居中"/>
    <w:semiHidden/>
    <w:qFormat/>
    <w:uiPriority w:val="0"/>
    <w:rPr>
      <w:b/>
      <w:bCs/>
      <w:sz w:val="52"/>
    </w:rPr>
  </w:style>
  <w:style w:type="character" w:customStyle="1" w:styleId="2731">
    <w:name w:val="批注文字 Char1"/>
    <w:qFormat/>
    <w:uiPriority w:val="0"/>
    <w:rPr>
      <w:rFonts w:ascii="Times New Roman" w:hAnsi="Times New Roman" w:eastAsia="宋体" w:cs="Times New Roman"/>
      <w:szCs w:val="24"/>
    </w:rPr>
  </w:style>
  <w:style w:type="character" w:customStyle="1" w:styleId="2732">
    <w:name w:val="报告 Char1"/>
    <w:link w:val="725"/>
    <w:qFormat/>
    <w:locked/>
    <w:uiPriority w:val="0"/>
    <w:rPr>
      <w:rFonts w:eastAsia="宋体"/>
      <w:sz w:val="24"/>
      <w:lang w:val="en-US" w:eastAsia="zh-CN" w:bidi="ar-SA"/>
    </w:rPr>
  </w:style>
  <w:style w:type="character" w:customStyle="1" w:styleId="2733">
    <w:name w:val="表名 Char1"/>
    <w:link w:val="749"/>
    <w:qFormat/>
    <w:locked/>
    <w:uiPriority w:val="0"/>
    <w:rPr>
      <w:rFonts w:eastAsia="黑体"/>
      <w:sz w:val="24"/>
      <w:lang w:val="en-US" w:eastAsia="zh-CN" w:bidi="ar-SA"/>
    </w:rPr>
  </w:style>
  <w:style w:type="character" w:customStyle="1" w:styleId="2734">
    <w:name w:val="正文 32 Char"/>
    <w:link w:val="2470"/>
    <w:qFormat/>
    <w:locked/>
    <w:uiPriority w:val="0"/>
    <w:rPr>
      <w:rFonts w:eastAsia="楷体"/>
      <w:sz w:val="24"/>
      <w:lang w:val="en-US" w:eastAsia="zh-CN" w:bidi="ar-SA"/>
    </w:rPr>
  </w:style>
  <w:style w:type="paragraph" w:customStyle="1" w:styleId="2735">
    <w:name w:val="字元 字元2"/>
    <w:basedOn w:val="1"/>
    <w:semiHidden/>
    <w:qFormat/>
    <w:uiPriority w:val="0"/>
    <w:pPr>
      <w:tabs>
        <w:tab w:val="clear" w:pos="480"/>
      </w:tabs>
      <w:adjustRightInd w:val="0"/>
    </w:pPr>
    <w:rPr>
      <w:kern w:val="0"/>
      <w:szCs w:val="20"/>
    </w:rPr>
  </w:style>
  <w:style w:type="paragraph" w:customStyle="1" w:styleId="2736">
    <w:name w:val="paragraph12"/>
    <w:basedOn w:val="1"/>
    <w:semiHidden/>
    <w:qFormat/>
    <w:uiPriority w:val="0"/>
    <w:pPr>
      <w:widowControl/>
      <w:tabs>
        <w:tab w:val="clear" w:pos="480"/>
      </w:tabs>
      <w:spacing w:before="100" w:beforeAutospacing="1" w:after="100" w:afterAutospacing="1"/>
      <w:ind w:firstLine="504"/>
      <w:jc w:val="left"/>
    </w:pPr>
    <w:rPr>
      <w:rFonts w:ascii="ˎ̥" w:hAnsi="ˎ̥" w:cs="宋体"/>
      <w:kern w:val="0"/>
    </w:rPr>
  </w:style>
  <w:style w:type="character" w:customStyle="1" w:styleId="2737">
    <w:name w:val="文档结构图 Char1"/>
    <w:semiHidden/>
    <w:qFormat/>
    <w:uiPriority w:val="0"/>
    <w:rPr>
      <w:rFonts w:ascii="宋体" w:hAnsi="Times New Roman" w:eastAsia="宋体" w:cs="Times New Roman"/>
      <w:sz w:val="18"/>
      <w:szCs w:val="18"/>
    </w:rPr>
  </w:style>
  <w:style w:type="paragraph" w:customStyle="1" w:styleId="2738">
    <w:name w:val="默认段落字体 Para Char Char Char Char Char Char Char Char Char1 Char Char Char Char Char Char Char"/>
    <w:basedOn w:val="25"/>
    <w:qFormat/>
    <w:uiPriority w:val="0"/>
    <w:pPr/>
    <w:rPr>
      <w:rFonts w:ascii="Tahoma" w:hAnsi="Tahoma" w:cs="Tahoma"/>
      <w:kern w:val="0"/>
      <w:sz w:val="24"/>
    </w:rPr>
  </w:style>
  <w:style w:type="paragraph" w:customStyle="1" w:styleId="2739">
    <w:name w:val="字元"/>
    <w:basedOn w:val="25"/>
    <w:semiHidden/>
    <w:qFormat/>
    <w:uiPriority w:val="0"/>
    <w:pPr/>
    <w:rPr>
      <w:rFonts w:ascii="Tahoma" w:hAnsi="Tahoma" w:cs="Tahoma"/>
      <w:kern w:val="0"/>
      <w:sz w:val="24"/>
    </w:rPr>
  </w:style>
  <w:style w:type="character" w:customStyle="1" w:styleId="2740">
    <w:name w:val="样式 标题 2 Char"/>
    <w:link w:val="660"/>
    <w:qFormat/>
    <w:locked/>
    <w:uiPriority w:val="0"/>
    <w:rPr>
      <w:rFonts w:ascii="仿宋_GB2312" w:hAnsi="宋体" w:eastAsia="仿宋_GB2312"/>
      <w:b/>
      <w:bCs/>
      <w:kern w:val="2"/>
      <w:sz w:val="30"/>
      <w:lang w:val="en-US" w:eastAsia="zh-CN" w:bidi="ar-SA"/>
    </w:rPr>
  </w:style>
  <w:style w:type="paragraph" w:customStyle="1" w:styleId="2741">
    <w:name w:val="样式 标题 4"/>
    <w:basedOn w:val="5"/>
    <w:next w:val="1"/>
    <w:qFormat/>
    <w:uiPriority w:val="0"/>
    <w:pPr>
      <w:numPr>
        <w:ilvl w:val="0"/>
        <w:numId w:val="0"/>
      </w:numPr>
      <w:tabs>
        <w:tab w:val="clear" w:pos="480"/>
      </w:tabs>
      <w:spacing w:before="120" w:after="0"/>
      <w:jc w:val="left"/>
    </w:pPr>
    <w:rPr>
      <w:rFonts w:ascii="Times New Roman" w:hAnsi="Times New Roman" w:eastAsia="黑体" w:cs="宋体"/>
      <w:sz w:val="24"/>
      <w:szCs w:val="24"/>
    </w:rPr>
  </w:style>
  <w:style w:type="paragraph" w:customStyle="1" w:styleId="2742">
    <w:name w:val="样式 表头 + 宋体"/>
    <w:basedOn w:val="170"/>
    <w:semiHidden/>
    <w:qFormat/>
    <w:uiPriority w:val="0"/>
    <w:pPr>
      <w:spacing w:before="120" w:after="120"/>
    </w:pPr>
    <w:rPr>
      <w:rFonts w:eastAsia="黑体"/>
      <w:bCs w:val="0"/>
      <w:snapToGrid/>
      <w:color w:val="auto"/>
      <w:kern w:val="0"/>
      <w:sz w:val="24"/>
      <w:szCs w:val="24"/>
    </w:rPr>
  </w:style>
  <w:style w:type="paragraph" w:customStyle="1" w:styleId="2743">
    <w:name w:val="Char Char Char Char Char Char1 Char Char Char Char Char Char Char1"/>
    <w:basedOn w:val="1"/>
    <w:semiHidden/>
    <w:qFormat/>
    <w:uiPriority w:val="0"/>
    <w:pPr>
      <w:tabs>
        <w:tab w:val="clear" w:pos="480"/>
      </w:tabs>
      <w:spacing w:line="240" w:lineRule="auto"/>
    </w:pPr>
  </w:style>
  <w:style w:type="paragraph" w:customStyle="1" w:styleId="2744">
    <w:name w:val="默认段落字体 Para Char Char Char Char Char Char Char Char Char Char Char Char Char"/>
    <w:basedOn w:val="1"/>
    <w:qFormat/>
    <w:uiPriority w:val="0"/>
    <w:pPr>
      <w:tabs>
        <w:tab w:val="clear" w:pos="480"/>
      </w:tabs>
      <w:spacing w:line="240" w:lineRule="auto"/>
    </w:pPr>
    <w:rPr>
      <w:sz w:val="21"/>
    </w:rPr>
  </w:style>
  <w:style w:type="character" w:customStyle="1" w:styleId="2745">
    <w:name w:val="正文(首行缩进)宋旭峰 Char Char"/>
    <w:link w:val="2746"/>
    <w:qFormat/>
    <w:locked/>
    <w:uiPriority w:val="0"/>
    <w:rPr>
      <w:rFonts w:ascii="Arial" w:hAnsi="Arial"/>
      <w:sz w:val="24"/>
      <w:szCs w:val="24"/>
      <w:lang w:bidi="ar-SA"/>
    </w:rPr>
  </w:style>
  <w:style w:type="paragraph" w:customStyle="1" w:styleId="2746">
    <w:name w:val="正文(首行缩进)宋旭峰"/>
    <w:basedOn w:val="20"/>
    <w:link w:val="2745"/>
    <w:semiHidden/>
    <w:qFormat/>
    <w:uiPriority w:val="0"/>
    <w:pPr>
      <w:tabs>
        <w:tab w:val="clear" w:pos="480"/>
      </w:tabs>
      <w:snapToGrid w:val="0"/>
      <w:spacing w:beforeLines="50" w:afterLines="50"/>
      <w:ind w:firstLine="480"/>
      <w:contextualSpacing/>
    </w:pPr>
    <w:rPr>
      <w:rFonts w:ascii="Arial" w:hAnsi="Arial"/>
      <w:kern w:val="0"/>
      <w:lang w:val="zh-CN"/>
    </w:rPr>
  </w:style>
  <w:style w:type="character" w:customStyle="1" w:styleId="2747">
    <w:name w:val="报告书 Char"/>
    <w:link w:val="2748"/>
    <w:qFormat/>
    <w:locked/>
    <w:uiPriority w:val="0"/>
    <w:rPr>
      <w:rFonts w:ascii="楷体_GB2312" w:eastAsia="楷体_GB2312"/>
      <w:color w:val="FF0000"/>
      <w:sz w:val="24"/>
      <w:lang w:bidi="ar-SA"/>
    </w:rPr>
  </w:style>
  <w:style w:type="paragraph" w:customStyle="1" w:styleId="2748">
    <w:name w:val="报告书"/>
    <w:basedOn w:val="1"/>
    <w:link w:val="2747"/>
    <w:semiHidden/>
    <w:qFormat/>
    <w:uiPriority w:val="0"/>
    <w:pPr>
      <w:tabs>
        <w:tab w:val="clear" w:pos="480"/>
      </w:tabs>
      <w:autoSpaceDE w:val="0"/>
      <w:autoSpaceDN w:val="0"/>
      <w:adjustRightInd w:val="0"/>
      <w:ind w:firstLine="480"/>
      <w:jc w:val="left"/>
    </w:pPr>
    <w:rPr>
      <w:rFonts w:ascii="楷体_GB2312" w:eastAsia="楷体_GB2312"/>
      <w:color w:val="FF0000"/>
      <w:kern w:val="0"/>
      <w:szCs w:val="20"/>
      <w:lang w:val="zh-CN"/>
    </w:rPr>
  </w:style>
  <w:style w:type="paragraph" w:customStyle="1" w:styleId="2749">
    <w:name w:val="新正文样式"/>
    <w:basedOn w:val="1"/>
    <w:semiHidden/>
    <w:qFormat/>
    <w:uiPriority w:val="0"/>
    <w:pPr>
      <w:tabs>
        <w:tab w:val="left" w:pos="567"/>
        <w:tab w:val="clear" w:pos="480"/>
      </w:tabs>
      <w:ind w:firstLine="567"/>
    </w:pPr>
    <w:rPr>
      <w:spacing w:val="20"/>
      <w:szCs w:val="20"/>
    </w:rPr>
  </w:style>
  <w:style w:type="paragraph" w:customStyle="1" w:styleId="2750">
    <w:name w:val="目2"/>
    <w:semiHidden/>
    <w:qFormat/>
    <w:uiPriority w:val="0"/>
    <w:pPr>
      <w:spacing w:beforeLines="50" w:afterLines="50" w:line="360" w:lineRule="auto"/>
      <w:jc w:val="center"/>
      <w:outlineLvl w:val="1"/>
    </w:pPr>
    <w:rPr>
      <w:rFonts w:ascii="Times New Roman" w:hAnsi="Times New Roman" w:eastAsia="黑体" w:cs="Times New Roman"/>
      <w:b/>
      <w:bCs/>
      <w:kern w:val="2"/>
      <w:sz w:val="32"/>
      <w:szCs w:val="32"/>
      <w:lang w:val="en-US" w:eastAsia="zh-CN" w:bidi="ar-SA"/>
    </w:rPr>
  </w:style>
  <w:style w:type="paragraph" w:customStyle="1" w:styleId="2751">
    <w:name w:val="目3"/>
    <w:semiHidden/>
    <w:qFormat/>
    <w:uiPriority w:val="0"/>
    <w:pPr>
      <w:snapToGrid w:val="0"/>
      <w:spacing w:line="360" w:lineRule="auto"/>
      <w:jc w:val="center"/>
      <w:outlineLvl w:val="2"/>
    </w:pPr>
    <w:rPr>
      <w:rFonts w:ascii="Times New Roman" w:hAnsi="Times New Roman" w:eastAsia="宋体" w:cs="Times New Roman"/>
      <w:b/>
      <w:bCs/>
      <w:kern w:val="18"/>
      <w:sz w:val="28"/>
      <w:szCs w:val="28"/>
      <w:lang w:val="en-US" w:eastAsia="zh-CN" w:bidi="ar-SA"/>
    </w:rPr>
  </w:style>
  <w:style w:type="paragraph" w:customStyle="1" w:styleId="2752">
    <w:name w:val="第二个标题"/>
    <w:basedOn w:val="3"/>
    <w:semiHidden/>
    <w:qFormat/>
    <w:uiPriority w:val="0"/>
    <w:pPr>
      <w:numPr>
        <w:ilvl w:val="0"/>
        <w:numId w:val="0"/>
      </w:numPr>
      <w:tabs>
        <w:tab w:val="clear" w:pos="480"/>
        <w:tab w:val="clear" w:pos="630"/>
      </w:tabs>
      <w:adjustRightInd w:val="0"/>
      <w:snapToGrid w:val="0"/>
      <w:spacing w:beforeLines="50" w:afterLines="50"/>
    </w:pPr>
    <w:rPr>
      <w:kern w:val="0"/>
      <w:szCs w:val="28"/>
    </w:rPr>
  </w:style>
  <w:style w:type="paragraph" w:customStyle="1" w:styleId="2753">
    <w:name w:val="第3只标题"/>
    <w:basedOn w:val="2752"/>
    <w:semiHidden/>
    <w:qFormat/>
    <w:uiPriority w:val="0"/>
    <w:pPr>
      <w:outlineLvl w:val="2"/>
    </w:pPr>
    <w:rPr>
      <w:sz w:val="30"/>
      <w:szCs w:val="30"/>
    </w:rPr>
  </w:style>
  <w:style w:type="character" w:customStyle="1" w:styleId="2754">
    <w:name w:val="样式 样式 标题 3 + (中文) 宋体1 Char"/>
    <w:link w:val="2755"/>
    <w:qFormat/>
    <w:locked/>
    <w:uiPriority w:val="0"/>
    <w:rPr>
      <w:rFonts w:ascii="宋体" w:hAnsi="宋体" w:eastAsia="宋体"/>
      <w:bCs/>
      <w:sz w:val="24"/>
      <w:szCs w:val="24"/>
      <w:lang w:bidi="ar-SA"/>
    </w:rPr>
  </w:style>
  <w:style w:type="paragraph" w:customStyle="1" w:styleId="2755">
    <w:name w:val="样式 样式 标题 3 + (中文) 宋体1"/>
    <w:basedOn w:val="1"/>
    <w:link w:val="2754"/>
    <w:semiHidden/>
    <w:qFormat/>
    <w:uiPriority w:val="0"/>
    <w:pPr>
      <w:keepNext/>
      <w:keepLines/>
      <w:tabs>
        <w:tab w:val="clear" w:pos="480"/>
      </w:tabs>
      <w:spacing w:before="120" w:after="240" w:line="0" w:lineRule="atLeast"/>
      <w:jc w:val="left"/>
      <w:outlineLvl w:val="2"/>
    </w:pPr>
    <w:rPr>
      <w:rFonts w:ascii="宋体" w:hAnsi="宋体"/>
      <w:bCs/>
      <w:kern w:val="0"/>
      <w:lang w:val="zh-CN"/>
    </w:rPr>
  </w:style>
  <w:style w:type="character" w:customStyle="1" w:styleId="2756">
    <w:name w:val="样式 样式 标题 3 + (中文) 宋体 Char"/>
    <w:link w:val="2757"/>
    <w:qFormat/>
    <w:locked/>
    <w:uiPriority w:val="0"/>
    <w:rPr>
      <w:rFonts w:ascii="宋体" w:hAnsi="宋体" w:eastAsia="宋体"/>
      <w:bCs/>
      <w:sz w:val="24"/>
      <w:szCs w:val="24"/>
      <w:lang w:bidi="ar-SA"/>
    </w:rPr>
  </w:style>
  <w:style w:type="paragraph" w:customStyle="1" w:styleId="2757">
    <w:name w:val="样式 样式 标题 3 + (中文) 宋体"/>
    <w:basedOn w:val="1"/>
    <w:link w:val="2756"/>
    <w:semiHidden/>
    <w:qFormat/>
    <w:uiPriority w:val="0"/>
    <w:pPr>
      <w:keepNext/>
      <w:keepLines/>
      <w:tabs>
        <w:tab w:val="clear" w:pos="480"/>
      </w:tabs>
      <w:spacing w:before="120" w:after="240" w:line="0" w:lineRule="atLeast"/>
      <w:jc w:val="left"/>
      <w:outlineLvl w:val="2"/>
    </w:pPr>
    <w:rPr>
      <w:rFonts w:ascii="宋体" w:hAnsi="宋体"/>
      <w:bCs/>
      <w:kern w:val="0"/>
      <w:lang w:val="zh-CN"/>
    </w:rPr>
  </w:style>
  <w:style w:type="paragraph" w:customStyle="1" w:styleId="2758">
    <w:name w:val="样式 标题 2 + 小三 非加粗"/>
    <w:basedOn w:val="3"/>
    <w:semiHidden/>
    <w:qFormat/>
    <w:uiPriority w:val="0"/>
    <w:pPr>
      <w:numPr>
        <w:ilvl w:val="0"/>
        <w:numId w:val="0"/>
      </w:numPr>
      <w:tabs>
        <w:tab w:val="clear" w:pos="480"/>
        <w:tab w:val="clear" w:pos="630"/>
      </w:tabs>
      <w:spacing w:after="260" w:line="312" w:lineRule="auto"/>
      <w:jc w:val="left"/>
    </w:pPr>
    <w:rPr>
      <w:rFonts w:eastAsia="黑体" w:cs="宋体"/>
      <w:b w:val="0"/>
      <w:bCs w:val="0"/>
      <w:kern w:val="0"/>
      <w:sz w:val="30"/>
      <w:szCs w:val="20"/>
    </w:rPr>
  </w:style>
  <w:style w:type="paragraph" w:customStyle="1" w:styleId="2759">
    <w:name w:val="段落A"/>
    <w:basedOn w:val="1"/>
    <w:semiHidden/>
    <w:qFormat/>
    <w:uiPriority w:val="0"/>
    <w:pPr>
      <w:tabs>
        <w:tab w:val="clear" w:pos="480"/>
      </w:tabs>
      <w:spacing w:line="400" w:lineRule="exact"/>
      <w:ind w:firstLine="480"/>
    </w:pPr>
  </w:style>
  <w:style w:type="paragraph" w:customStyle="1" w:styleId="2760">
    <w:name w:val="Char Char Char Char Char Char Char Char Char Char Char Char1 Char1"/>
    <w:basedOn w:val="1"/>
    <w:semiHidden/>
    <w:qFormat/>
    <w:uiPriority w:val="0"/>
    <w:pPr>
      <w:tabs>
        <w:tab w:val="clear" w:pos="480"/>
      </w:tabs>
    </w:pPr>
    <w:rPr>
      <w:rFonts w:ascii="宋体" w:hAnsi="宋体" w:cs="宋体"/>
    </w:rPr>
  </w:style>
  <w:style w:type="paragraph" w:customStyle="1" w:styleId="2761">
    <w:name w:val="pagecontent_normal"/>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rPr>
  </w:style>
  <w:style w:type="paragraph" w:customStyle="1" w:styleId="2762">
    <w:name w:val="msonormal at_0"/>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763">
    <w:name w:val="表、图名宋旭峰"/>
    <w:basedOn w:val="170"/>
    <w:semiHidden/>
    <w:qFormat/>
    <w:uiPriority w:val="0"/>
    <w:pPr>
      <w:widowControl w:val="0"/>
      <w:spacing w:beforeLines="50" w:line="360" w:lineRule="auto"/>
    </w:pPr>
    <w:rPr>
      <w:rFonts w:ascii="黑体" w:hAnsi="宋体" w:eastAsia="黑体"/>
      <w:bCs w:val="0"/>
      <w:snapToGrid/>
      <w:color w:val="auto"/>
      <w:kern w:val="0"/>
    </w:rPr>
  </w:style>
  <w:style w:type="paragraph" w:customStyle="1" w:styleId="2764">
    <w:name w:val="表体宋旭峰"/>
    <w:basedOn w:val="1"/>
    <w:semiHidden/>
    <w:qFormat/>
    <w:uiPriority w:val="0"/>
    <w:pPr>
      <w:tabs>
        <w:tab w:val="clear" w:pos="480"/>
      </w:tabs>
      <w:overflowPunct w:val="0"/>
      <w:snapToGrid w:val="0"/>
      <w:spacing w:line="280" w:lineRule="atLeast"/>
      <w:jc w:val="center"/>
    </w:pPr>
    <w:rPr>
      <w:rFonts w:ascii="宋体" w:hAnsi="Courier New" w:cs="Courier New"/>
      <w:kern w:val="24"/>
      <w:sz w:val="18"/>
      <w:szCs w:val="20"/>
    </w:rPr>
  </w:style>
  <w:style w:type="paragraph" w:customStyle="1" w:styleId="2765">
    <w:name w:val="样式 标题4 + 首行缩进:  0.99 厘米 段前: 0.5 行 段后: 0.5 行"/>
    <w:basedOn w:val="20"/>
    <w:semiHidden/>
    <w:qFormat/>
    <w:uiPriority w:val="0"/>
    <w:pPr>
      <w:tabs>
        <w:tab w:val="clear" w:pos="480"/>
      </w:tabs>
      <w:adjustRightInd w:val="0"/>
      <w:spacing w:beforeLines="50" w:afterLines="50" w:line="460" w:lineRule="exact"/>
      <w:ind w:firstLine="0" w:firstLineChars="0"/>
    </w:pPr>
    <w:rPr>
      <w:rFonts w:ascii="Arial" w:hAnsi="Arial" w:cs="宋体"/>
      <w:color w:val="000000"/>
      <w:kern w:val="0"/>
      <w:sz w:val="28"/>
      <w:szCs w:val="20"/>
    </w:rPr>
  </w:style>
  <w:style w:type="paragraph" w:customStyle="1" w:styleId="2766">
    <w:name w:val="段落编号"/>
    <w:basedOn w:val="51"/>
    <w:semiHidden/>
    <w:qFormat/>
    <w:uiPriority w:val="0"/>
    <w:pPr>
      <w:tabs>
        <w:tab w:val="left" w:pos="140"/>
        <w:tab w:val="left" w:pos="900"/>
      </w:tabs>
      <w:adjustRightInd w:val="0"/>
      <w:spacing w:beforeLines="50" w:line="480" w:lineRule="exact"/>
      <w:ind w:left="900" w:hanging="420" w:firstLineChars="0"/>
    </w:pPr>
    <w:rPr>
      <w:rFonts w:ascii="Calibri" w:hAnsi="Calibri"/>
      <w:spacing w:val="6"/>
      <w:kern w:val="0"/>
      <w:sz w:val="28"/>
      <w:szCs w:val="20"/>
    </w:rPr>
  </w:style>
  <w:style w:type="paragraph" w:customStyle="1" w:styleId="2767">
    <w:name w:val="样式 首行缩进:  2 字符 段前: 7.8 磅"/>
    <w:basedOn w:val="1"/>
    <w:semiHidden/>
    <w:qFormat/>
    <w:uiPriority w:val="0"/>
    <w:pPr>
      <w:tabs>
        <w:tab w:val="clear" w:pos="480"/>
      </w:tabs>
      <w:spacing w:line="480" w:lineRule="exact"/>
    </w:pPr>
    <w:rPr>
      <w:rFonts w:cs="宋体"/>
      <w:kern w:val="0"/>
      <w:sz w:val="28"/>
      <w:szCs w:val="20"/>
    </w:rPr>
  </w:style>
  <w:style w:type="paragraph" w:customStyle="1" w:styleId="2768">
    <w:name w:val="表格居中"/>
    <w:basedOn w:val="1"/>
    <w:qFormat/>
    <w:uiPriority w:val="0"/>
    <w:pPr>
      <w:tabs>
        <w:tab w:val="clear" w:pos="480"/>
      </w:tabs>
      <w:adjustRightInd w:val="0"/>
      <w:spacing w:line="400" w:lineRule="exact"/>
      <w:ind w:left="-59" w:leftChars="-21" w:right="-73" w:rightChars="-26"/>
      <w:jc w:val="center"/>
    </w:pPr>
    <w:rPr>
      <w:rFonts w:hAnsi="Arial"/>
      <w:color w:val="000000"/>
      <w:kern w:val="0"/>
      <w:sz w:val="28"/>
    </w:rPr>
  </w:style>
  <w:style w:type="paragraph" w:customStyle="1" w:styleId="2769">
    <w:name w:val="样式1(标4)"/>
    <w:basedOn w:val="4"/>
    <w:semiHidden/>
    <w:qFormat/>
    <w:uiPriority w:val="0"/>
    <w:pPr>
      <w:keepNext w:val="0"/>
      <w:numPr>
        <w:ilvl w:val="0"/>
        <w:numId w:val="0"/>
      </w:numPr>
      <w:tabs>
        <w:tab w:val="clear" w:pos="480"/>
        <w:tab w:val="clear" w:pos="840"/>
      </w:tabs>
      <w:snapToGrid w:val="0"/>
      <w:spacing w:beforeLines="50" w:after="120" w:line="412" w:lineRule="auto"/>
      <w:ind w:firstLine="200"/>
      <w:outlineLvl w:val="9"/>
    </w:pPr>
    <w:rPr>
      <w:rFonts w:ascii="Times New Roman" w:eastAsia="宋体"/>
      <w:b w:val="0"/>
      <w:kern w:val="0"/>
      <w:sz w:val="28"/>
    </w:rPr>
  </w:style>
  <w:style w:type="character" w:customStyle="1" w:styleId="2770">
    <w:name w:val="正文文本 3 Char1"/>
    <w:semiHidden/>
    <w:qFormat/>
    <w:uiPriority w:val="0"/>
    <w:rPr>
      <w:rFonts w:ascii="Times New Roman" w:hAnsi="Times New Roman" w:eastAsia="宋体" w:cs="Times New Roman"/>
      <w:sz w:val="16"/>
      <w:szCs w:val="16"/>
    </w:rPr>
  </w:style>
  <w:style w:type="paragraph" w:customStyle="1" w:styleId="2771">
    <w:name w:val="样式（正文4）"/>
    <w:basedOn w:val="30"/>
    <w:semiHidden/>
    <w:qFormat/>
    <w:uiPriority w:val="0"/>
    <w:pPr>
      <w:adjustRightInd w:val="0"/>
      <w:spacing w:after="120" w:line="460" w:lineRule="exact"/>
      <w:jc w:val="both"/>
    </w:pPr>
    <w:rPr>
      <w:rFonts w:hint="eastAsia" w:ascii="Arial" w:hAnsi="Arial" w:eastAsia="宋体" w:cs="Arial"/>
      <w:color w:val="000000"/>
      <w:kern w:val="0"/>
      <w:sz w:val="28"/>
      <w:szCs w:val="28"/>
    </w:rPr>
  </w:style>
  <w:style w:type="paragraph" w:customStyle="1" w:styleId="2772">
    <w:name w:val="内部地址"/>
    <w:basedOn w:val="1"/>
    <w:semiHidden/>
    <w:qFormat/>
    <w:uiPriority w:val="0"/>
    <w:pPr>
      <w:tabs>
        <w:tab w:val="clear" w:pos="480"/>
      </w:tabs>
      <w:spacing w:beforeLines="10" w:afterLines="10" w:line="560" w:lineRule="exact"/>
      <w:ind w:firstLine="600"/>
    </w:pPr>
    <w:rPr>
      <w:rFonts w:ascii="宋体" w:hAnsi="宋体"/>
      <w:kern w:val="0"/>
      <w:sz w:val="30"/>
    </w:rPr>
  </w:style>
  <w:style w:type="paragraph" w:customStyle="1" w:styleId="2773">
    <w:name w:val="样式（表）"/>
    <w:basedOn w:val="2771"/>
    <w:semiHidden/>
    <w:qFormat/>
    <w:uiPriority w:val="0"/>
    <w:pPr>
      <w:spacing w:after="100" w:afterAutospacing="1"/>
      <w:jc w:val="center"/>
    </w:pPr>
    <w:rPr>
      <w:rFonts w:ascii="宋体"/>
      <w:sz w:val="21"/>
    </w:rPr>
  </w:style>
  <w:style w:type="paragraph" w:customStyle="1" w:styleId="2774">
    <w:name w:val="表格4号"/>
    <w:basedOn w:val="30"/>
    <w:semiHidden/>
    <w:qFormat/>
    <w:uiPriority w:val="0"/>
    <w:pPr>
      <w:adjustRightInd w:val="0"/>
      <w:spacing w:line="300" w:lineRule="exact"/>
      <w:jc w:val="both"/>
    </w:pPr>
    <w:rPr>
      <w:rFonts w:hint="eastAsia" w:ascii="Arial" w:hAnsi="Arial" w:eastAsia="宋体" w:cs="Arial"/>
      <w:color w:val="000000"/>
      <w:kern w:val="0"/>
      <w:sz w:val="24"/>
      <w:szCs w:val="28"/>
    </w:rPr>
  </w:style>
  <w:style w:type="paragraph" w:customStyle="1" w:styleId="2775">
    <w:name w:val="表格居中4号"/>
    <w:basedOn w:val="2768"/>
    <w:semiHidden/>
    <w:qFormat/>
    <w:uiPriority w:val="0"/>
    <w:pPr>
      <w:spacing w:line="360" w:lineRule="exact"/>
    </w:pPr>
  </w:style>
  <w:style w:type="paragraph" w:customStyle="1" w:styleId="2776">
    <w:name w:val="院名"/>
    <w:basedOn w:val="1"/>
    <w:semiHidden/>
    <w:qFormat/>
    <w:uiPriority w:val="0"/>
    <w:pPr>
      <w:tabs>
        <w:tab w:val="clear" w:pos="480"/>
      </w:tabs>
      <w:adjustRightInd w:val="0"/>
      <w:spacing w:before="60" w:after="60" w:line="800" w:lineRule="exact"/>
      <w:ind w:firstLine="567"/>
      <w:jc w:val="center"/>
    </w:pPr>
    <w:rPr>
      <w:spacing w:val="10"/>
      <w:kern w:val="0"/>
      <w:sz w:val="36"/>
      <w:szCs w:val="20"/>
    </w:rPr>
  </w:style>
  <w:style w:type="paragraph" w:customStyle="1" w:styleId="2777">
    <w:name w:val="节标题"/>
    <w:basedOn w:val="1"/>
    <w:semiHidden/>
    <w:qFormat/>
    <w:uiPriority w:val="0"/>
    <w:pPr>
      <w:keepLines/>
      <w:tabs>
        <w:tab w:val="clear" w:pos="480"/>
      </w:tabs>
      <w:overflowPunct w:val="0"/>
      <w:adjustRightInd w:val="0"/>
      <w:spacing w:before="240" w:after="120" w:line="360" w:lineRule="exact"/>
      <w:jc w:val="center"/>
    </w:pPr>
    <w:rPr>
      <w:rFonts w:hAnsi="Roman 10cpi" w:eastAsia="黑体"/>
      <w:spacing w:val="10"/>
      <w:kern w:val="28"/>
      <w:sz w:val="36"/>
      <w:szCs w:val="20"/>
    </w:rPr>
  </w:style>
  <w:style w:type="paragraph" w:customStyle="1" w:styleId="2778">
    <w:name w:val="表格名"/>
    <w:basedOn w:val="1"/>
    <w:qFormat/>
    <w:uiPriority w:val="0"/>
    <w:pPr>
      <w:keepNext/>
      <w:tabs>
        <w:tab w:val="clear" w:pos="480"/>
      </w:tabs>
      <w:adjustRightInd w:val="0"/>
      <w:spacing w:before="60" w:after="60" w:line="600" w:lineRule="exact"/>
      <w:ind w:right="-193" w:firstLine="624"/>
      <w:jc w:val="center"/>
    </w:pPr>
    <w:rPr>
      <w:rFonts w:eastAsia="黑体"/>
      <w:b/>
      <w:spacing w:val="10"/>
      <w:kern w:val="0"/>
      <w:sz w:val="28"/>
      <w:szCs w:val="20"/>
    </w:rPr>
  </w:style>
  <w:style w:type="paragraph" w:customStyle="1" w:styleId="2779">
    <w:name w:val="样式 注 + 首行缩进:  2 字符"/>
    <w:basedOn w:val="9"/>
    <w:semiHidden/>
    <w:qFormat/>
    <w:uiPriority w:val="0"/>
    <w:pPr>
      <w:keepNext w:val="0"/>
      <w:keepLines w:val="0"/>
      <w:numPr>
        <w:ilvl w:val="0"/>
        <w:numId w:val="0"/>
      </w:numPr>
      <w:tabs>
        <w:tab w:val="left" w:pos="1215"/>
        <w:tab w:val="clear" w:pos="480"/>
      </w:tabs>
      <w:autoSpaceDE/>
      <w:autoSpaceDN/>
      <w:spacing w:before="0" w:after="100" w:afterAutospacing="1" w:line="400" w:lineRule="exact"/>
      <w:ind w:hanging="720"/>
      <w:textAlignment w:val="auto"/>
      <w:outlineLvl w:val="9"/>
    </w:pPr>
    <w:rPr>
      <w:rFonts w:hint="eastAsia" w:ascii="宋体" w:eastAsia="宋体" w:cs="宋体"/>
      <w:color w:val="000000"/>
      <w:kern w:val="0"/>
      <w:szCs w:val="24"/>
    </w:rPr>
  </w:style>
  <w:style w:type="paragraph" w:customStyle="1" w:styleId="2780">
    <w:name w:val="样式 幼圆 小四 段前: 7.8 磅 段后: 15.6 磅 行距: 固定值 18 磅"/>
    <w:basedOn w:val="1"/>
    <w:semiHidden/>
    <w:qFormat/>
    <w:uiPriority w:val="0"/>
    <w:pPr>
      <w:tabs>
        <w:tab w:val="clear" w:pos="480"/>
      </w:tabs>
      <w:spacing w:before="156" w:after="312" w:line="360" w:lineRule="exact"/>
      <w:ind w:left="1619" w:leftChars="771"/>
    </w:pPr>
    <w:rPr>
      <w:rFonts w:ascii="幼圆" w:eastAsia="幼圆" w:cs="宋体"/>
      <w:szCs w:val="20"/>
    </w:rPr>
  </w:style>
  <w:style w:type="paragraph" w:customStyle="1" w:styleId="2781">
    <w:name w:val="样式 段前: 7.8 磅 段后: 6 磅"/>
    <w:basedOn w:val="1"/>
    <w:semiHidden/>
    <w:qFormat/>
    <w:uiPriority w:val="0"/>
    <w:pPr>
      <w:tabs>
        <w:tab w:val="clear" w:pos="480"/>
      </w:tabs>
      <w:spacing w:before="156" w:after="120" w:line="480" w:lineRule="exact"/>
    </w:pPr>
    <w:rPr>
      <w:rFonts w:cs="宋体"/>
      <w:kern w:val="0"/>
      <w:sz w:val="28"/>
      <w:szCs w:val="20"/>
    </w:rPr>
  </w:style>
  <w:style w:type="paragraph" w:customStyle="1" w:styleId="2782">
    <w:name w:val="样式 段前: 7.8 磅 段后: 6 磅1"/>
    <w:basedOn w:val="1"/>
    <w:semiHidden/>
    <w:qFormat/>
    <w:uiPriority w:val="0"/>
    <w:pPr>
      <w:tabs>
        <w:tab w:val="clear" w:pos="480"/>
      </w:tabs>
      <w:spacing w:line="480" w:lineRule="exact"/>
      <w:ind w:firstLine="150" w:firstLineChars="150"/>
    </w:pPr>
    <w:rPr>
      <w:rFonts w:cs="宋体"/>
      <w:kern w:val="0"/>
      <w:sz w:val="28"/>
      <w:szCs w:val="20"/>
    </w:rPr>
  </w:style>
  <w:style w:type="paragraph" w:customStyle="1" w:styleId="2783">
    <w:name w:val="样式 段前: 7.8 磅 段后: 6 磅2"/>
    <w:basedOn w:val="1"/>
    <w:semiHidden/>
    <w:qFormat/>
    <w:uiPriority w:val="0"/>
    <w:pPr>
      <w:tabs>
        <w:tab w:val="clear" w:pos="480"/>
      </w:tabs>
      <w:spacing w:before="156" w:after="120" w:line="480" w:lineRule="exact"/>
    </w:pPr>
    <w:rPr>
      <w:rFonts w:cs="宋体"/>
      <w:kern w:val="0"/>
      <w:sz w:val="28"/>
      <w:szCs w:val="20"/>
    </w:rPr>
  </w:style>
  <w:style w:type="paragraph" w:customStyle="1" w:styleId="2784">
    <w:name w:val="样式 段落编号 + 段前: 0.5 行"/>
    <w:basedOn w:val="2766"/>
    <w:semiHidden/>
    <w:qFormat/>
    <w:uiPriority w:val="0"/>
    <w:pPr>
      <w:spacing w:beforeLines="300"/>
    </w:pPr>
    <w:rPr>
      <w:rFonts w:cs="宋体"/>
    </w:rPr>
  </w:style>
  <w:style w:type="paragraph" w:customStyle="1" w:styleId="2785">
    <w:name w:val="样式 样式 段落编号 + 段前: 0.5 行 + 段前: 3 行"/>
    <w:basedOn w:val="2784"/>
    <w:semiHidden/>
    <w:qFormat/>
    <w:uiPriority w:val="0"/>
    <w:pPr>
      <w:spacing w:beforeLines="0"/>
    </w:pPr>
  </w:style>
  <w:style w:type="paragraph" w:customStyle="1" w:styleId="2786">
    <w:name w:val="样式 段落编号 + 段前: 0.5 行1"/>
    <w:basedOn w:val="2766"/>
    <w:semiHidden/>
    <w:qFormat/>
    <w:uiPriority w:val="0"/>
    <w:pPr>
      <w:spacing w:beforeLines="25"/>
      <w:ind w:left="1060" w:hanging="493"/>
    </w:pPr>
    <w:rPr>
      <w:rFonts w:cs="宋体"/>
    </w:rPr>
  </w:style>
  <w:style w:type="paragraph" w:customStyle="1" w:styleId="2787">
    <w:name w:val="样式 段落编号 + 段前: 0.5 行2"/>
    <w:basedOn w:val="2766"/>
    <w:semiHidden/>
    <w:qFormat/>
    <w:uiPriority w:val="0"/>
    <w:pPr>
      <w:spacing w:beforeLines="20"/>
    </w:pPr>
    <w:rPr>
      <w:rFonts w:cs="宋体"/>
    </w:rPr>
  </w:style>
  <w:style w:type="paragraph" w:customStyle="1" w:styleId="2788">
    <w:name w:val="样式 段落编号 + 段前: 0.5 行3"/>
    <w:basedOn w:val="2766"/>
    <w:semiHidden/>
    <w:qFormat/>
    <w:uiPriority w:val="0"/>
    <w:pPr>
      <w:spacing w:beforeLines="0"/>
    </w:pPr>
    <w:rPr>
      <w:rFonts w:cs="宋体"/>
    </w:rPr>
  </w:style>
  <w:style w:type="paragraph" w:customStyle="1" w:styleId="2789">
    <w:name w:val="样式 段落编号 + 段前: 0.5 行4"/>
    <w:basedOn w:val="2766"/>
    <w:semiHidden/>
    <w:qFormat/>
    <w:uiPriority w:val="0"/>
    <w:pPr>
      <w:spacing w:beforeLines="0"/>
      <w:ind w:left="1213" w:hanging="493"/>
      <w:jc w:val="left"/>
    </w:pPr>
    <w:rPr>
      <w:rFonts w:cs="宋体"/>
    </w:rPr>
  </w:style>
  <w:style w:type="paragraph" w:customStyle="1" w:styleId="2790">
    <w:name w:val="l_text"/>
    <w:basedOn w:val="1"/>
    <w:semiHidden/>
    <w:qFormat/>
    <w:uiPriority w:val="0"/>
    <w:pPr>
      <w:widowControl/>
      <w:tabs>
        <w:tab w:val="clear" w:pos="480"/>
      </w:tabs>
      <w:overflowPunct w:val="0"/>
      <w:autoSpaceDE w:val="0"/>
      <w:autoSpaceDN w:val="0"/>
      <w:adjustRightInd w:val="0"/>
      <w:ind w:left="170" w:firstLine="680"/>
    </w:pPr>
    <w:rPr>
      <w:rFonts w:ascii="宋体"/>
      <w:kern w:val="0"/>
      <w:sz w:val="28"/>
      <w:szCs w:val="20"/>
      <w:lang w:val="en-GB"/>
    </w:rPr>
  </w:style>
  <w:style w:type="paragraph" w:customStyle="1" w:styleId="2791">
    <w:name w:val="Chapter Subtitle"/>
    <w:basedOn w:val="64"/>
    <w:semiHidden/>
    <w:qFormat/>
    <w:uiPriority w:val="0"/>
    <w:pPr>
      <w:keepLines/>
      <w:adjustRightInd w:val="0"/>
      <w:spacing w:after="420" w:line="240" w:lineRule="auto"/>
      <w:ind w:firstLine="360"/>
      <w:outlineLvl w:val="0"/>
    </w:pPr>
    <w:rPr>
      <w:rFonts w:ascii="Times New Roman" w:hAnsi="Times New Roman" w:eastAsia="黑体" w:cs="Times New Roman"/>
      <w:spacing w:val="20"/>
      <w:kern w:val="20"/>
      <w:sz w:val="27"/>
      <w:szCs w:val="20"/>
    </w:rPr>
  </w:style>
  <w:style w:type="character" w:customStyle="1" w:styleId="2792">
    <w:name w:val="样式7 Char"/>
    <w:link w:val="2703"/>
    <w:qFormat/>
    <w:locked/>
    <w:uiPriority w:val="0"/>
    <w:rPr>
      <w:rFonts w:eastAsia="宋体" w:cs="宋体"/>
      <w:b/>
      <w:bCs/>
      <w:kern w:val="2"/>
      <w:sz w:val="28"/>
      <w:szCs w:val="28"/>
      <w:lang w:bidi="ar-SA"/>
    </w:rPr>
  </w:style>
  <w:style w:type="paragraph" w:customStyle="1" w:styleId="2793">
    <w:name w:val="my标题2"/>
    <w:basedOn w:val="3"/>
    <w:semiHidden/>
    <w:qFormat/>
    <w:uiPriority w:val="0"/>
    <w:pPr>
      <w:numPr>
        <w:ilvl w:val="0"/>
        <w:numId w:val="0"/>
      </w:numPr>
      <w:tabs>
        <w:tab w:val="left" w:pos="360"/>
        <w:tab w:val="clear" w:pos="480"/>
        <w:tab w:val="clear" w:pos="630"/>
      </w:tabs>
      <w:adjustRightInd w:val="0"/>
      <w:snapToGrid w:val="0"/>
      <w:spacing w:before="120" w:after="0"/>
      <w:jc w:val="left"/>
    </w:pPr>
    <w:rPr>
      <w:b w:val="0"/>
      <w:bCs w:val="0"/>
      <w:kern w:val="0"/>
      <w:sz w:val="24"/>
      <w:szCs w:val="20"/>
    </w:rPr>
  </w:style>
  <w:style w:type="character" w:customStyle="1" w:styleId="2794">
    <w:name w:val="样式 标题 3标题 3 Char Char Char标题 3 Char Char Char Char Char Char标... Char"/>
    <w:link w:val="1358"/>
    <w:qFormat/>
    <w:locked/>
    <w:uiPriority w:val="0"/>
    <w:rPr>
      <w:rFonts w:ascii="Plotter" w:hAnsi="Plotter" w:eastAsia="宋体"/>
      <w:b/>
      <w:bCs/>
      <w:kern w:val="2"/>
      <w:sz w:val="24"/>
      <w:lang w:bidi="ar-SA"/>
    </w:rPr>
  </w:style>
  <w:style w:type="paragraph" w:customStyle="1" w:styleId="2795">
    <w:name w:val="样式 样式 标题 4 + (中文) 宋体"/>
    <w:basedOn w:val="2741"/>
    <w:semiHidden/>
    <w:qFormat/>
    <w:uiPriority w:val="0"/>
    <w:pPr/>
    <w:rPr>
      <w:rFonts w:eastAsia="宋体"/>
      <w:szCs w:val="20"/>
    </w:rPr>
  </w:style>
  <w:style w:type="paragraph" w:customStyle="1" w:styleId="2796">
    <w:name w:val="Bullet"/>
    <w:basedOn w:val="1"/>
    <w:semiHidden/>
    <w:qFormat/>
    <w:uiPriority w:val="0"/>
    <w:pPr>
      <w:tabs>
        <w:tab w:val="left" w:pos="1215"/>
        <w:tab w:val="clear" w:pos="480"/>
      </w:tabs>
      <w:spacing w:before="60" w:after="60" w:line="240" w:lineRule="auto"/>
      <w:ind w:left="1080" w:hanging="495"/>
    </w:pPr>
    <w:rPr>
      <w:rFonts w:ascii="Arial" w:hAnsi="Arial"/>
      <w:sz w:val="22"/>
      <w:szCs w:val="20"/>
      <w:lang w:val="en-GB"/>
    </w:rPr>
  </w:style>
  <w:style w:type="paragraph" w:customStyle="1" w:styleId="2797">
    <w:name w:val="First bullet"/>
    <w:basedOn w:val="1"/>
    <w:semiHidden/>
    <w:qFormat/>
    <w:uiPriority w:val="0"/>
    <w:pPr>
      <w:widowControl/>
      <w:tabs>
        <w:tab w:val="left" w:pos="360"/>
        <w:tab w:val="clear" w:pos="480"/>
      </w:tabs>
      <w:spacing w:line="240" w:lineRule="auto"/>
      <w:ind w:left="216" w:hanging="216"/>
    </w:pPr>
    <w:rPr>
      <w:kern w:val="0"/>
      <w:sz w:val="22"/>
      <w:szCs w:val="20"/>
      <w:lang w:val="en-GB"/>
    </w:rPr>
  </w:style>
  <w:style w:type="paragraph" w:customStyle="1" w:styleId="2798">
    <w:name w:val="b.bullet"/>
    <w:basedOn w:val="1"/>
    <w:semiHidden/>
    <w:qFormat/>
    <w:uiPriority w:val="0"/>
    <w:pPr>
      <w:tabs>
        <w:tab w:val="left" w:pos="1200"/>
        <w:tab w:val="clear" w:pos="480"/>
      </w:tabs>
      <w:spacing w:line="240" w:lineRule="auto"/>
      <w:ind w:left="1200" w:hanging="720"/>
    </w:pPr>
    <w:rPr>
      <w:sz w:val="21"/>
      <w:szCs w:val="20"/>
      <w:lang w:val="en-GB"/>
    </w:rPr>
  </w:style>
  <w:style w:type="paragraph" w:customStyle="1" w:styleId="2799">
    <w:name w:val="HATS Bullet"/>
    <w:basedOn w:val="1"/>
    <w:semiHidden/>
    <w:qFormat/>
    <w:uiPriority w:val="0"/>
    <w:pPr>
      <w:tabs>
        <w:tab w:val="left" w:pos="840"/>
        <w:tab w:val="clear" w:pos="480"/>
      </w:tabs>
      <w:spacing w:line="240" w:lineRule="auto"/>
      <w:ind w:left="840" w:hanging="360"/>
    </w:pPr>
    <w:rPr>
      <w:sz w:val="21"/>
      <w:szCs w:val="20"/>
      <w:lang w:val="en-GB"/>
    </w:rPr>
  </w:style>
  <w:style w:type="paragraph" w:customStyle="1" w:styleId="2800">
    <w:name w:val="bullet 1"/>
    <w:basedOn w:val="1"/>
    <w:semiHidden/>
    <w:qFormat/>
    <w:uiPriority w:val="0"/>
    <w:pPr>
      <w:tabs>
        <w:tab w:val="left" w:pos="840"/>
        <w:tab w:val="clear" w:pos="480"/>
      </w:tabs>
      <w:spacing w:line="240" w:lineRule="auto"/>
      <w:ind w:left="840" w:hanging="360"/>
    </w:pPr>
    <w:rPr>
      <w:sz w:val="21"/>
      <w:szCs w:val="20"/>
      <w:lang w:val="en-GB"/>
    </w:rPr>
  </w:style>
  <w:style w:type="paragraph" w:customStyle="1" w:styleId="2801">
    <w:name w:val="Dot"/>
    <w:basedOn w:val="1"/>
    <w:semiHidden/>
    <w:qFormat/>
    <w:uiPriority w:val="0"/>
    <w:pPr>
      <w:widowControl/>
      <w:tabs>
        <w:tab w:val="left" w:pos="360"/>
        <w:tab w:val="clear" w:pos="480"/>
      </w:tabs>
      <w:spacing w:line="240" w:lineRule="auto"/>
      <w:ind w:left="360" w:hanging="360"/>
    </w:pPr>
    <w:rPr>
      <w:rFonts w:eastAsia="MS Mincho"/>
      <w:b/>
      <w:caps/>
      <w:kern w:val="0"/>
      <w:sz w:val="20"/>
      <w:szCs w:val="20"/>
      <w:lang w:eastAsia="ja-JP"/>
    </w:rPr>
  </w:style>
  <w:style w:type="paragraph" w:customStyle="1" w:styleId="2802">
    <w:name w:val="second bullet"/>
    <w:basedOn w:val="33"/>
    <w:semiHidden/>
    <w:qFormat/>
    <w:uiPriority w:val="0"/>
    <w:pPr>
      <w:widowControl/>
      <w:tabs>
        <w:tab w:val="left" w:pos="425"/>
      </w:tabs>
      <w:ind w:left="425" w:hanging="425"/>
    </w:pPr>
    <w:rPr>
      <w:rFonts w:ascii="Calibri" w:hAnsi="Calibri"/>
      <w:kern w:val="0"/>
      <w:sz w:val="22"/>
    </w:rPr>
  </w:style>
  <w:style w:type="paragraph" w:customStyle="1" w:styleId="2803">
    <w:name w:val="OmniPage #1"/>
    <w:basedOn w:val="1"/>
    <w:semiHidden/>
    <w:qFormat/>
    <w:uiPriority w:val="0"/>
    <w:pPr>
      <w:tabs>
        <w:tab w:val="left" w:pos="5484"/>
        <w:tab w:val="left" w:pos="6720"/>
        <w:tab w:val="left" w:pos="8292"/>
        <w:tab w:val="right" w:pos="8802"/>
        <w:tab w:val="clear" w:pos="480"/>
      </w:tabs>
      <w:spacing w:line="199" w:lineRule="atLeast"/>
      <w:ind w:left="5460" w:right="48"/>
      <w:jc w:val="left"/>
    </w:pPr>
    <w:rPr>
      <w:rFonts w:ascii="Arial" w:hAnsi="Arial" w:eastAsia="MS Mincho"/>
      <w:b/>
      <w:caps/>
      <w:kern w:val="0"/>
      <w:sz w:val="20"/>
      <w:szCs w:val="20"/>
      <w:lang w:eastAsia="ja-JP"/>
    </w:rPr>
  </w:style>
  <w:style w:type="paragraph" w:customStyle="1" w:styleId="2804">
    <w:name w:val="Table Head"/>
    <w:basedOn w:val="3"/>
    <w:semiHidden/>
    <w:qFormat/>
    <w:uiPriority w:val="0"/>
    <w:pPr>
      <w:widowControl/>
      <w:numPr>
        <w:ilvl w:val="0"/>
        <w:numId w:val="0"/>
      </w:numPr>
      <w:tabs>
        <w:tab w:val="clear" w:pos="480"/>
        <w:tab w:val="clear" w:pos="630"/>
      </w:tabs>
      <w:suppressAutoHyphens/>
      <w:spacing w:before="240" w:line="240" w:lineRule="auto"/>
      <w:jc w:val="center"/>
      <w:outlineLvl w:val="9"/>
    </w:pPr>
    <w:rPr>
      <w:rFonts w:ascii="Helvetica-Normal" w:hAnsi="Helvetica-Normal" w:eastAsia="PMingLiU"/>
      <w:bCs w:val="0"/>
      <w:spacing w:val="-2"/>
      <w:kern w:val="0"/>
      <w:position w:val="6"/>
      <w:sz w:val="20"/>
      <w:szCs w:val="20"/>
      <w:lang w:val="en-GB" w:eastAsia="en-US"/>
    </w:rPr>
  </w:style>
  <w:style w:type="paragraph" w:customStyle="1" w:styleId="2805">
    <w:name w:val="Footer odd"/>
    <w:basedOn w:val="1"/>
    <w:semiHidden/>
    <w:qFormat/>
    <w:uiPriority w:val="0"/>
    <w:pPr>
      <w:widowControl/>
      <w:tabs>
        <w:tab w:val="center" w:pos="4320"/>
        <w:tab w:val="right" w:pos="8640"/>
        <w:tab w:val="clear" w:pos="480"/>
      </w:tabs>
      <w:spacing w:line="240" w:lineRule="auto"/>
      <w:jc w:val="left"/>
    </w:pPr>
    <w:rPr>
      <w:rFonts w:ascii="Arial Narrow" w:hAnsi="Arial Narrow"/>
      <w:kern w:val="0"/>
      <w:sz w:val="20"/>
      <w:szCs w:val="20"/>
      <w:lang w:val="en-GB" w:eastAsia="en-US"/>
    </w:rPr>
  </w:style>
  <w:style w:type="paragraph" w:customStyle="1" w:styleId="2806">
    <w:name w:val="Multilevel list"/>
    <w:basedOn w:val="66"/>
    <w:semiHidden/>
    <w:qFormat/>
    <w:uiPriority w:val="0"/>
    <w:pPr>
      <w:keepLines/>
      <w:widowControl/>
      <w:spacing w:line="264" w:lineRule="auto"/>
      <w:ind w:left="720" w:hanging="720" w:firstLineChars="0"/>
    </w:pPr>
    <w:rPr>
      <w:rFonts w:eastAsia="Times New Roman"/>
      <w:kern w:val="22"/>
      <w:sz w:val="22"/>
      <w:lang w:val="en-GB"/>
    </w:rPr>
  </w:style>
  <w:style w:type="paragraph" w:customStyle="1" w:styleId="2807">
    <w:name w:val="Table caption"/>
    <w:basedOn w:val="21"/>
    <w:next w:val="33"/>
    <w:semiHidden/>
    <w:qFormat/>
    <w:uiPriority w:val="0"/>
    <w:pPr>
      <w:tabs>
        <w:tab w:val="left" w:pos="360"/>
        <w:tab w:val="left" w:pos="720"/>
        <w:tab w:val="left" w:pos="1080"/>
      </w:tabs>
      <w:adjustRightInd/>
      <w:snapToGrid/>
      <w:spacing w:before="120" w:after="240" w:line="264" w:lineRule="auto"/>
      <w:ind w:left="1080" w:hanging="1080" w:firstLineChars="0"/>
      <w:jc w:val="left"/>
    </w:pPr>
    <w:rPr>
      <w:rFonts w:ascii="Calibri" w:hAnsi="Calibri" w:eastAsia="Times New Roman" w:cs="Times New Roman"/>
      <w:color w:val="auto"/>
      <w:kern w:val="22"/>
      <w:sz w:val="18"/>
      <w:szCs w:val="22"/>
      <w:lang w:val="en-GB" w:eastAsia="en-US"/>
    </w:rPr>
  </w:style>
  <w:style w:type="paragraph" w:customStyle="1" w:styleId="2808">
    <w:name w:val="Table Note"/>
    <w:basedOn w:val="1"/>
    <w:semiHidden/>
    <w:qFormat/>
    <w:uiPriority w:val="0"/>
    <w:pPr>
      <w:widowControl/>
      <w:tabs>
        <w:tab w:val="clear" w:pos="480"/>
      </w:tabs>
      <w:spacing w:before="120" w:after="120" w:line="240" w:lineRule="auto"/>
      <w:ind w:left="720"/>
    </w:pPr>
    <w:rPr>
      <w:rFonts w:eastAsia="PMingLiU"/>
      <w:i/>
      <w:kern w:val="0"/>
      <w:sz w:val="18"/>
      <w:lang w:val="en-GB"/>
    </w:rPr>
  </w:style>
  <w:style w:type="paragraph" w:customStyle="1" w:styleId="2809">
    <w:name w:val="Blockquote"/>
    <w:basedOn w:val="1"/>
    <w:semiHidden/>
    <w:qFormat/>
    <w:uiPriority w:val="0"/>
    <w:pPr>
      <w:widowControl/>
      <w:tabs>
        <w:tab w:val="clear" w:pos="480"/>
      </w:tabs>
      <w:snapToGrid w:val="0"/>
      <w:spacing w:before="100" w:after="100" w:line="240" w:lineRule="auto"/>
      <w:ind w:left="360" w:right="360"/>
      <w:jc w:val="left"/>
    </w:pPr>
    <w:rPr>
      <w:rFonts w:eastAsia="PMingLiU"/>
      <w:kern w:val="0"/>
      <w:lang w:val="en-GB"/>
    </w:rPr>
  </w:style>
  <w:style w:type="paragraph" w:customStyle="1" w:styleId="2810">
    <w:name w:val="Table Heading"/>
    <w:basedOn w:val="1"/>
    <w:semiHidden/>
    <w:qFormat/>
    <w:uiPriority w:val="0"/>
    <w:pPr>
      <w:widowControl/>
      <w:tabs>
        <w:tab w:val="clear" w:pos="480"/>
      </w:tabs>
      <w:spacing w:line="240" w:lineRule="auto"/>
      <w:jc w:val="center"/>
    </w:pPr>
    <w:rPr>
      <w:rFonts w:ascii="Arial" w:hAnsi="Arial" w:eastAsia="PMingLiU"/>
      <w:b/>
      <w:kern w:val="0"/>
      <w:sz w:val="20"/>
      <w:lang w:val="en-GB"/>
    </w:rPr>
  </w:style>
  <w:style w:type="paragraph" w:customStyle="1" w:styleId="2811">
    <w:name w:val="ten point"/>
    <w:semiHidden/>
    <w:qFormat/>
    <w:uiPriority w:val="0"/>
    <w:pPr>
      <w:numPr>
        <w:ilvl w:val="0"/>
        <w:numId w:val="32"/>
      </w:numPr>
      <w:jc w:val="center"/>
    </w:pPr>
    <w:rPr>
      <w:rFonts w:ascii="Arial" w:hAnsi="Arial" w:eastAsia="PMingLiU" w:cs="Times New Roman"/>
      <w:kern w:val="2"/>
      <w:sz w:val="24"/>
      <w:szCs w:val="24"/>
      <w:lang w:val="en-US" w:eastAsia="zh-CN" w:bidi="ar-SA"/>
    </w:rPr>
  </w:style>
  <w:style w:type="paragraph" w:customStyle="1" w:styleId="2812">
    <w:name w:val="Indent text"/>
    <w:semiHidden/>
    <w:qFormat/>
    <w:uiPriority w:val="0"/>
    <w:pPr>
      <w:tabs>
        <w:tab w:val="left" w:pos="720"/>
      </w:tabs>
      <w:spacing w:after="220"/>
      <w:ind w:left="720"/>
      <w:jc w:val="both"/>
    </w:pPr>
    <w:rPr>
      <w:rFonts w:ascii="Times New Roman" w:hAnsi="Times New Roman" w:eastAsia="PMingLiU" w:cs="Times New Roman"/>
      <w:kern w:val="2"/>
      <w:sz w:val="22"/>
      <w:szCs w:val="24"/>
      <w:lang w:val="en-GB" w:eastAsia="zh-CN" w:bidi="ar-SA"/>
    </w:rPr>
  </w:style>
  <w:style w:type="paragraph" w:customStyle="1" w:styleId="2813">
    <w:name w:val="Paragraph 1"/>
    <w:basedOn w:val="1"/>
    <w:semiHidden/>
    <w:qFormat/>
    <w:uiPriority w:val="0"/>
    <w:pPr>
      <w:widowControl/>
      <w:tabs>
        <w:tab w:val="clear" w:pos="480"/>
      </w:tabs>
      <w:spacing w:before="120" w:after="120" w:line="240" w:lineRule="auto"/>
      <w:ind w:left="720"/>
    </w:pPr>
    <w:rPr>
      <w:rFonts w:ascii="Arial" w:hAnsi="Arial" w:eastAsia="Times New Roman"/>
      <w:kern w:val="0"/>
      <w:lang w:val="en-GB"/>
    </w:rPr>
  </w:style>
  <w:style w:type="paragraph" w:customStyle="1" w:styleId="2814">
    <w:name w:val="sub-head"/>
    <w:basedOn w:val="1540"/>
    <w:semiHidden/>
    <w:qFormat/>
    <w:uiPriority w:val="0"/>
    <w:pPr>
      <w:keepNext/>
      <w:tabs>
        <w:tab w:val="left" w:pos="-1440"/>
        <w:tab w:val="left" w:pos="-720"/>
      </w:tabs>
      <w:spacing w:before="120" w:beforeAutospacing="0" w:after="120" w:afterAutospacing="0" w:line="240" w:lineRule="auto"/>
    </w:pPr>
    <w:rPr>
      <w:rFonts w:ascii="Times New Roman" w:eastAsia="Times New Roman"/>
      <w:i/>
      <w:sz w:val="24"/>
      <w:szCs w:val="24"/>
      <w:u w:val="single"/>
      <w:lang w:val="en-GB"/>
    </w:rPr>
  </w:style>
  <w:style w:type="paragraph" w:customStyle="1" w:styleId="2815">
    <w:name w:val="Paragraph 0"/>
    <w:basedOn w:val="1"/>
    <w:semiHidden/>
    <w:qFormat/>
    <w:uiPriority w:val="0"/>
    <w:pPr>
      <w:widowControl/>
      <w:tabs>
        <w:tab w:val="clear" w:pos="480"/>
      </w:tabs>
      <w:spacing w:before="120" w:after="120" w:line="240" w:lineRule="auto"/>
    </w:pPr>
    <w:rPr>
      <w:rFonts w:ascii="Arial" w:hAnsi="Arial" w:eastAsia="Times New Roman"/>
      <w:kern w:val="0"/>
      <w:lang w:val="en-GB"/>
    </w:rPr>
  </w:style>
  <w:style w:type="paragraph" w:customStyle="1" w:styleId="2816">
    <w:name w:val="正文王"/>
    <w:basedOn w:val="45"/>
    <w:semiHidden/>
    <w:qFormat/>
    <w:uiPriority w:val="0"/>
    <w:pPr>
      <w:snapToGrid w:val="0"/>
      <w:spacing w:line="440" w:lineRule="exact"/>
    </w:pPr>
    <w:rPr>
      <w:rFonts w:hint="eastAsia" w:ascii="Arial" w:hAnsi="Arial"/>
      <w:kern w:val="0"/>
      <w:sz w:val="24"/>
    </w:rPr>
  </w:style>
  <w:style w:type="character" w:customStyle="1" w:styleId="2817">
    <w:name w:val="正文四号 Char"/>
    <w:link w:val="2818"/>
    <w:qFormat/>
    <w:locked/>
    <w:uiPriority w:val="0"/>
    <w:rPr>
      <w:rFonts w:ascii="宋体" w:hAnsi="宋体" w:eastAsia="宋体"/>
      <w:sz w:val="28"/>
      <w:szCs w:val="24"/>
      <w:lang w:bidi="ar-SA"/>
    </w:rPr>
  </w:style>
  <w:style w:type="paragraph" w:customStyle="1" w:styleId="2818">
    <w:name w:val="正文四号"/>
    <w:basedOn w:val="1"/>
    <w:link w:val="2817"/>
    <w:semiHidden/>
    <w:qFormat/>
    <w:uiPriority w:val="0"/>
    <w:pPr>
      <w:tabs>
        <w:tab w:val="clear" w:pos="480"/>
      </w:tabs>
      <w:adjustRightInd w:val="0"/>
    </w:pPr>
    <w:rPr>
      <w:rFonts w:ascii="宋体" w:hAnsi="宋体"/>
      <w:kern w:val="0"/>
      <w:sz w:val="28"/>
      <w:lang w:val="zh-CN"/>
    </w:rPr>
  </w:style>
  <w:style w:type="paragraph" w:customStyle="1" w:styleId="2819">
    <w:name w:val="用户标题4"/>
    <w:next w:val="1"/>
    <w:semiHidden/>
    <w:qFormat/>
    <w:uiPriority w:val="0"/>
    <w:pPr>
      <w:widowControl w:val="0"/>
      <w:tabs>
        <w:tab w:val="left" w:pos="1200"/>
      </w:tabs>
      <w:adjustRightInd w:val="0"/>
      <w:snapToGrid w:val="0"/>
      <w:spacing w:line="520" w:lineRule="exact"/>
      <w:ind w:left="1200" w:hanging="720"/>
      <w:jc w:val="both"/>
      <w:outlineLvl w:val="3"/>
    </w:pPr>
    <w:rPr>
      <w:rFonts w:ascii="Times New Roman" w:hAnsi="Times New Roman" w:eastAsia="宋体" w:cs="Times New Roman"/>
      <w:kern w:val="2"/>
      <w:sz w:val="24"/>
      <w:szCs w:val="24"/>
      <w:lang w:val="en-US" w:eastAsia="zh-CN" w:bidi="ar-SA"/>
    </w:rPr>
  </w:style>
  <w:style w:type="paragraph" w:customStyle="1" w:styleId="2820">
    <w:name w:val="用户标题5"/>
    <w:next w:val="1"/>
    <w:semiHidden/>
    <w:qFormat/>
    <w:uiPriority w:val="0"/>
    <w:pPr>
      <w:widowControl w:val="0"/>
      <w:tabs>
        <w:tab w:val="left" w:pos="1021"/>
        <w:tab w:val="left" w:pos="1134"/>
      </w:tabs>
      <w:adjustRightInd w:val="0"/>
      <w:snapToGrid w:val="0"/>
      <w:spacing w:line="520" w:lineRule="exact"/>
      <w:ind w:left="1134" w:hanging="624"/>
      <w:jc w:val="both"/>
      <w:outlineLvl w:val="4"/>
    </w:pPr>
    <w:rPr>
      <w:rFonts w:ascii="Times New Roman" w:hAnsi="Times New Roman" w:eastAsia="宋体" w:cs="Times New Roman"/>
      <w:kern w:val="2"/>
      <w:sz w:val="24"/>
      <w:szCs w:val="24"/>
      <w:lang w:val="en-US" w:eastAsia="zh-CN" w:bidi="ar-SA"/>
    </w:rPr>
  </w:style>
  <w:style w:type="paragraph" w:customStyle="1" w:styleId="2821">
    <w:name w:val="朱正文"/>
    <w:basedOn w:val="1"/>
    <w:semiHidden/>
    <w:qFormat/>
    <w:uiPriority w:val="0"/>
    <w:pPr>
      <w:tabs>
        <w:tab w:val="clear" w:pos="480"/>
      </w:tabs>
      <w:spacing w:line="500" w:lineRule="exact"/>
    </w:pPr>
    <w:rPr>
      <w:sz w:val="28"/>
      <w:szCs w:val="28"/>
    </w:rPr>
  </w:style>
  <w:style w:type="paragraph" w:customStyle="1" w:styleId="2822">
    <w:name w:val="zxz5"/>
    <w:next w:val="1"/>
    <w:semiHidden/>
    <w:qFormat/>
    <w:uiPriority w:val="0"/>
    <w:pPr>
      <w:tabs>
        <w:tab w:val="left" w:pos="0"/>
      </w:tabs>
      <w:jc w:val="center"/>
    </w:pPr>
    <w:rPr>
      <w:rFonts w:ascii="宋体" w:hAnsi="宋体" w:eastAsia="Times New Roman" w:cs="宋体"/>
      <w:bCs/>
      <w:kern w:val="2"/>
      <w:sz w:val="18"/>
      <w:szCs w:val="18"/>
      <w:lang w:val="en-US" w:eastAsia="zh-CN" w:bidi="ar-SA"/>
    </w:rPr>
  </w:style>
  <w:style w:type="character" w:customStyle="1" w:styleId="2823">
    <w:name w:val="A   正文 Char Char"/>
    <w:link w:val="2824"/>
    <w:qFormat/>
    <w:locked/>
    <w:uiPriority w:val="0"/>
    <w:rPr>
      <w:rFonts w:ascii="黑体" w:hAnsi="黑体" w:eastAsia="黑体"/>
      <w:color w:val="000000"/>
      <w:sz w:val="28"/>
      <w:szCs w:val="24"/>
      <w:lang w:bidi="ar-SA"/>
    </w:rPr>
  </w:style>
  <w:style w:type="paragraph" w:customStyle="1" w:styleId="2824">
    <w:name w:val="A   正文"/>
    <w:basedOn w:val="1"/>
    <w:link w:val="2823"/>
    <w:semiHidden/>
    <w:qFormat/>
    <w:uiPriority w:val="0"/>
    <w:pPr>
      <w:widowControl/>
      <w:tabs>
        <w:tab w:val="clear" w:pos="480"/>
      </w:tabs>
      <w:snapToGrid w:val="0"/>
      <w:spacing w:before="120" w:after="60" w:line="300" w:lineRule="auto"/>
      <w:ind w:firstLine="560"/>
    </w:pPr>
    <w:rPr>
      <w:rFonts w:ascii="黑体" w:hAnsi="黑体" w:eastAsia="黑体"/>
      <w:color w:val="000000"/>
      <w:kern w:val="0"/>
      <w:sz w:val="28"/>
      <w:lang w:val="zh-CN"/>
    </w:rPr>
  </w:style>
  <w:style w:type="character" w:customStyle="1" w:styleId="2825">
    <w:name w:val="正文111 Char"/>
    <w:link w:val="2826"/>
    <w:qFormat/>
    <w:locked/>
    <w:uiPriority w:val="0"/>
    <w:rPr>
      <w:sz w:val="24"/>
      <w:szCs w:val="24"/>
      <w:lang w:bidi="ar-SA"/>
    </w:rPr>
  </w:style>
  <w:style w:type="paragraph" w:customStyle="1" w:styleId="2826">
    <w:name w:val="正文111"/>
    <w:basedOn w:val="1"/>
    <w:link w:val="2825"/>
    <w:semiHidden/>
    <w:qFormat/>
    <w:uiPriority w:val="0"/>
    <w:pPr>
      <w:tabs>
        <w:tab w:val="clear" w:pos="480"/>
      </w:tabs>
      <w:spacing w:line="440" w:lineRule="exact"/>
      <w:ind w:firstLine="480"/>
    </w:pPr>
    <w:rPr>
      <w:kern w:val="0"/>
      <w:lang w:val="zh-CN"/>
    </w:rPr>
  </w:style>
  <w:style w:type="character" w:customStyle="1" w:styleId="2827">
    <w:name w:val="报告 Char Char1 Char"/>
    <w:link w:val="2828"/>
    <w:qFormat/>
    <w:locked/>
    <w:uiPriority w:val="0"/>
    <w:rPr>
      <w:sz w:val="24"/>
      <w:lang w:bidi="ar-SA"/>
    </w:rPr>
  </w:style>
  <w:style w:type="paragraph" w:customStyle="1" w:styleId="2828">
    <w:name w:val="报告 Char Char1"/>
    <w:basedOn w:val="1"/>
    <w:link w:val="2827"/>
    <w:semiHidden/>
    <w:qFormat/>
    <w:uiPriority w:val="0"/>
    <w:pPr>
      <w:widowControl/>
      <w:tabs>
        <w:tab w:val="clear" w:pos="480"/>
      </w:tabs>
      <w:overflowPunct w:val="0"/>
      <w:autoSpaceDE w:val="0"/>
      <w:autoSpaceDN w:val="0"/>
      <w:adjustRightInd w:val="0"/>
      <w:spacing w:before="120" w:after="120" w:line="400" w:lineRule="atLeast"/>
    </w:pPr>
    <w:rPr>
      <w:kern w:val="0"/>
      <w:szCs w:val="20"/>
      <w:lang w:val="zh-CN"/>
    </w:rPr>
  </w:style>
  <w:style w:type="character" w:customStyle="1" w:styleId="2829">
    <w:name w:val="A正文 Char"/>
    <w:link w:val="2830"/>
    <w:qFormat/>
    <w:locked/>
    <w:uiPriority w:val="0"/>
    <w:rPr>
      <w:sz w:val="24"/>
      <w:szCs w:val="24"/>
      <w:lang w:bidi="ar-SA"/>
    </w:rPr>
  </w:style>
  <w:style w:type="paragraph" w:customStyle="1" w:styleId="2830">
    <w:name w:val="A正文"/>
    <w:basedOn w:val="1"/>
    <w:link w:val="2829"/>
    <w:semiHidden/>
    <w:qFormat/>
    <w:uiPriority w:val="0"/>
    <w:pPr>
      <w:widowControl/>
      <w:tabs>
        <w:tab w:val="clear" w:pos="480"/>
      </w:tabs>
      <w:adjustRightInd w:val="0"/>
      <w:snapToGrid w:val="0"/>
      <w:spacing w:beforeLines="50" w:line="300" w:lineRule="auto"/>
      <w:ind w:left="100" w:leftChars="100" w:right="100" w:rightChars="100"/>
      <w:jc w:val="left"/>
    </w:pPr>
    <w:rPr>
      <w:kern w:val="0"/>
      <w:lang w:val="zh-CN"/>
    </w:rPr>
  </w:style>
  <w:style w:type="character" w:customStyle="1" w:styleId="2831">
    <w:name w:val="A表头 Char"/>
    <w:link w:val="2832"/>
    <w:qFormat/>
    <w:locked/>
    <w:uiPriority w:val="0"/>
    <w:rPr>
      <w:rFonts w:ascii="黑体" w:hAnsi="黑体" w:eastAsia="黑体"/>
      <w:sz w:val="24"/>
      <w:szCs w:val="24"/>
      <w:lang w:bidi="ar-SA"/>
    </w:rPr>
  </w:style>
  <w:style w:type="paragraph" w:customStyle="1" w:styleId="2832">
    <w:name w:val="A表头"/>
    <w:basedOn w:val="1"/>
    <w:link w:val="2831"/>
    <w:semiHidden/>
    <w:qFormat/>
    <w:uiPriority w:val="0"/>
    <w:pPr>
      <w:widowControl/>
      <w:tabs>
        <w:tab w:val="clear" w:pos="480"/>
      </w:tabs>
      <w:adjustRightInd w:val="0"/>
      <w:snapToGrid w:val="0"/>
      <w:spacing w:beforeLines="20" w:line="240" w:lineRule="auto"/>
      <w:ind w:left="100" w:leftChars="100" w:right="100" w:rightChars="100"/>
      <w:jc w:val="left"/>
    </w:pPr>
    <w:rPr>
      <w:rFonts w:ascii="黑体" w:hAnsi="黑体" w:eastAsia="黑体"/>
      <w:kern w:val="0"/>
      <w:lang w:val="zh-CN"/>
    </w:rPr>
  </w:style>
  <w:style w:type="character" w:customStyle="1" w:styleId="2833">
    <w:name w:val="A标题三 Char"/>
    <w:link w:val="2834"/>
    <w:qFormat/>
    <w:locked/>
    <w:uiPriority w:val="0"/>
    <w:rPr>
      <w:rFonts w:ascii="宋体" w:hAnsi="宋体" w:eastAsia="宋体"/>
      <w:sz w:val="24"/>
      <w:szCs w:val="24"/>
      <w:lang w:bidi="ar-SA"/>
    </w:rPr>
  </w:style>
  <w:style w:type="paragraph" w:customStyle="1" w:styleId="2834">
    <w:name w:val="A标题三"/>
    <w:basedOn w:val="1"/>
    <w:link w:val="2833"/>
    <w:semiHidden/>
    <w:qFormat/>
    <w:uiPriority w:val="0"/>
    <w:pPr>
      <w:widowControl/>
      <w:tabs>
        <w:tab w:val="clear" w:pos="480"/>
      </w:tabs>
      <w:adjustRightInd w:val="0"/>
      <w:snapToGrid w:val="0"/>
      <w:spacing w:beforeLines="50"/>
      <w:jc w:val="left"/>
      <w:outlineLvl w:val="2"/>
    </w:pPr>
    <w:rPr>
      <w:rFonts w:ascii="宋体" w:hAnsi="宋体"/>
      <w:kern w:val="0"/>
      <w:lang w:val="zh-CN"/>
    </w:rPr>
  </w:style>
  <w:style w:type="paragraph" w:customStyle="1" w:styleId="2835">
    <w:name w:val="样式 样式 样式 标题 3标题 3 CharReHead 3 WSAh3H3B Head条标题1.1.1Section头... ..."/>
    <w:basedOn w:val="1"/>
    <w:semiHidden/>
    <w:qFormat/>
    <w:uiPriority w:val="0"/>
    <w:pPr>
      <w:keepNext/>
      <w:keepLines/>
      <w:tabs>
        <w:tab w:val="left" w:pos="720"/>
        <w:tab w:val="clear" w:pos="480"/>
      </w:tabs>
      <w:adjustRightInd w:val="0"/>
      <w:snapToGrid w:val="0"/>
      <w:spacing w:line="240" w:lineRule="auto"/>
      <w:jc w:val="left"/>
      <w:outlineLvl w:val="2"/>
    </w:pPr>
    <w:rPr>
      <w:rFonts w:cs="宋体"/>
      <w:b/>
      <w:bCs/>
      <w:kern w:val="0"/>
      <w:sz w:val="28"/>
      <w:szCs w:val="28"/>
      <w:lang w:val="zh-CN"/>
    </w:rPr>
  </w:style>
  <w:style w:type="paragraph" w:customStyle="1" w:styleId="2836">
    <w:name w:val="样式 楷体_GB2312 小四 行距: 1.5 倍行距 首行缩进:  2 字符"/>
    <w:basedOn w:val="5"/>
    <w:semiHidden/>
    <w:qFormat/>
    <w:uiPriority w:val="0"/>
    <w:pPr>
      <w:numPr>
        <w:ilvl w:val="0"/>
        <w:numId w:val="0"/>
      </w:numPr>
      <w:tabs>
        <w:tab w:val="clear" w:pos="480"/>
      </w:tabs>
      <w:spacing w:before="120" w:after="0"/>
      <w:ind w:firstLine="480" w:firstLineChars="200"/>
    </w:pPr>
    <w:rPr>
      <w:rFonts w:ascii="楷体_GB2312" w:hAnsi="Times New Roman" w:eastAsia="楷体_GB2312" w:cs="宋体"/>
      <w:bCs w:val="0"/>
      <w:sz w:val="24"/>
      <w:szCs w:val="20"/>
    </w:rPr>
  </w:style>
  <w:style w:type="paragraph" w:customStyle="1" w:styleId="2837">
    <w:name w:val="样式66"/>
    <w:basedOn w:val="1"/>
    <w:semiHidden/>
    <w:qFormat/>
    <w:uiPriority w:val="0"/>
    <w:pPr>
      <w:keepNext/>
      <w:keepLines/>
      <w:tabs>
        <w:tab w:val="left" w:pos="720"/>
        <w:tab w:val="left" w:pos="864"/>
        <w:tab w:val="clear" w:pos="480"/>
      </w:tabs>
      <w:spacing w:beforeLines="50" w:afterLines="50"/>
      <w:ind w:left="864" w:hanging="864"/>
      <w:outlineLvl w:val="3"/>
    </w:pPr>
    <w:rPr>
      <w:szCs w:val="28"/>
    </w:rPr>
  </w:style>
  <w:style w:type="paragraph" w:customStyle="1" w:styleId="2838">
    <w:name w:val="论文正文"/>
    <w:basedOn w:val="20"/>
    <w:semiHidden/>
    <w:qFormat/>
    <w:uiPriority w:val="0"/>
    <w:pPr>
      <w:tabs>
        <w:tab w:val="clear" w:pos="480"/>
      </w:tabs>
      <w:spacing w:line="240" w:lineRule="auto"/>
      <w:ind w:firstLine="480"/>
    </w:pPr>
    <w:rPr>
      <w:rFonts w:ascii="宋体" w:hAnsi="宋体"/>
      <w:kern w:val="0"/>
      <w:sz w:val="28"/>
      <w:szCs w:val="20"/>
    </w:rPr>
  </w:style>
  <w:style w:type="paragraph" w:customStyle="1" w:styleId="2839">
    <w:name w:val="样式 黑体 小四 加粗 行距: 固定值 20 磅"/>
    <w:basedOn w:val="1"/>
    <w:semiHidden/>
    <w:qFormat/>
    <w:uiPriority w:val="0"/>
    <w:pPr>
      <w:tabs>
        <w:tab w:val="clear" w:pos="480"/>
      </w:tabs>
      <w:spacing w:line="400" w:lineRule="exact"/>
    </w:pPr>
    <w:rPr>
      <w:rFonts w:ascii="黑体" w:eastAsia="黑体" w:cs="宋体"/>
      <w:b/>
      <w:bCs/>
      <w:sz w:val="28"/>
      <w:szCs w:val="20"/>
    </w:rPr>
  </w:style>
  <w:style w:type="paragraph" w:customStyle="1" w:styleId="2840">
    <w:name w:val="样式 标题 2节标题 2 Char Char Char Char + (西文) Times New Roman (中文) ...10"/>
    <w:basedOn w:val="3"/>
    <w:semiHidden/>
    <w:qFormat/>
    <w:uiPriority w:val="0"/>
    <w:pPr>
      <w:numPr>
        <w:ilvl w:val="0"/>
        <w:numId w:val="0"/>
      </w:numPr>
      <w:tabs>
        <w:tab w:val="clear" w:pos="480"/>
        <w:tab w:val="clear" w:pos="630"/>
      </w:tabs>
      <w:spacing w:after="260" w:line="412" w:lineRule="auto"/>
    </w:pPr>
    <w:rPr>
      <w:rFonts w:ascii="Arial" w:hAnsi="Arial"/>
      <w:color w:val="000000"/>
      <w:kern w:val="28"/>
      <w:sz w:val="30"/>
      <w:szCs w:val="30"/>
    </w:rPr>
  </w:style>
  <w:style w:type="paragraph" w:customStyle="1" w:styleId="2841">
    <w:name w:val="样式 标题 3 + 宋体 四号 段前: 0 磅 段后: 0 磅 行距: 单倍行距"/>
    <w:basedOn w:val="4"/>
    <w:semiHidden/>
    <w:qFormat/>
    <w:uiPriority w:val="0"/>
    <w:pPr>
      <w:numPr>
        <w:ilvl w:val="0"/>
        <w:numId w:val="0"/>
      </w:numPr>
      <w:tabs>
        <w:tab w:val="clear" w:pos="480"/>
        <w:tab w:val="clear" w:pos="840"/>
      </w:tabs>
      <w:spacing w:before="0" w:after="0" w:line="240" w:lineRule="auto"/>
    </w:pPr>
    <w:rPr>
      <w:rFonts w:ascii="Times New Roman" w:eastAsia="宋体"/>
      <w:sz w:val="28"/>
      <w:szCs w:val="28"/>
    </w:rPr>
  </w:style>
  <w:style w:type="paragraph" w:customStyle="1" w:styleId="2842">
    <w:name w:val="样式 首行缩进:  1.01 厘米"/>
    <w:basedOn w:val="1"/>
    <w:semiHidden/>
    <w:qFormat/>
    <w:uiPriority w:val="0"/>
    <w:pPr>
      <w:tabs>
        <w:tab w:val="clear" w:pos="480"/>
      </w:tabs>
      <w:spacing w:line="460" w:lineRule="exact"/>
      <w:ind w:firstLine="480"/>
    </w:pPr>
    <w:rPr>
      <w:color w:val="000000"/>
    </w:rPr>
  </w:style>
  <w:style w:type="paragraph" w:customStyle="1" w:styleId="2843">
    <w:name w:val="宗兴2级"/>
    <w:basedOn w:val="3"/>
    <w:semiHidden/>
    <w:qFormat/>
    <w:uiPriority w:val="0"/>
    <w:pPr>
      <w:numPr>
        <w:ilvl w:val="0"/>
        <w:numId w:val="0"/>
      </w:numPr>
      <w:tabs>
        <w:tab w:val="clear" w:pos="480"/>
        <w:tab w:val="clear" w:pos="630"/>
      </w:tabs>
      <w:spacing w:before="440" w:after="440" w:line="440" w:lineRule="exact"/>
    </w:pPr>
    <w:rPr>
      <w:rFonts w:ascii="Arial" w:hAnsi="Arial" w:eastAsia="黑体"/>
      <w:bCs w:val="0"/>
      <w:kern w:val="44"/>
      <w:szCs w:val="20"/>
    </w:rPr>
  </w:style>
  <w:style w:type="paragraph" w:customStyle="1" w:styleId="2844">
    <w:name w:val="样式 标题 4标题 14 + 加粗 无下划线 自动设置 段前: 3 磅 段后: 10 磅"/>
    <w:basedOn w:val="5"/>
    <w:semiHidden/>
    <w:qFormat/>
    <w:uiPriority w:val="0"/>
    <w:pPr>
      <w:keepLines w:val="0"/>
      <w:numPr>
        <w:ilvl w:val="0"/>
        <w:numId w:val="0"/>
      </w:numPr>
      <w:tabs>
        <w:tab w:val="left" w:pos="780"/>
        <w:tab w:val="clear" w:pos="480"/>
      </w:tabs>
      <w:adjustRightInd w:val="0"/>
      <w:snapToGrid w:val="0"/>
      <w:spacing w:before="60" w:after="200" w:line="240" w:lineRule="auto"/>
      <w:ind w:left="1703" w:leftChars="200" w:hanging="200" w:hangingChars="200"/>
    </w:pPr>
    <w:rPr>
      <w:rFonts w:ascii="Times New Roman" w:hAnsi="Times New Roman" w:eastAsia="宋体"/>
      <w:sz w:val="24"/>
      <w:szCs w:val="20"/>
    </w:rPr>
  </w:style>
  <w:style w:type="paragraph" w:customStyle="1" w:styleId="2845">
    <w:name w:val="样式 标题 2标题 21标题 121 + Times New Roman 小三 非加粗 黑色 段前: 8 磅 段..."/>
    <w:basedOn w:val="3"/>
    <w:semiHidden/>
    <w:qFormat/>
    <w:uiPriority w:val="0"/>
    <w:pPr>
      <w:numPr>
        <w:ilvl w:val="0"/>
        <w:numId w:val="0"/>
      </w:numPr>
      <w:tabs>
        <w:tab w:val="left" w:pos="360"/>
        <w:tab w:val="clear" w:pos="480"/>
        <w:tab w:val="clear" w:pos="630"/>
      </w:tabs>
      <w:spacing w:before="160" w:after="160" w:line="240" w:lineRule="auto"/>
    </w:pPr>
    <w:rPr>
      <w:rFonts w:eastAsia="黑体"/>
      <w:bCs w:val="0"/>
      <w:color w:val="000000"/>
      <w:kern w:val="0"/>
      <w:sz w:val="30"/>
      <w:szCs w:val="20"/>
    </w:rPr>
  </w:style>
  <w:style w:type="character" w:customStyle="1" w:styleId="2846">
    <w:name w:val="正文首行缩进 2 Char1"/>
    <w:semiHidden/>
    <w:qFormat/>
    <w:uiPriority w:val="0"/>
    <w:rPr>
      <w:rFonts w:ascii="Times New Roman" w:hAnsi="Times New Roman" w:eastAsia="宋体" w:cs="Times New Roman"/>
      <w:szCs w:val="24"/>
    </w:rPr>
  </w:style>
  <w:style w:type="paragraph" w:customStyle="1" w:styleId="2847">
    <w:name w:val="正文（韶关规划）"/>
    <w:basedOn w:val="87"/>
    <w:semiHidden/>
    <w:qFormat/>
    <w:uiPriority w:val="0"/>
    <w:pPr>
      <w:tabs>
        <w:tab w:val="left" w:pos="7996"/>
        <w:tab w:val="clear" w:pos="480"/>
      </w:tabs>
      <w:autoSpaceDE w:val="0"/>
      <w:autoSpaceDN w:val="0"/>
      <w:adjustRightInd w:val="0"/>
      <w:snapToGrid w:val="0"/>
      <w:spacing w:beforeLines="50"/>
      <w:ind w:left="0" w:leftChars="0" w:firstLine="480"/>
    </w:pPr>
    <w:rPr>
      <w:rFonts w:hint="eastAsia" w:hAnsi="宋体"/>
      <w:color w:val="000000"/>
      <w:kern w:val="0"/>
      <w:szCs w:val="22"/>
    </w:rPr>
  </w:style>
  <w:style w:type="paragraph" w:customStyle="1" w:styleId="2848">
    <w:name w:val="样式 标题 3标题 3 CharReHead 3 WSAh3H3B Head条标题1.1.1Section头..."/>
    <w:basedOn w:val="4"/>
    <w:semiHidden/>
    <w:qFormat/>
    <w:uiPriority w:val="0"/>
    <w:pPr>
      <w:numPr>
        <w:ilvl w:val="0"/>
        <w:numId w:val="0"/>
      </w:numPr>
      <w:tabs>
        <w:tab w:val="left" w:pos="720"/>
        <w:tab w:val="left" w:pos="1200"/>
        <w:tab w:val="clear" w:pos="480"/>
        <w:tab w:val="clear" w:pos="840"/>
      </w:tabs>
      <w:adjustRightInd w:val="0"/>
      <w:snapToGrid w:val="0"/>
      <w:spacing w:beforeLines="50" w:afterLines="50" w:line="360" w:lineRule="auto"/>
      <w:ind w:left="1200" w:leftChars="400" w:hanging="360" w:hangingChars="200"/>
      <w:jc w:val="left"/>
    </w:pPr>
    <w:rPr>
      <w:rFonts w:ascii="Times New Roman" w:eastAsia="宋体" w:cs="宋体"/>
      <w:kern w:val="0"/>
      <w:szCs w:val="30"/>
    </w:rPr>
  </w:style>
  <w:style w:type="paragraph" w:customStyle="1" w:styleId="2849">
    <w:name w:val="样式31"/>
    <w:basedOn w:val="1"/>
    <w:semiHidden/>
    <w:qFormat/>
    <w:uiPriority w:val="0"/>
    <w:pPr>
      <w:tabs>
        <w:tab w:val="clear" w:pos="480"/>
      </w:tabs>
      <w:adjustRightInd w:val="0"/>
      <w:snapToGrid w:val="0"/>
      <w:ind w:firstLine="1661" w:firstLineChars="788"/>
    </w:pPr>
    <w:rPr>
      <w:rFonts w:hAnsi="宋体"/>
      <w:b/>
      <w:szCs w:val="21"/>
    </w:rPr>
  </w:style>
  <w:style w:type="paragraph" w:customStyle="1" w:styleId="2850">
    <w:name w:val="a封面－项目名称"/>
    <w:basedOn w:val="1"/>
    <w:next w:val="1"/>
    <w:semiHidden/>
    <w:qFormat/>
    <w:uiPriority w:val="0"/>
    <w:pPr>
      <w:tabs>
        <w:tab w:val="clear" w:pos="480"/>
      </w:tabs>
      <w:spacing w:beforeLines="50" w:afterLines="50"/>
      <w:jc w:val="center"/>
    </w:pPr>
    <w:rPr>
      <w:rFonts w:eastAsia="黑体"/>
      <w:b/>
      <w:sz w:val="48"/>
    </w:rPr>
  </w:style>
  <w:style w:type="paragraph" w:customStyle="1" w:styleId="2851">
    <w:name w:val="样式 标题 2标题 21标题 121 + Times New Roman 小三 非加粗 黑色 段前: 8 磅 段...3"/>
    <w:basedOn w:val="1"/>
    <w:semiHidden/>
    <w:qFormat/>
    <w:uiPriority w:val="0"/>
    <w:pPr>
      <w:tabs>
        <w:tab w:val="left" w:pos="567"/>
        <w:tab w:val="left" w:pos="1620"/>
        <w:tab w:val="clear" w:pos="480"/>
      </w:tabs>
      <w:spacing w:line="240" w:lineRule="auto"/>
      <w:ind w:left="1620" w:leftChars="600" w:hanging="360" w:hangingChars="200"/>
    </w:pPr>
    <w:rPr>
      <w:sz w:val="28"/>
    </w:rPr>
  </w:style>
  <w:style w:type="paragraph" w:customStyle="1" w:styleId="2852">
    <w:name w:val="样式 标题 4标题 14 + 加粗 无下划线 自动设置 段前: 3 磅 段后: 10 磅4"/>
    <w:basedOn w:val="5"/>
    <w:semiHidden/>
    <w:qFormat/>
    <w:uiPriority w:val="0"/>
    <w:pPr>
      <w:keepLines w:val="0"/>
      <w:numPr>
        <w:ilvl w:val="0"/>
        <w:numId w:val="0"/>
      </w:numPr>
      <w:tabs>
        <w:tab w:val="left" w:pos="864"/>
        <w:tab w:val="clear" w:pos="480"/>
      </w:tabs>
      <w:adjustRightInd w:val="0"/>
      <w:snapToGrid w:val="0"/>
      <w:spacing w:before="60" w:after="200" w:line="240" w:lineRule="auto"/>
      <w:ind w:left="864" w:hanging="864"/>
    </w:pPr>
    <w:rPr>
      <w:rFonts w:ascii="Times New Roman" w:hAnsi="Times New Roman" w:eastAsia="宋体"/>
      <w:sz w:val="24"/>
      <w:szCs w:val="20"/>
    </w:rPr>
  </w:style>
  <w:style w:type="paragraph" w:customStyle="1" w:styleId="2853">
    <w:name w:val="样式 黑体 小四 加粗 行距: 固定值 20 磅1"/>
    <w:basedOn w:val="1"/>
    <w:semiHidden/>
    <w:qFormat/>
    <w:uiPriority w:val="0"/>
    <w:pPr>
      <w:tabs>
        <w:tab w:val="clear" w:pos="480"/>
      </w:tabs>
      <w:spacing w:line="400" w:lineRule="exact"/>
    </w:pPr>
    <w:rPr>
      <w:rFonts w:ascii="黑体" w:cs="宋体"/>
      <w:b/>
      <w:bCs/>
      <w:szCs w:val="20"/>
    </w:rPr>
  </w:style>
  <w:style w:type="paragraph" w:customStyle="1" w:styleId="2854">
    <w:name w:val="样式 正文缩进正文缩进 Char首行缩进两字s4文本条款 + 宋体"/>
    <w:basedOn w:val="20"/>
    <w:semiHidden/>
    <w:qFormat/>
    <w:uiPriority w:val="0"/>
    <w:pPr>
      <w:tabs>
        <w:tab w:val="clear" w:pos="480"/>
      </w:tabs>
      <w:adjustRightInd w:val="0"/>
      <w:snapToGrid w:val="0"/>
      <w:spacing w:beforeLines="50" w:afterLines="50"/>
      <w:ind w:firstLine="0" w:firstLineChars="0"/>
    </w:pPr>
    <w:rPr>
      <w:rFonts w:ascii="宋体" w:hAnsi="宋体"/>
      <w:kern w:val="0"/>
      <w:szCs w:val="20"/>
    </w:rPr>
  </w:style>
  <w:style w:type="paragraph" w:customStyle="1" w:styleId="2855">
    <w:name w:val="Char2 Char Char Char Char Char Char Char Char Char"/>
    <w:basedOn w:val="1"/>
    <w:qFormat/>
    <w:uiPriority w:val="0"/>
    <w:pPr>
      <w:tabs>
        <w:tab w:val="clear" w:pos="480"/>
      </w:tabs>
    </w:pPr>
    <w:rPr>
      <w:rFonts w:ascii="宋体" w:hAnsi="宋体" w:cs="宋体"/>
    </w:rPr>
  </w:style>
  <w:style w:type="paragraph" w:customStyle="1" w:styleId="2856">
    <w:name w:val="正文四号缩进"/>
    <w:basedOn w:val="1"/>
    <w:semiHidden/>
    <w:qFormat/>
    <w:uiPriority w:val="0"/>
    <w:pPr>
      <w:tabs>
        <w:tab w:val="clear" w:pos="480"/>
      </w:tabs>
      <w:spacing w:after="50" w:line="240" w:lineRule="auto"/>
    </w:pPr>
    <w:rPr>
      <w:rFonts w:ascii="宋体"/>
      <w:spacing w:val="10"/>
      <w:szCs w:val="20"/>
    </w:rPr>
  </w:style>
  <w:style w:type="character" w:customStyle="1" w:styleId="2857">
    <w:name w:val="样式 真宗兴3级标题 + 四号 行距: 单倍行距 Char"/>
    <w:link w:val="2858"/>
    <w:qFormat/>
    <w:locked/>
    <w:uiPriority w:val="0"/>
    <w:rPr>
      <w:rFonts w:ascii="宋体" w:hAnsi="宋体" w:eastAsia="宋体"/>
      <w:b/>
      <w:bCs/>
      <w:sz w:val="28"/>
      <w:lang w:bidi="ar-SA"/>
    </w:rPr>
  </w:style>
  <w:style w:type="paragraph" w:customStyle="1" w:styleId="2858">
    <w:name w:val="样式 真宗兴3级标题 + 四号 行距: 单倍行距"/>
    <w:basedOn w:val="1"/>
    <w:link w:val="2857"/>
    <w:semiHidden/>
    <w:qFormat/>
    <w:uiPriority w:val="0"/>
    <w:pPr>
      <w:keepNext/>
      <w:tabs>
        <w:tab w:val="clear" w:pos="480"/>
      </w:tabs>
      <w:spacing w:before="240" w:after="240" w:line="400" w:lineRule="exact"/>
      <w:outlineLvl w:val="2"/>
    </w:pPr>
    <w:rPr>
      <w:rFonts w:ascii="宋体" w:hAnsi="宋体"/>
      <w:b/>
      <w:bCs/>
      <w:kern w:val="0"/>
      <w:sz w:val="28"/>
      <w:szCs w:val="20"/>
      <w:lang w:val="zh-CN"/>
    </w:rPr>
  </w:style>
  <w:style w:type="paragraph" w:customStyle="1" w:styleId="2859">
    <w:name w:val="表内式样"/>
    <w:semiHidden/>
    <w:qFormat/>
    <w:uiPriority w:val="0"/>
    <w:pPr>
      <w:widowControl w:val="0"/>
      <w:spacing w:line="240" w:lineRule="exact"/>
      <w:jc w:val="center"/>
    </w:pPr>
    <w:rPr>
      <w:rFonts w:ascii="Times New Roman" w:hAnsi="Times New Roman" w:eastAsia="宋体" w:cs="Times New Roman"/>
      <w:kern w:val="2"/>
      <w:sz w:val="21"/>
      <w:szCs w:val="24"/>
      <w:lang w:val="en-US" w:eastAsia="zh-CN" w:bidi="ar-SA"/>
    </w:rPr>
  </w:style>
  <w:style w:type="paragraph" w:customStyle="1" w:styleId="2860">
    <w:name w:val="正缩1"/>
    <w:basedOn w:val="1"/>
    <w:semiHidden/>
    <w:qFormat/>
    <w:uiPriority w:val="0"/>
    <w:pPr>
      <w:tabs>
        <w:tab w:val="clear" w:pos="480"/>
      </w:tabs>
      <w:snapToGrid w:val="0"/>
      <w:spacing w:line="500" w:lineRule="exact"/>
      <w:ind w:firstLine="567"/>
    </w:pPr>
    <w:rPr>
      <w:rFonts w:eastAsia="仿宋_GB2312"/>
      <w:color w:val="000000"/>
      <w:kern w:val="0"/>
      <w:sz w:val="28"/>
      <w:szCs w:val="20"/>
    </w:rPr>
  </w:style>
  <w:style w:type="paragraph" w:customStyle="1" w:styleId="2861">
    <w:name w:val="Retrait 1"/>
    <w:basedOn w:val="1"/>
    <w:semiHidden/>
    <w:qFormat/>
    <w:uiPriority w:val="0"/>
    <w:pPr>
      <w:widowControl/>
      <w:tabs>
        <w:tab w:val="clear" w:pos="480"/>
      </w:tabs>
      <w:overflowPunct w:val="0"/>
      <w:autoSpaceDE w:val="0"/>
      <w:autoSpaceDN w:val="0"/>
      <w:adjustRightInd w:val="0"/>
      <w:spacing w:before="120" w:line="240" w:lineRule="auto"/>
      <w:ind w:left="851"/>
    </w:pPr>
    <w:rPr>
      <w:rFonts w:ascii="Arial" w:hAnsi="Arial"/>
      <w:color w:val="000000"/>
      <w:kern w:val="0"/>
      <w:sz w:val="22"/>
      <w:lang w:val="en-GB"/>
    </w:rPr>
  </w:style>
  <w:style w:type="character" w:customStyle="1" w:styleId="2862">
    <w:name w:val="样式 首行缩进:  2 字符1 Char"/>
    <w:link w:val="1145"/>
    <w:qFormat/>
    <w:locked/>
    <w:uiPriority w:val="0"/>
    <w:rPr>
      <w:rFonts w:ascii="宋体" w:hAnsi="宋体" w:eastAsia="宋体" w:cs="宋体"/>
      <w:sz w:val="24"/>
      <w:szCs w:val="24"/>
      <w:lang w:val="en-US" w:eastAsia="zh-CN" w:bidi="ar-SA"/>
    </w:rPr>
  </w:style>
  <w:style w:type="character" w:customStyle="1" w:styleId="2863">
    <w:name w:val="样式 标题 3标题 131.1.1条标题 3 Char Char标题 3 Char标3§1.1.1.. (1.1...3 Char"/>
    <w:link w:val="2864"/>
    <w:qFormat/>
    <w:locked/>
    <w:uiPriority w:val="0"/>
    <w:rPr>
      <w:rFonts w:ascii="Arial" w:hAnsi="Arial" w:eastAsia="黑体"/>
      <w:b/>
      <w:sz w:val="30"/>
      <w:szCs w:val="24"/>
      <w:lang w:bidi="ar-SA"/>
    </w:rPr>
  </w:style>
  <w:style w:type="paragraph" w:customStyle="1" w:styleId="2864">
    <w:name w:val="样式 标题 3标题 131.1.1条标题 3 Char Char标题 3 Char标3§1.1.1.. (1.1...3"/>
    <w:basedOn w:val="4"/>
    <w:link w:val="2863"/>
    <w:semiHidden/>
    <w:qFormat/>
    <w:uiPriority w:val="0"/>
    <w:pPr>
      <w:widowControl/>
      <w:numPr>
        <w:ilvl w:val="0"/>
        <w:numId w:val="0"/>
      </w:numPr>
      <w:tabs>
        <w:tab w:val="left" w:pos="992"/>
        <w:tab w:val="clear" w:pos="480"/>
        <w:tab w:val="clear" w:pos="840"/>
      </w:tabs>
      <w:overflowPunct w:val="0"/>
      <w:autoSpaceDE w:val="0"/>
      <w:autoSpaceDN w:val="0"/>
      <w:adjustRightInd w:val="0"/>
      <w:spacing w:before="100" w:after="100" w:line="360" w:lineRule="auto"/>
    </w:pPr>
    <w:rPr>
      <w:rFonts w:ascii="Arial" w:hAnsi="Arial" w:eastAsia="黑体"/>
      <w:bCs w:val="0"/>
      <w:kern w:val="0"/>
      <w:szCs w:val="24"/>
    </w:rPr>
  </w:style>
  <w:style w:type="character" w:customStyle="1" w:styleId="2865">
    <w:name w:val="正文 + 首行缩进:  2 字符 Char Char"/>
    <w:link w:val="2866"/>
    <w:qFormat/>
    <w:locked/>
    <w:uiPriority w:val="0"/>
    <w:rPr>
      <w:rFonts w:ascii="宋体" w:hAnsi="宋体" w:eastAsia="宋体"/>
      <w:sz w:val="24"/>
      <w:szCs w:val="24"/>
      <w:lang w:bidi="ar-SA"/>
    </w:rPr>
  </w:style>
  <w:style w:type="paragraph" w:customStyle="1" w:styleId="2866">
    <w:name w:val="正文 + 首行缩进:  2 字符 Char"/>
    <w:basedOn w:val="1"/>
    <w:link w:val="2865"/>
    <w:semiHidden/>
    <w:qFormat/>
    <w:uiPriority w:val="0"/>
    <w:pPr>
      <w:tabs>
        <w:tab w:val="clear" w:pos="480"/>
      </w:tabs>
      <w:ind w:firstLine="480"/>
    </w:pPr>
    <w:rPr>
      <w:rFonts w:ascii="宋体" w:hAnsi="宋体"/>
      <w:kern w:val="0"/>
      <w:lang w:val="zh-CN"/>
    </w:rPr>
  </w:style>
  <w:style w:type="paragraph" w:customStyle="1" w:styleId="2867">
    <w:name w:val="样式 样式 样式 标题 3标题 13标题 3 Char1 Char Char Char标题 31ReHead 3 WSAh3B...."/>
    <w:basedOn w:val="1"/>
    <w:semiHidden/>
    <w:qFormat/>
    <w:uiPriority w:val="0"/>
    <w:pPr>
      <w:keepNext/>
      <w:keepLines/>
      <w:tabs>
        <w:tab w:val="clear" w:pos="480"/>
      </w:tabs>
      <w:spacing w:beforeLines="50" w:afterLines="50" w:line="460" w:lineRule="exact"/>
      <w:outlineLvl w:val="2"/>
    </w:pPr>
    <w:rPr>
      <w:rFonts w:cs="宋体"/>
      <w:b/>
      <w:bCs/>
      <w:color w:val="000000"/>
      <w:szCs w:val="20"/>
    </w:rPr>
  </w:style>
  <w:style w:type="paragraph" w:customStyle="1" w:styleId="2868">
    <w:name w:val="p1"/>
    <w:basedOn w:val="1"/>
    <w:semiHidden/>
    <w:qFormat/>
    <w:uiPriority w:val="0"/>
    <w:pPr>
      <w:widowControl/>
      <w:tabs>
        <w:tab w:val="clear" w:pos="480"/>
      </w:tabs>
      <w:spacing w:before="100" w:beforeAutospacing="1" w:after="100" w:afterAutospacing="1"/>
      <w:ind w:firstLine="465"/>
      <w:jc w:val="left"/>
    </w:pPr>
    <w:rPr>
      <w:rFonts w:ascii="ˎ̥" w:hAnsi="ˎ̥"/>
      <w:kern w:val="0"/>
      <w:sz w:val="22"/>
      <w:szCs w:val="20"/>
    </w:rPr>
  </w:style>
  <w:style w:type="paragraph" w:customStyle="1" w:styleId="2869">
    <w:name w:val="样式 标题 4标题 14H4 + 段前: 0.5 行 段后: 0.5 行 行距: 1.5 倍行距"/>
    <w:basedOn w:val="5"/>
    <w:semiHidden/>
    <w:qFormat/>
    <w:uiPriority w:val="0"/>
    <w:pPr>
      <w:widowControl/>
      <w:numPr>
        <w:ilvl w:val="0"/>
        <w:numId w:val="0"/>
      </w:numPr>
      <w:tabs>
        <w:tab w:val="clear" w:pos="480"/>
      </w:tabs>
      <w:overflowPunct w:val="0"/>
      <w:autoSpaceDE w:val="0"/>
      <w:autoSpaceDN w:val="0"/>
      <w:adjustRightInd w:val="0"/>
      <w:spacing w:beforeLines="50" w:afterLines="50"/>
    </w:pPr>
    <w:rPr>
      <w:rFonts w:ascii="Times New Roman" w:hAnsi="Times New Roman" w:eastAsia="宋体" w:cs="宋体"/>
      <w:b w:val="0"/>
      <w:bCs w:val="0"/>
      <w:kern w:val="0"/>
      <w:sz w:val="24"/>
      <w:szCs w:val="20"/>
    </w:rPr>
  </w:style>
  <w:style w:type="paragraph" w:customStyle="1" w:styleId="2870">
    <w:name w:val="样式 标题 2标题2SeHead wsa2H21标题 1.1Chapter TitleChapter节标题 1..."/>
    <w:basedOn w:val="3"/>
    <w:semiHidden/>
    <w:qFormat/>
    <w:uiPriority w:val="0"/>
    <w:pPr>
      <w:numPr>
        <w:ilvl w:val="0"/>
        <w:numId w:val="0"/>
      </w:numPr>
      <w:tabs>
        <w:tab w:val="left" w:pos="720"/>
        <w:tab w:val="left" w:pos="1200"/>
        <w:tab w:val="clear" w:pos="480"/>
        <w:tab w:val="clear" w:pos="630"/>
      </w:tabs>
      <w:spacing w:before="0" w:after="0"/>
      <w:ind w:left="1200" w:leftChars="400" w:hanging="360" w:hangingChars="200"/>
      <w:jc w:val="left"/>
    </w:pPr>
    <w:rPr>
      <w:rFonts w:cs="宋体"/>
      <w:kern w:val="0"/>
      <w:sz w:val="30"/>
      <w:szCs w:val="30"/>
    </w:rPr>
  </w:style>
  <w:style w:type="paragraph" w:customStyle="1" w:styleId="2871">
    <w:name w:val="报告表正文"/>
    <w:basedOn w:val="1"/>
    <w:link w:val="3599"/>
    <w:qFormat/>
    <w:uiPriority w:val="0"/>
    <w:pPr>
      <w:tabs>
        <w:tab w:val="clear" w:pos="480"/>
      </w:tabs>
      <w:adjustRightInd w:val="0"/>
      <w:spacing w:line="300" w:lineRule="auto"/>
      <w:ind w:left="113" w:right="113"/>
    </w:pPr>
    <w:rPr>
      <w:kern w:val="0"/>
      <w:szCs w:val="20"/>
    </w:rPr>
  </w:style>
  <w:style w:type="paragraph" w:customStyle="1" w:styleId="2872">
    <w:name w:val="样式 标题 4标题 14 + 加粗 无下划线 自动设置 段前: 3 磅 段后: 10 磅1"/>
    <w:basedOn w:val="5"/>
    <w:semiHidden/>
    <w:qFormat/>
    <w:uiPriority w:val="0"/>
    <w:pPr>
      <w:keepLines w:val="0"/>
      <w:numPr>
        <w:ilvl w:val="0"/>
        <w:numId w:val="0"/>
      </w:numPr>
      <w:tabs>
        <w:tab w:val="left" w:pos="2040"/>
        <w:tab w:val="left" w:pos="2356"/>
        <w:tab w:val="clear" w:pos="480"/>
      </w:tabs>
      <w:adjustRightInd w:val="0"/>
      <w:snapToGrid w:val="0"/>
      <w:spacing w:before="60" w:after="200" w:line="240" w:lineRule="auto"/>
      <w:ind w:left="2040" w:leftChars="800" w:hanging="360" w:hangingChars="200"/>
    </w:pPr>
    <w:rPr>
      <w:rFonts w:ascii="Times New Roman" w:hAnsi="Times New Roman" w:eastAsia="宋体"/>
      <w:sz w:val="24"/>
      <w:szCs w:val="20"/>
    </w:rPr>
  </w:style>
  <w:style w:type="paragraph" w:customStyle="1" w:styleId="2873">
    <w:name w:val="标准-正文"/>
    <w:semiHidden/>
    <w:qFormat/>
    <w:uiPriority w:val="0"/>
    <w:pPr>
      <w:widowControl w:val="0"/>
      <w:adjustRightInd w:val="0"/>
      <w:snapToGrid w:val="0"/>
      <w:spacing w:line="520" w:lineRule="exact"/>
      <w:jc w:val="center"/>
    </w:pPr>
    <w:rPr>
      <w:rFonts w:ascii="宋体" w:hAnsi="宋体" w:eastAsia="宋体" w:cs="Times New Roman"/>
      <w:kern w:val="2"/>
      <w:sz w:val="24"/>
      <w:szCs w:val="24"/>
      <w:lang w:val="en-US" w:eastAsia="zh-CN" w:bidi="ar-SA"/>
    </w:rPr>
  </w:style>
  <w:style w:type="paragraph" w:customStyle="1" w:styleId="2874">
    <w:name w:val="Char Char Char1 Char Char Char Char Char Char Char1"/>
    <w:basedOn w:val="1"/>
    <w:semiHidden/>
    <w:qFormat/>
    <w:uiPriority w:val="0"/>
    <w:pPr>
      <w:widowControl/>
      <w:tabs>
        <w:tab w:val="clear" w:pos="480"/>
      </w:tabs>
      <w:adjustRightInd w:val="0"/>
      <w:spacing w:after="160" w:line="240" w:lineRule="exact"/>
      <w:jc w:val="left"/>
    </w:pPr>
    <w:rPr>
      <w:rFonts w:ascii="Verdana" w:hAnsi="Verdana"/>
      <w:kern w:val="0"/>
      <w:sz w:val="20"/>
      <w:szCs w:val="20"/>
      <w:lang w:eastAsia="en-US"/>
    </w:rPr>
  </w:style>
  <w:style w:type="character" w:customStyle="1" w:styleId="2875">
    <w:name w:val="样式13 Char"/>
    <w:link w:val="944"/>
    <w:qFormat/>
    <w:locked/>
    <w:uiPriority w:val="0"/>
    <w:rPr>
      <w:rFonts w:ascii="Arial" w:hAnsi="Arial" w:eastAsia="宋体" w:cs="Arial"/>
      <w:b/>
      <w:kern w:val="44"/>
      <w:sz w:val="28"/>
      <w:szCs w:val="28"/>
      <w:lang w:val="en-US" w:eastAsia="zh-CN" w:bidi="ar-SA"/>
    </w:rPr>
  </w:style>
  <w:style w:type="character" w:customStyle="1" w:styleId="2876">
    <w:name w:val="君邦正文 Char1"/>
    <w:link w:val="2877"/>
    <w:qFormat/>
    <w:locked/>
    <w:uiPriority w:val="0"/>
    <w:rPr>
      <w:rFonts w:eastAsia="Times New Roman"/>
      <w:bCs/>
      <w:kern w:val="2"/>
      <w:sz w:val="24"/>
      <w:szCs w:val="22"/>
      <w:lang w:val="en-US" w:eastAsia="zh-CN" w:bidi="ar-SA"/>
    </w:rPr>
  </w:style>
  <w:style w:type="paragraph" w:customStyle="1" w:styleId="2877">
    <w:name w:val="君邦正文"/>
    <w:link w:val="2876"/>
    <w:qFormat/>
    <w:uiPriority w:val="0"/>
    <w:pPr>
      <w:snapToGrid w:val="0"/>
      <w:spacing w:after="60" w:line="360" w:lineRule="auto"/>
      <w:ind w:firstLine="480" w:firstLineChars="200"/>
      <w:jc w:val="both"/>
    </w:pPr>
    <w:rPr>
      <w:rFonts w:ascii="Times New Roman" w:hAnsi="Times New Roman" w:eastAsia="Times New Roman" w:cs="Times New Roman"/>
      <w:bCs/>
      <w:kern w:val="2"/>
      <w:sz w:val="24"/>
      <w:szCs w:val="22"/>
      <w:lang w:val="en-US" w:eastAsia="zh-CN" w:bidi="ar-SA"/>
    </w:rPr>
  </w:style>
  <w:style w:type="paragraph" w:customStyle="1" w:styleId="2878">
    <w:name w:val="CM100"/>
    <w:basedOn w:val="151"/>
    <w:next w:val="151"/>
    <w:semiHidden/>
    <w:qFormat/>
    <w:uiPriority w:val="0"/>
    <w:pPr>
      <w:spacing w:after="255"/>
    </w:pPr>
    <w:rPr>
      <w:rFonts w:ascii="宋体" w:eastAsia="宋体" w:cs="Times New Roman"/>
      <w:color w:val="auto"/>
    </w:rPr>
  </w:style>
  <w:style w:type="paragraph" w:customStyle="1" w:styleId="2879">
    <w:name w:val="7表格(治)"/>
    <w:semiHidden/>
    <w:qFormat/>
    <w:uiPriority w:val="0"/>
    <w:pPr>
      <w:jc w:val="center"/>
    </w:pPr>
    <w:rPr>
      <w:rFonts w:ascii="Arial" w:hAnsi="Arial" w:eastAsia="楷体_GB2312" w:cs="Times New Roman"/>
      <w:kern w:val="2"/>
      <w:sz w:val="21"/>
      <w:szCs w:val="24"/>
      <w:lang w:val="en-US" w:eastAsia="zh-CN" w:bidi="ar-SA"/>
    </w:rPr>
  </w:style>
  <w:style w:type="character" w:customStyle="1" w:styleId="2880">
    <w:name w:val="样式18 Char"/>
    <w:link w:val="1167"/>
    <w:qFormat/>
    <w:locked/>
    <w:uiPriority w:val="0"/>
    <w:rPr>
      <w:rFonts w:ascii="Arial" w:hAnsi="Arial" w:eastAsia="宋体" w:cs="宋体"/>
      <w:b/>
      <w:sz w:val="24"/>
      <w:szCs w:val="24"/>
      <w:lang w:bidi="ar-SA"/>
    </w:rPr>
  </w:style>
  <w:style w:type="paragraph" w:customStyle="1" w:styleId="2881">
    <w:name w:val="样式 样式1 + 居中"/>
    <w:basedOn w:val="1"/>
    <w:semiHidden/>
    <w:qFormat/>
    <w:uiPriority w:val="0"/>
    <w:pPr>
      <w:tabs>
        <w:tab w:val="clear" w:pos="480"/>
      </w:tabs>
      <w:spacing w:line="240" w:lineRule="auto"/>
      <w:jc w:val="center"/>
    </w:pPr>
    <w:rPr>
      <w:szCs w:val="20"/>
    </w:rPr>
  </w:style>
  <w:style w:type="paragraph" w:customStyle="1" w:styleId="2882">
    <w:name w:val="我的标题2"/>
    <w:basedOn w:val="1"/>
    <w:semiHidden/>
    <w:qFormat/>
    <w:uiPriority w:val="0"/>
    <w:pPr>
      <w:tabs>
        <w:tab w:val="clear" w:pos="480"/>
      </w:tabs>
      <w:spacing w:line="240" w:lineRule="auto"/>
      <w:ind w:firstLine="576" w:firstLineChars="192"/>
    </w:pPr>
    <w:rPr>
      <w:rFonts w:ascii="黑体" w:eastAsia="黑体"/>
      <w:sz w:val="30"/>
    </w:rPr>
  </w:style>
  <w:style w:type="paragraph" w:customStyle="1" w:styleId="2883">
    <w:name w:val="style24"/>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sz w:val="20"/>
      <w:szCs w:val="20"/>
    </w:rPr>
  </w:style>
  <w:style w:type="character" w:customStyle="1" w:styleId="2884">
    <w:name w:val="四级标题 Char"/>
    <w:link w:val="2885"/>
    <w:qFormat/>
    <w:locked/>
    <w:uiPriority w:val="0"/>
    <w:rPr>
      <w:rFonts w:ascii="宋体" w:hAnsi="宋体" w:eastAsia="宋体"/>
      <w:bCs/>
      <w:sz w:val="24"/>
      <w:szCs w:val="24"/>
      <w:lang w:bidi="ar-SA"/>
    </w:rPr>
  </w:style>
  <w:style w:type="paragraph" w:customStyle="1" w:styleId="2885">
    <w:name w:val="四级标题"/>
    <w:basedOn w:val="5"/>
    <w:link w:val="2884"/>
    <w:semiHidden/>
    <w:qFormat/>
    <w:uiPriority w:val="0"/>
    <w:pPr>
      <w:numPr>
        <w:ilvl w:val="0"/>
        <w:numId w:val="0"/>
      </w:numPr>
      <w:tabs>
        <w:tab w:val="clear" w:pos="480"/>
      </w:tabs>
      <w:spacing w:beforeLines="50" w:afterLines="50"/>
    </w:pPr>
    <w:rPr>
      <w:rFonts w:ascii="宋体" w:eastAsia="宋体"/>
      <w:b w:val="0"/>
      <w:kern w:val="0"/>
      <w:sz w:val="24"/>
      <w:szCs w:val="24"/>
    </w:rPr>
  </w:style>
  <w:style w:type="character" w:customStyle="1" w:styleId="2886">
    <w:name w:val="样式20 Char"/>
    <w:link w:val="1169"/>
    <w:qFormat/>
    <w:locked/>
    <w:uiPriority w:val="0"/>
    <w:rPr>
      <w:rFonts w:ascii="Arial" w:hAnsi="Arial" w:eastAsia="宋体" w:cs="宋体"/>
      <w:b/>
      <w:sz w:val="24"/>
      <w:szCs w:val="24"/>
      <w:lang w:bidi="ar-SA"/>
    </w:rPr>
  </w:style>
  <w:style w:type="paragraph" w:customStyle="1" w:styleId="2887">
    <w:name w:val="表中正文居中"/>
    <w:semiHidden/>
    <w:qFormat/>
    <w:uiPriority w:val="0"/>
    <w:pPr>
      <w:spacing w:before="120" w:after="120" w:line="240" w:lineRule="atLeast"/>
      <w:jc w:val="center"/>
    </w:pPr>
    <w:rPr>
      <w:rFonts w:ascii="宋体" w:hAnsi="Times New Roman" w:eastAsia="宋体" w:cs="Times New Roman"/>
      <w:kern w:val="2"/>
      <w:sz w:val="21"/>
      <w:szCs w:val="24"/>
      <w:lang w:val="en-US" w:eastAsia="zh-CN" w:bidi="ar-SA"/>
    </w:rPr>
  </w:style>
  <w:style w:type="paragraph" w:customStyle="1" w:styleId="2888">
    <w:name w:val="样式 标题 2 + 左侧:  1 字符 右侧:  0.25 厘米"/>
    <w:basedOn w:val="3"/>
    <w:semiHidden/>
    <w:qFormat/>
    <w:uiPriority w:val="0"/>
    <w:pPr>
      <w:keepLines w:val="0"/>
      <w:numPr>
        <w:ilvl w:val="0"/>
        <w:numId w:val="0"/>
      </w:numPr>
      <w:tabs>
        <w:tab w:val="left" w:pos="1230"/>
        <w:tab w:val="clear" w:pos="480"/>
        <w:tab w:val="clear" w:pos="630"/>
      </w:tabs>
      <w:spacing w:before="0" w:after="0"/>
      <w:ind w:left="210" w:leftChars="100" w:right="142" w:firstLine="318" w:firstLineChars="99"/>
      <w:jc w:val="left"/>
    </w:pPr>
    <w:rPr>
      <w:rFonts w:eastAsia="黑体"/>
      <w:bCs w:val="0"/>
      <w:kern w:val="0"/>
    </w:rPr>
  </w:style>
  <w:style w:type="paragraph" w:customStyle="1" w:styleId="2889">
    <w:name w:val="样式27"/>
    <w:basedOn w:val="211"/>
    <w:semiHidden/>
    <w:qFormat/>
    <w:uiPriority w:val="0"/>
    <w:pPr>
      <w:keepNext/>
      <w:keepLines/>
      <w:tabs>
        <w:tab w:val="left" w:pos="0"/>
        <w:tab w:val="left" w:pos="360"/>
        <w:tab w:val="left" w:pos="540"/>
      </w:tabs>
      <w:adjustRightInd/>
      <w:snapToGrid/>
      <w:spacing w:beforeLines="50" w:afterLines="50" w:line="360" w:lineRule="auto"/>
      <w:jc w:val="both"/>
      <w:outlineLvl w:val="1"/>
    </w:pPr>
    <w:rPr>
      <w:rFonts w:eastAsia="黑体"/>
      <w:b w:val="0"/>
      <w:color w:val="auto"/>
      <w:kern w:val="0"/>
      <w:sz w:val="28"/>
      <w:szCs w:val="28"/>
    </w:rPr>
  </w:style>
  <w:style w:type="paragraph" w:customStyle="1" w:styleId="2890">
    <w:name w:val="BIG BOLD"/>
    <w:basedOn w:val="1"/>
    <w:semiHidden/>
    <w:qFormat/>
    <w:uiPriority w:val="0"/>
    <w:pPr>
      <w:tabs>
        <w:tab w:val="left" w:leader="underscore" w:pos="1134"/>
        <w:tab w:val="clear" w:pos="480"/>
      </w:tabs>
      <w:spacing w:line="240" w:lineRule="auto"/>
    </w:pPr>
    <w:rPr>
      <w:szCs w:val="20"/>
    </w:rPr>
  </w:style>
  <w:style w:type="character" w:customStyle="1" w:styleId="2891">
    <w:name w:val="样式 首行缩进:  2 字符4 Char"/>
    <w:link w:val="2450"/>
    <w:qFormat/>
    <w:locked/>
    <w:uiPriority w:val="0"/>
    <w:rPr>
      <w:rFonts w:ascii="宋体" w:hAnsi="宋体" w:eastAsia="宋体"/>
      <w:kern w:val="2"/>
      <w:sz w:val="24"/>
      <w:szCs w:val="24"/>
      <w:lang w:val="en-US" w:eastAsia="zh-CN" w:bidi="ar-SA"/>
    </w:rPr>
  </w:style>
  <w:style w:type="paragraph" w:customStyle="1" w:styleId="2892">
    <w:name w:val="小表"/>
    <w:basedOn w:val="1"/>
    <w:semiHidden/>
    <w:qFormat/>
    <w:uiPriority w:val="0"/>
    <w:pPr>
      <w:tabs>
        <w:tab w:val="clear" w:pos="480"/>
      </w:tabs>
      <w:overflowPunct w:val="0"/>
      <w:autoSpaceDE w:val="0"/>
      <w:autoSpaceDN w:val="0"/>
      <w:adjustRightInd w:val="0"/>
      <w:spacing w:line="240" w:lineRule="auto"/>
      <w:jc w:val="center"/>
    </w:pPr>
    <w:rPr>
      <w:kern w:val="0"/>
      <w:szCs w:val="20"/>
    </w:rPr>
  </w:style>
  <w:style w:type="character" w:customStyle="1" w:styleId="2893">
    <w:name w:val="文本正文 Char"/>
    <w:link w:val="2894"/>
    <w:qFormat/>
    <w:locked/>
    <w:uiPriority w:val="0"/>
    <w:rPr>
      <w:rFonts w:ascii="宋体" w:hAnsi="宋体" w:eastAsia="宋体"/>
      <w:spacing w:val="4"/>
      <w:kern w:val="24"/>
      <w:sz w:val="24"/>
      <w:szCs w:val="24"/>
      <w:lang w:val="zh-CN" w:bidi="ar-SA"/>
    </w:rPr>
  </w:style>
  <w:style w:type="paragraph" w:customStyle="1" w:styleId="2894">
    <w:name w:val="文本正文"/>
    <w:basedOn w:val="1"/>
    <w:link w:val="2893"/>
    <w:qFormat/>
    <w:uiPriority w:val="0"/>
    <w:pPr>
      <w:tabs>
        <w:tab w:val="clear" w:pos="480"/>
      </w:tabs>
      <w:snapToGrid w:val="0"/>
      <w:ind w:firstLine="510"/>
      <w:jc w:val="left"/>
    </w:pPr>
    <w:rPr>
      <w:rFonts w:ascii="宋体" w:hAnsi="宋体"/>
      <w:spacing w:val="4"/>
      <w:kern w:val="24"/>
      <w:lang w:val="zh-CN"/>
    </w:rPr>
  </w:style>
  <w:style w:type="paragraph" w:customStyle="1" w:styleId="2895">
    <w:name w:val="标3"/>
    <w:basedOn w:val="4"/>
    <w:next w:val="1"/>
    <w:qFormat/>
    <w:uiPriority w:val="0"/>
    <w:pPr>
      <w:numPr>
        <w:ilvl w:val="0"/>
        <w:numId w:val="0"/>
      </w:numPr>
      <w:tabs>
        <w:tab w:val="clear" w:pos="480"/>
        <w:tab w:val="clear" w:pos="840"/>
      </w:tabs>
      <w:autoSpaceDE w:val="0"/>
      <w:autoSpaceDN w:val="0"/>
      <w:adjustRightInd w:val="0"/>
      <w:spacing w:beforeLines="50" w:after="0" w:line="360" w:lineRule="auto"/>
      <w:ind w:firstLine="560" w:firstLineChars="200"/>
      <w:outlineLvl w:val="9"/>
    </w:pPr>
    <w:rPr>
      <w:rFonts w:ascii="Times New Roman" w:eastAsia="黑体"/>
      <w:b w:val="0"/>
      <w:bCs w:val="0"/>
      <w:kern w:val="0"/>
      <w:sz w:val="28"/>
      <w:szCs w:val="20"/>
    </w:rPr>
  </w:style>
  <w:style w:type="paragraph" w:customStyle="1" w:styleId="2896">
    <w:name w:val="样式 黑体 小四 加粗 行距: 固定值 20 磅3"/>
    <w:basedOn w:val="1"/>
    <w:semiHidden/>
    <w:qFormat/>
    <w:uiPriority w:val="0"/>
    <w:pPr>
      <w:tabs>
        <w:tab w:val="clear" w:pos="480"/>
      </w:tabs>
      <w:spacing w:line="400" w:lineRule="exact"/>
    </w:pPr>
    <w:rPr>
      <w:rFonts w:ascii="黑体" w:eastAsia="黑体" w:cs="宋体"/>
      <w:b/>
      <w:bCs/>
      <w:sz w:val="28"/>
      <w:szCs w:val="20"/>
    </w:rPr>
  </w:style>
  <w:style w:type="paragraph" w:customStyle="1" w:styleId="2897">
    <w:name w:val="Char2 Char Char Char Char Char Char Char Char"/>
    <w:basedOn w:val="1"/>
    <w:semiHidden/>
    <w:qFormat/>
    <w:uiPriority w:val="0"/>
    <w:pPr>
      <w:tabs>
        <w:tab w:val="clear" w:pos="480"/>
      </w:tabs>
    </w:pPr>
    <w:rPr>
      <w:rFonts w:ascii="宋体" w:hAnsi="宋体" w:cs="宋体"/>
    </w:rPr>
  </w:style>
  <w:style w:type="paragraph" w:customStyle="1" w:styleId="2898">
    <w:name w:val="样2"/>
    <w:basedOn w:val="1"/>
    <w:next w:val="1"/>
    <w:semiHidden/>
    <w:qFormat/>
    <w:uiPriority w:val="0"/>
    <w:pPr>
      <w:tabs>
        <w:tab w:val="clear" w:pos="480"/>
      </w:tabs>
      <w:autoSpaceDE w:val="0"/>
      <w:autoSpaceDN w:val="0"/>
      <w:adjustRightInd w:val="0"/>
      <w:snapToGrid w:val="0"/>
      <w:spacing w:line="240" w:lineRule="auto"/>
      <w:jc w:val="center"/>
    </w:pPr>
    <w:rPr>
      <w:kern w:val="0"/>
      <w:szCs w:val="21"/>
    </w:rPr>
  </w:style>
  <w:style w:type="paragraph" w:customStyle="1" w:styleId="2899">
    <w:name w:val="样式 标题 4标题 14 + 自动设置"/>
    <w:basedOn w:val="5"/>
    <w:semiHidden/>
    <w:qFormat/>
    <w:uiPriority w:val="0"/>
    <w:pPr>
      <w:keepLines w:val="0"/>
      <w:numPr>
        <w:ilvl w:val="0"/>
        <w:numId w:val="0"/>
      </w:numPr>
      <w:tabs>
        <w:tab w:val="clear" w:pos="480"/>
      </w:tabs>
      <w:adjustRightInd w:val="0"/>
      <w:snapToGrid w:val="0"/>
      <w:spacing w:before="0" w:after="0" w:line="240" w:lineRule="auto"/>
    </w:pPr>
    <w:rPr>
      <w:rFonts w:ascii="Times New Roman" w:hAnsi="Times New Roman" w:eastAsia="黑体"/>
      <w:b w:val="0"/>
      <w:bCs w:val="0"/>
      <w:sz w:val="24"/>
      <w:szCs w:val="24"/>
      <w:u w:val="single"/>
    </w:rPr>
  </w:style>
  <w:style w:type="paragraph" w:customStyle="1" w:styleId="2900">
    <w:name w:val="环表头"/>
    <w:basedOn w:val="1"/>
    <w:next w:val="1"/>
    <w:semiHidden/>
    <w:qFormat/>
    <w:uiPriority w:val="0"/>
    <w:pPr>
      <w:widowControl/>
      <w:tabs>
        <w:tab w:val="clear" w:pos="480"/>
      </w:tabs>
      <w:suppressAutoHyphens/>
      <w:adjustRightInd w:val="0"/>
      <w:spacing w:before="60" w:after="60" w:line="312" w:lineRule="atLeast"/>
      <w:ind w:right="28"/>
      <w:jc w:val="center"/>
    </w:pPr>
    <w:rPr>
      <w:rFonts w:ascii="宋体" w:hAnsi="宋体" w:eastAsia="黑体"/>
      <w:kern w:val="0"/>
      <w:szCs w:val="20"/>
    </w:rPr>
  </w:style>
  <w:style w:type="paragraph" w:customStyle="1" w:styleId="2901">
    <w:name w:val="样式 正文文本缩进 3 + 12 磅 左侧:  2 字符"/>
    <w:basedOn w:val="70"/>
    <w:semiHidden/>
    <w:qFormat/>
    <w:uiPriority w:val="0"/>
    <w:pPr>
      <w:widowControl/>
      <w:spacing w:after="120"/>
      <w:ind w:firstLine="200"/>
      <w:jc w:val="left"/>
    </w:pPr>
    <w:rPr>
      <w:rFonts w:ascii="Calibri" w:hAnsi="Calibri" w:cs="PMingLiU"/>
      <w:kern w:val="0"/>
      <w:szCs w:val="20"/>
    </w:rPr>
  </w:style>
  <w:style w:type="paragraph" w:customStyle="1" w:styleId="2902">
    <w:name w:val="样式 小四 行距: 固定值 23 磅"/>
    <w:basedOn w:val="1"/>
    <w:link w:val="3278"/>
    <w:qFormat/>
    <w:uiPriority w:val="0"/>
    <w:pPr>
      <w:tabs>
        <w:tab w:val="left" w:pos="0"/>
        <w:tab w:val="left" w:pos="1620"/>
        <w:tab w:val="clear" w:pos="480"/>
      </w:tabs>
      <w:spacing w:line="240" w:lineRule="auto"/>
      <w:ind w:left="1620" w:leftChars="600" w:hanging="360" w:hangingChars="200"/>
    </w:pPr>
    <w:rPr>
      <w:sz w:val="28"/>
      <w:lang w:val="zh-CN"/>
    </w:rPr>
  </w:style>
  <w:style w:type="paragraph" w:customStyle="1" w:styleId="2903">
    <w:name w:val="我的标题3"/>
    <w:basedOn w:val="1"/>
    <w:semiHidden/>
    <w:qFormat/>
    <w:uiPriority w:val="0"/>
    <w:pPr>
      <w:tabs>
        <w:tab w:val="clear" w:pos="480"/>
      </w:tabs>
      <w:spacing w:line="460" w:lineRule="exact"/>
    </w:pPr>
    <w:rPr>
      <w:rFonts w:eastAsia="黑体"/>
      <w:sz w:val="28"/>
      <w:szCs w:val="28"/>
    </w:rPr>
  </w:style>
  <w:style w:type="paragraph" w:customStyle="1" w:styleId="2904">
    <w:name w:val="Losange 1"/>
    <w:basedOn w:val="2861"/>
    <w:semiHidden/>
    <w:qFormat/>
    <w:uiPriority w:val="0"/>
    <w:pPr>
      <w:ind w:left="1531" w:hanging="397"/>
    </w:pPr>
  </w:style>
  <w:style w:type="paragraph" w:customStyle="1" w:styleId="2905">
    <w:name w:val="样式 标题 2标题 21标题 121标题 2 Char1 Char节H2节标题 1.1节标题 1.1 Char...1"/>
    <w:basedOn w:val="3"/>
    <w:semiHidden/>
    <w:qFormat/>
    <w:uiPriority w:val="0"/>
    <w:pPr>
      <w:keepNext w:val="0"/>
      <w:keepLines w:val="0"/>
      <w:widowControl/>
      <w:numPr>
        <w:ilvl w:val="0"/>
        <w:numId w:val="0"/>
      </w:numPr>
      <w:tabs>
        <w:tab w:val="clear" w:pos="480"/>
        <w:tab w:val="clear" w:pos="630"/>
      </w:tabs>
      <w:adjustRightInd w:val="0"/>
      <w:spacing w:before="156" w:after="156" w:line="460" w:lineRule="exact"/>
      <w:jc w:val="left"/>
    </w:pPr>
    <w:rPr>
      <w:rFonts w:ascii="黑体" w:eastAsia="黑体" w:cs="宋体"/>
      <w:color w:val="000000"/>
      <w:kern w:val="0"/>
      <w:sz w:val="28"/>
      <w:szCs w:val="20"/>
    </w:rPr>
  </w:style>
  <w:style w:type="paragraph" w:customStyle="1" w:styleId="2906">
    <w:name w:val="表格(小)"/>
    <w:basedOn w:val="165"/>
    <w:semiHidden/>
    <w:qFormat/>
    <w:uiPriority w:val="0"/>
    <w:pPr>
      <w:adjustRightInd/>
      <w:snapToGrid w:val="0"/>
      <w:spacing w:line="240" w:lineRule="auto"/>
      <w:ind w:left="-140" w:leftChars="-50" w:right="-140" w:rightChars="-50"/>
      <w:jc w:val="center"/>
      <w:textAlignment w:val="auto"/>
    </w:pPr>
    <w:rPr>
      <w:rFonts w:hint="eastAsia" w:ascii="仿宋_GB2312" w:hAnsi="仿宋_GB2312" w:eastAsia="仿宋_GB2312"/>
      <w:sz w:val="15"/>
      <w:szCs w:val="30"/>
    </w:rPr>
  </w:style>
  <w:style w:type="paragraph" w:customStyle="1" w:styleId="2907">
    <w:name w:val="表列"/>
    <w:basedOn w:val="1"/>
    <w:semiHidden/>
    <w:qFormat/>
    <w:uiPriority w:val="0"/>
    <w:pPr>
      <w:tabs>
        <w:tab w:val="clear" w:pos="480"/>
      </w:tabs>
      <w:adjustRightInd w:val="0"/>
      <w:spacing w:line="240" w:lineRule="atLeast"/>
    </w:pPr>
    <w:rPr>
      <w:szCs w:val="20"/>
    </w:rPr>
  </w:style>
  <w:style w:type="paragraph" w:customStyle="1" w:styleId="2908">
    <w:name w:val="样式 四号 黑色 行距: 1.5 倍行距 首行缩进:  2 字符"/>
    <w:basedOn w:val="1"/>
    <w:qFormat/>
    <w:uiPriority w:val="0"/>
    <w:pPr>
      <w:tabs>
        <w:tab w:val="clear" w:pos="480"/>
      </w:tabs>
      <w:ind w:firstLine="560"/>
    </w:pPr>
    <w:rPr>
      <w:rFonts w:ascii="宋体" w:hAnsi="宋体" w:eastAsia="仿宋_GB2312" w:cs="宋体"/>
      <w:color w:val="000000"/>
      <w:sz w:val="28"/>
      <w:szCs w:val="20"/>
    </w:rPr>
  </w:style>
  <w:style w:type="paragraph" w:customStyle="1" w:styleId="2909">
    <w:name w:val="样式 标题 4标题 14 + 加粗 无下划线 自动设置 段前: 3 磅 段后: 10 磅2"/>
    <w:basedOn w:val="5"/>
    <w:semiHidden/>
    <w:qFormat/>
    <w:uiPriority w:val="0"/>
    <w:pPr>
      <w:keepLines w:val="0"/>
      <w:numPr>
        <w:ilvl w:val="0"/>
        <w:numId w:val="0"/>
      </w:numPr>
      <w:tabs>
        <w:tab w:val="left" w:pos="864"/>
        <w:tab w:val="left" w:pos="1680"/>
        <w:tab w:val="clear" w:pos="480"/>
      </w:tabs>
      <w:adjustRightInd w:val="0"/>
      <w:snapToGrid w:val="0"/>
      <w:spacing w:before="60" w:after="200" w:line="240" w:lineRule="auto"/>
      <w:ind w:left="1680" w:hanging="420"/>
    </w:pPr>
    <w:rPr>
      <w:rFonts w:ascii="Times New Roman" w:hAnsi="Times New Roman" w:eastAsia="宋体"/>
      <w:sz w:val="24"/>
      <w:szCs w:val="20"/>
    </w:rPr>
  </w:style>
  <w:style w:type="paragraph" w:customStyle="1" w:styleId="2910">
    <w:name w:val="样式 标题 2标题 2 Char Char + 宋体"/>
    <w:basedOn w:val="3"/>
    <w:semiHidden/>
    <w:qFormat/>
    <w:uiPriority w:val="0"/>
    <w:pPr>
      <w:keepLines w:val="0"/>
      <w:widowControl/>
      <w:numPr>
        <w:ilvl w:val="0"/>
        <w:numId w:val="0"/>
      </w:numPr>
      <w:tabs>
        <w:tab w:val="left" w:pos="786"/>
        <w:tab w:val="clear" w:pos="480"/>
        <w:tab w:val="clear" w:pos="630"/>
      </w:tabs>
      <w:overflowPunct w:val="0"/>
      <w:autoSpaceDE w:val="0"/>
      <w:autoSpaceDN w:val="0"/>
      <w:adjustRightInd w:val="0"/>
      <w:spacing w:before="240" w:after="240" w:line="440" w:lineRule="exact"/>
      <w:ind w:left="786" w:hanging="576"/>
      <w:jc w:val="left"/>
    </w:pPr>
    <w:rPr>
      <w:rFonts w:ascii="宋体" w:hAnsi="宋体"/>
      <w:bCs w:val="0"/>
      <w:kern w:val="28"/>
      <w:sz w:val="28"/>
      <w:szCs w:val="24"/>
    </w:rPr>
  </w:style>
  <w:style w:type="character" w:customStyle="1" w:styleId="2911">
    <w:name w:val="注释标题 Char1"/>
    <w:semiHidden/>
    <w:qFormat/>
    <w:uiPriority w:val="0"/>
    <w:rPr>
      <w:rFonts w:ascii="Times New Roman" w:hAnsi="Times New Roman" w:eastAsia="宋体" w:cs="Times New Roman"/>
      <w:sz w:val="24"/>
      <w:szCs w:val="24"/>
    </w:rPr>
  </w:style>
  <w:style w:type="character" w:customStyle="1" w:styleId="2912">
    <w:name w:val="表格字体 Char"/>
    <w:link w:val="2913"/>
    <w:qFormat/>
    <w:locked/>
    <w:uiPriority w:val="0"/>
    <w:rPr>
      <w:sz w:val="24"/>
      <w:szCs w:val="21"/>
      <w:lang w:bidi="ar-SA"/>
    </w:rPr>
  </w:style>
  <w:style w:type="paragraph" w:customStyle="1" w:styleId="2913">
    <w:name w:val="表格字体"/>
    <w:basedOn w:val="1"/>
    <w:link w:val="2912"/>
    <w:semiHidden/>
    <w:qFormat/>
    <w:uiPriority w:val="0"/>
    <w:pPr>
      <w:tabs>
        <w:tab w:val="clear" w:pos="480"/>
      </w:tabs>
      <w:spacing w:beforeLines="20" w:afterLines="20"/>
      <w:jc w:val="center"/>
    </w:pPr>
    <w:rPr>
      <w:kern w:val="0"/>
      <w:szCs w:val="21"/>
      <w:lang w:val="zh-CN"/>
    </w:rPr>
  </w:style>
  <w:style w:type="character" w:customStyle="1" w:styleId="2914">
    <w:name w:val="表头字体 Char1"/>
    <w:link w:val="2915"/>
    <w:qFormat/>
    <w:locked/>
    <w:uiPriority w:val="0"/>
    <w:rPr>
      <w:rFonts w:ascii="黑体" w:hAnsi="黑体" w:eastAsia="黑体"/>
      <w:b/>
      <w:bCs/>
      <w:sz w:val="24"/>
      <w:szCs w:val="24"/>
      <w:lang w:bidi="ar-SA"/>
    </w:rPr>
  </w:style>
  <w:style w:type="paragraph" w:customStyle="1" w:styleId="2915">
    <w:name w:val="表头字体"/>
    <w:basedOn w:val="5"/>
    <w:next w:val="1"/>
    <w:link w:val="2914"/>
    <w:semiHidden/>
    <w:qFormat/>
    <w:uiPriority w:val="0"/>
    <w:pPr>
      <w:keepNext w:val="0"/>
      <w:keepLines w:val="0"/>
      <w:numPr>
        <w:ilvl w:val="0"/>
        <w:numId w:val="0"/>
      </w:numPr>
      <w:tabs>
        <w:tab w:val="clear" w:pos="480"/>
      </w:tabs>
      <w:snapToGrid w:val="0"/>
      <w:spacing w:before="0" w:after="0" w:line="240" w:lineRule="auto"/>
      <w:jc w:val="center"/>
      <w:outlineLvl w:val="9"/>
    </w:pPr>
    <w:rPr>
      <w:rFonts w:ascii="黑体" w:hAnsi="黑体" w:eastAsia="黑体"/>
      <w:kern w:val="0"/>
      <w:sz w:val="24"/>
      <w:szCs w:val="24"/>
    </w:rPr>
  </w:style>
  <w:style w:type="paragraph" w:customStyle="1" w:styleId="2916">
    <w:name w:val="样式 列表 + 左侧:  0 厘米 悬挂缩进: 5.85 字符"/>
    <w:basedOn w:val="66"/>
    <w:semiHidden/>
    <w:qFormat/>
    <w:uiPriority w:val="0"/>
    <w:pPr>
      <w:autoSpaceDE w:val="0"/>
      <w:autoSpaceDN w:val="0"/>
      <w:adjustRightInd w:val="0"/>
      <w:ind w:left="0" w:firstLine="0" w:firstLineChars="0"/>
    </w:pPr>
    <w:rPr>
      <w:sz w:val="24"/>
      <w:szCs w:val="21"/>
      <w:lang w:val="zh-CN"/>
    </w:rPr>
  </w:style>
  <w:style w:type="paragraph" w:customStyle="1" w:styleId="2917">
    <w:name w:val="样式24"/>
    <w:basedOn w:val="1"/>
    <w:semiHidden/>
    <w:qFormat/>
    <w:uiPriority w:val="0"/>
    <w:pPr>
      <w:keepNext/>
      <w:keepLines/>
      <w:tabs>
        <w:tab w:val="left" w:pos="360"/>
        <w:tab w:val="left" w:pos="540"/>
        <w:tab w:val="left" w:pos="720"/>
        <w:tab w:val="clear" w:pos="480"/>
      </w:tabs>
      <w:spacing w:beforeLines="50" w:afterLines="50"/>
      <w:ind w:left="1296" w:hanging="1296"/>
      <w:outlineLvl w:val="1"/>
    </w:pPr>
    <w:rPr>
      <w:rFonts w:ascii="宋体" w:hAnsi="宋体" w:eastAsia="黑体"/>
      <w:sz w:val="28"/>
      <w:szCs w:val="28"/>
    </w:rPr>
  </w:style>
  <w:style w:type="paragraph" w:customStyle="1" w:styleId="2918">
    <w:name w:val="黄埔正文"/>
    <w:semiHidden/>
    <w:qFormat/>
    <w:uiPriority w:val="0"/>
    <w:pPr>
      <w:spacing w:beforeLines="50" w:line="440" w:lineRule="exact"/>
      <w:ind w:firstLine="480"/>
      <w:jc w:val="both"/>
    </w:pPr>
    <w:rPr>
      <w:rFonts w:ascii="宋体" w:hAnsi="Times New Roman" w:eastAsia="宋体" w:cs="Times New Roman"/>
      <w:color w:val="000000"/>
      <w:kern w:val="2"/>
      <w:sz w:val="24"/>
      <w:szCs w:val="24"/>
      <w:lang w:val="en-US" w:eastAsia="zh-CN" w:bidi="ar-SA"/>
    </w:rPr>
  </w:style>
  <w:style w:type="paragraph" w:customStyle="1" w:styleId="2919">
    <w:name w:val="样式 样式 标题 4标题 14 + 自动设置 + 无下划线"/>
    <w:basedOn w:val="2899"/>
    <w:semiHidden/>
    <w:qFormat/>
    <w:uiPriority w:val="0"/>
    <w:pPr>
      <w:tabs>
        <w:tab w:val="left" w:pos="425"/>
        <w:tab w:val="left" w:pos="1680"/>
      </w:tabs>
      <w:ind w:left="1680" w:hanging="420"/>
    </w:pPr>
    <w:rPr>
      <w:u w:val="none"/>
    </w:rPr>
  </w:style>
  <w:style w:type="paragraph" w:customStyle="1" w:styleId="2920">
    <w:name w:val="样1"/>
    <w:basedOn w:val="1"/>
    <w:semiHidden/>
    <w:qFormat/>
    <w:uiPriority w:val="0"/>
    <w:pPr>
      <w:tabs>
        <w:tab w:val="clear" w:pos="480"/>
      </w:tabs>
      <w:autoSpaceDE w:val="0"/>
      <w:autoSpaceDN w:val="0"/>
      <w:adjustRightInd w:val="0"/>
      <w:ind w:right="232"/>
      <w:jc w:val="center"/>
    </w:pPr>
    <w:rPr>
      <w:kern w:val="0"/>
      <w:szCs w:val="20"/>
    </w:rPr>
  </w:style>
  <w:style w:type="paragraph" w:customStyle="1" w:styleId="2921">
    <w:name w:val="bt2"/>
    <w:basedOn w:val="1"/>
    <w:semiHidden/>
    <w:qFormat/>
    <w:uiPriority w:val="0"/>
    <w:pPr>
      <w:widowControl/>
      <w:tabs>
        <w:tab w:val="clear" w:pos="480"/>
      </w:tabs>
      <w:spacing w:before="100" w:beforeAutospacing="1" w:after="100" w:afterAutospacing="1" w:line="400" w:lineRule="atLeast"/>
      <w:jc w:val="left"/>
    </w:pPr>
    <w:rPr>
      <w:rFonts w:ascii="黑体" w:hAnsi="宋体" w:eastAsia="黑体" w:cs="宋体"/>
      <w:kern w:val="0"/>
      <w:szCs w:val="21"/>
    </w:rPr>
  </w:style>
  <w:style w:type="paragraph" w:customStyle="1" w:styleId="2922">
    <w:name w:val="样式 宋体 首行缩进:  2 字符"/>
    <w:basedOn w:val="1"/>
    <w:semiHidden/>
    <w:qFormat/>
    <w:uiPriority w:val="0"/>
    <w:pPr>
      <w:tabs>
        <w:tab w:val="clear" w:pos="480"/>
      </w:tabs>
      <w:spacing w:line="240" w:lineRule="auto"/>
      <w:ind w:firstLine="560"/>
    </w:pPr>
    <w:rPr>
      <w:rFonts w:cs="宋体"/>
      <w:sz w:val="28"/>
      <w:szCs w:val="28"/>
    </w:rPr>
  </w:style>
  <w:style w:type="paragraph" w:customStyle="1" w:styleId="2923">
    <w:name w:val="报告1"/>
    <w:basedOn w:val="1"/>
    <w:semiHidden/>
    <w:qFormat/>
    <w:uiPriority w:val="0"/>
    <w:pPr>
      <w:tabs>
        <w:tab w:val="clear" w:pos="480"/>
      </w:tabs>
      <w:overflowPunct w:val="0"/>
      <w:autoSpaceDE w:val="0"/>
      <w:autoSpaceDN w:val="0"/>
      <w:adjustRightInd w:val="0"/>
      <w:spacing w:before="60" w:after="60" w:line="400" w:lineRule="atLeast"/>
      <w:ind w:firstLine="360" w:firstLineChars="150"/>
      <w:jc w:val="left"/>
    </w:pPr>
    <w:rPr>
      <w:kern w:val="0"/>
      <w:szCs w:val="20"/>
    </w:rPr>
  </w:style>
  <w:style w:type="paragraph" w:customStyle="1" w:styleId="2924">
    <w:name w:val="样式 正文缩进正文缩进 Char表格标题标题4正文不缩进s4正文2首行缩进两字正文缩进1 + 首行缩进:  2 ..."/>
    <w:basedOn w:val="20"/>
    <w:semiHidden/>
    <w:qFormat/>
    <w:uiPriority w:val="0"/>
    <w:pPr>
      <w:tabs>
        <w:tab w:val="clear" w:pos="480"/>
      </w:tabs>
      <w:ind w:firstLine="480"/>
    </w:pPr>
    <w:rPr>
      <w:rFonts w:ascii="宋体" w:hAnsi="宋体"/>
      <w:kern w:val="0"/>
      <w:szCs w:val="20"/>
    </w:rPr>
  </w:style>
  <w:style w:type="paragraph" w:customStyle="1" w:styleId="2925">
    <w:name w:val="样式 标题 2标题 21标题 121 + Times New Roman 小三 非加粗 黑色 段前: 8 磅 段...2"/>
    <w:basedOn w:val="3"/>
    <w:semiHidden/>
    <w:qFormat/>
    <w:uiPriority w:val="0"/>
    <w:pPr>
      <w:numPr>
        <w:ilvl w:val="0"/>
        <w:numId w:val="0"/>
      </w:numPr>
      <w:tabs>
        <w:tab w:val="left" w:pos="360"/>
        <w:tab w:val="clear" w:pos="480"/>
        <w:tab w:val="clear" w:pos="630"/>
      </w:tabs>
      <w:spacing w:before="160" w:after="160" w:line="240" w:lineRule="auto"/>
      <w:ind w:left="360" w:hanging="360" w:hangingChars="200"/>
    </w:pPr>
    <w:rPr>
      <w:rFonts w:eastAsia="黑体"/>
      <w:bCs w:val="0"/>
      <w:color w:val="000000"/>
      <w:kern w:val="0"/>
      <w:sz w:val="30"/>
      <w:szCs w:val="20"/>
    </w:rPr>
  </w:style>
  <w:style w:type="paragraph" w:customStyle="1" w:styleId="2926">
    <w:name w:val="样式 标题 1标题 11一、 + Times New Roman 行距: 固定值 23 磅"/>
    <w:basedOn w:val="2"/>
    <w:semiHidden/>
    <w:qFormat/>
    <w:uiPriority w:val="0"/>
    <w:pPr>
      <w:numPr>
        <w:numId w:val="0"/>
      </w:numPr>
      <w:tabs>
        <w:tab w:val="clear" w:pos="480"/>
      </w:tabs>
      <w:spacing w:before="0" w:after="0" w:line="460" w:lineRule="exact"/>
    </w:pPr>
    <w:rPr>
      <w:rFonts w:ascii="黑体" w:eastAsia="黑体" w:cs="宋体"/>
      <w:b w:val="0"/>
      <w:sz w:val="32"/>
      <w:szCs w:val="32"/>
    </w:rPr>
  </w:style>
  <w:style w:type="character" w:customStyle="1" w:styleId="2927">
    <w:name w:val="表格题名 Char"/>
    <w:link w:val="2928"/>
    <w:qFormat/>
    <w:locked/>
    <w:uiPriority w:val="0"/>
    <w:rPr>
      <w:rFonts w:ascii="黑体" w:hAnsi="黑体" w:eastAsia="黑体"/>
      <w:b/>
      <w:sz w:val="24"/>
      <w:lang w:bidi="ar-SA"/>
    </w:rPr>
  </w:style>
  <w:style w:type="paragraph" w:customStyle="1" w:styleId="2928">
    <w:name w:val="表格题名"/>
    <w:basedOn w:val="1"/>
    <w:link w:val="2927"/>
    <w:semiHidden/>
    <w:qFormat/>
    <w:uiPriority w:val="0"/>
    <w:pPr>
      <w:tabs>
        <w:tab w:val="clear" w:pos="480"/>
      </w:tabs>
      <w:adjustRightInd w:val="0"/>
      <w:spacing w:before="93" w:after="93"/>
      <w:jc w:val="center"/>
    </w:pPr>
    <w:rPr>
      <w:rFonts w:ascii="黑体" w:hAnsi="黑体" w:eastAsia="黑体"/>
      <w:b/>
      <w:kern w:val="0"/>
      <w:szCs w:val="20"/>
      <w:lang w:val="zh-CN"/>
    </w:rPr>
  </w:style>
  <w:style w:type="paragraph" w:customStyle="1" w:styleId="2929">
    <w:name w:val="样式 标题 2标题 21标题 121 + Times New Roman 小三 非加粗 黑色 段前: 8 磅 段...1"/>
    <w:basedOn w:val="3"/>
    <w:semiHidden/>
    <w:qFormat/>
    <w:uiPriority w:val="0"/>
    <w:pPr>
      <w:numPr>
        <w:ilvl w:val="0"/>
        <w:numId w:val="0"/>
      </w:numPr>
      <w:tabs>
        <w:tab w:val="left" w:pos="1279"/>
        <w:tab w:val="clear" w:pos="480"/>
        <w:tab w:val="clear" w:pos="630"/>
      </w:tabs>
      <w:spacing w:before="160" w:after="160" w:line="240" w:lineRule="auto"/>
      <w:ind w:left="1279" w:hanging="420"/>
    </w:pPr>
    <w:rPr>
      <w:rFonts w:eastAsia="黑体"/>
      <w:bCs w:val="0"/>
      <w:color w:val="000000"/>
      <w:kern w:val="0"/>
      <w:sz w:val="30"/>
      <w:szCs w:val="20"/>
    </w:rPr>
  </w:style>
  <w:style w:type="paragraph" w:customStyle="1" w:styleId="2930">
    <w:name w:val="91"/>
    <w:basedOn w:val="1"/>
    <w:semiHidden/>
    <w:qFormat/>
    <w:uiPriority w:val="0"/>
    <w:pPr>
      <w:keepNext/>
      <w:tabs>
        <w:tab w:val="clear" w:pos="480"/>
      </w:tabs>
      <w:spacing w:before="93" w:after="93"/>
    </w:pPr>
    <w:rPr>
      <w:szCs w:val="20"/>
    </w:rPr>
  </w:style>
  <w:style w:type="paragraph" w:customStyle="1" w:styleId="2931">
    <w:name w:val="样式 标题 3标题 13标题 3 Char1 Char Char Char标题 31ReHead 3 WSAh3B..."/>
    <w:basedOn w:val="4"/>
    <w:semiHidden/>
    <w:qFormat/>
    <w:uiPriority w:val="0"/>
    <w:pPr>
      <w:numPr>
        <w:ilvl w:val="0"/>
        <w:numId w:val="0"/>
      </w:numPr>
      <w:tabs>
        <w:tab w:val="clear" w:pos="480"/>
        <w:tab w:val="clear" w:pos="840"/>
      </w:tabs>
      <w:spacing w:beforeLines="50" w:afterLines="50" w:line="460" w:lineRule="exact"/>
    </w:pPr>
    <w:rPr>
      <w:rFonts w:ascii="Times New Roman" w:eastAsia="宋体" w:cs="宋体"/>
      <w:color w:val="000000"/>
      <w:sz w:val="24"/>
      <w:szCs w:val="20"/>
    </w:rPr>
  </w:style>
  <w:style w:type="paragraph" w:customStyle="1" w:styleId="2932">
    <w:name w:val="样式 标题 3 + 宋体 Char Char Char"/>
    <w:basedOn w:val="4"/>
    <w:semiHidden/>
    <w:qFormat/>
    <w:uiPriority w:val="0"/>
    <w:pPr>
      <w:numPr>
        <w:ilvl w:val="0"/>
        <w:numId w:val="0"/>
      </w:numPr>
      <w:tabs>
        <w:tab w:val="clear" w:pos="480"/>
        <w:tab w:val="clear" w:pos="840"/>
      </w:tabs>
      <w:adjustRightInd w:val="0"/>
      <w:spacing w:before="240" w:after="240" w:line="240" w:lineRule="auto"/>
      <w:jc w:val="left"/>
      <w:outlineLvl w:val="0"/>
    </w:pPr>
    <w:rPr>
      <w:rFonts w:ascii="Times New Roman" w:eastAsia="宋体"/>
      <w:b w:val="0"/>
      <w:bCs w:val="0"/>
      <w:kern w:val="28"/>
      <w:sz w:val="24"/>
      <w:szCs w:val="24"/>
    </w:rPr>
  </w:style>
  <w:style w:type="paragraph" w:customStyle="1" w:styleId="2933">
    <w:name w:val="真宗兴正文"/>
    <w:basedOn w:val="1"/>
    <w:qFormat/>
    <w:uiPriority w:val="0"/>
    <w:pPr>
      <w:tabs>
        <w:tab w:val="clear" w:pos="480"/>
      </w:tabs>
      <w:overflowPunct w:val="0"/>
      <w:autoSpaceDE w:val="0"/>
      <w:autoSpaceDN w:val="0"/>
      <w:adjustRightInd w:val="0"/>
      <w:snapToGrid w:val="0"/>
      <w:spacing w:beforeLines="30" w:afterLines="30"/>
      <w:ind w:firstLine="480"/>
    </w:pPr>
    <w:rPr>
      <w:szCs w:val="20"/>
    </w:rPr>
  </w:style>
  <w:style w:type="character" w:customStyle="1" w:styleId="2934">
    <w:name w:val="样式25 Char"/>
    <w:link w:val="2935"/>
    <w:qFormat/>
    <w:locked/>
    <w:uiPriority w:val="0"/>
    <w:rPr>
      <w:sz w:val="24"/>
      <w:szCs w:val="28"/>
      <w:lang w:bidi="ar-SA"/>
    </w:rPr>
  </w:style>
  <w:style w:type="paragraph" w:customStyle="1" w:styleId="2935">
    <w:name w:val="样式25"/>
    <w:basedOn w:val="1"/>
    <w:link w:val="2934"/>
    <w:semiHidden/>
    <w:qFormat/>
    <w:uiPriority w:val="0"/>
    <w:pPr>
      <w:keepNext/>
      <w:keepLines/>
      <w:tabs>
        <w:tab w:val="left" w:pos="720"/>
        <w:tab w:val="clear" w:pos="480"/>
      </w:tabs>
      <w:spacing w:beforeLines="50" w:afterLines="50"/>
      <w:outlineLvl w:val="3"/>
    </w:pPr>
    <w:rPr>
      <w:kern w:val="0"/>
      <w:szCs w:val="28"/>
      <w:lang w:val="zh-CN"/>
    </w:rPr>
  </w:style>
  <w:style w:type="paragraph" w:customStyle="1" w:styleId="2936">
    <w:name w:val="正文标准样式"/>
    <w:basedOn w:val="1"/>
    <w:semiHidden/>
    <w:qFormat/>
    <w:uiPriority w:val="0"/>
    <w:pPr>
      <w:tabs>
        <w:tab w:val="clear" w:pos="480"/>
      </w:tabs>
      <w:adjustRightInd w:val="0"/>
      <w:spacing w:line="300" w:lineRule="auto"/>
      <w:ind w:firstLine="482"/>
    </w:pPr>
    <w:rPr>
      <w:kern w:val="0"/>
      <w:szCs w:val="20"/>
    </w:rPr>
  </w:style>
  <w:style w:type="character" w:customStyle="1" w:styleId="2937">
    <w:name w:val="样式14 Char"/>
    <w:link w:val="1163"/>
    <w:qFormat/>
    <w:locked/>
    <w:uiPriority w:val="0"/>
    <w:rPr>
      <w:rFonts w:ascii="Arial" w:hAnsi="Arial" w:eastAsia="黑体" w:cs="宋体"/>
      <w:b/>
      <w:bCs/>
      <w:sz w:val="32"/>
      <w:szCs w:val="24"/>
      <w:lang w:bidi="ar-SA"/>
    </w:rPr>
  </w:style>
  <w:style w:type="paragraph" w:customStyle="1" w:styleId="2938">
    <w:name w:val="样式 标题 1标题 11一、标题 1 Char章 + Times New Roman 小三 非加粗 黑色 行距:..."/>
    <w:basedOn w:val="2"/>
    <w:semiHidden/>
    <w:qFormat/>
    <w:uiPriority w:val="0"/>
    <w:pPr>
      <w:numPr>
        <w:numId w:val="0"/>
      </w:numPr>
      <w:tabs>
        <w:tab w:val="clear" w:pos="480"/>
      </w:tabs>
      <w:spacing w:before="0" w:after="0" w:line="460" w:lineRule="exact"/>
    </w:pPr>
    <w:rPr>
      <w:rFonts w:ascii="Times New Roman" w:eastAsia="黑体" w:cs="宋体"/>
      <w:b w:val="0"/>
      <w:bCs w:val="0"/>
      <w:color w:val="000000"/>
      <w:sz w:val="30"/>
      <w:szCs w:val="20"/>
    </w:rPr>
  </w:style>
  <w:style w:type="paragraph" w:customStyle="1" w:styleId="2939">
    <w:name w:val="标题附件2"/>
    <w:basedOn w:val="34"/>
    <w:semiHidden/>
    <w:qFormat/>
    <w:uiPriority w:val="0"/>
    <w:pPr>
      <w:tabs>
        <w:tab w:val="clear" w:pos="480"/>
      </w:tabs>
      <w:spacing w:beforeLines="50" w:afterLines="50" w:line="240" w:lineRule="auto"/>
      <w:ind w:firstLine="171" w:firstLineChars="171"/>
    </w:pPr>
    <w:rPr>
      <w:rFonts w:ascii="Calibri" w:hAnsi="Calibri" w:eastAsia="黑体"/>
      <w:kern w:val="0"/>
      <w:sz w:val="28"/>
    </w:rPr>
  </w:style>
  <w:style w:type="paragraph" w:customStyle="1" w:styleId="2940">
    <w:name w:val="Char Char Char3 Char Char Char Char Char Char Char Char Char Char Char Char Char Char Char"/>
    <w:basedOn w:val="1"/>
    <w:semiHidden/>
    <w:qFormat/>
    <w:uiPriority w:val="0"/>
    <w:pPr>
      <w:tabs>
        <w:tab w:val="clear" w:pos="480"/>
      </w:tabs>
      <w:spacing w:line="240" w:lineRule="auto"/>
    </w:pPr>
    <w:rPr>
      <w:sz w:val="21"/>
    </w:rPr>
  </w:style>
  <w:style w:type="character" w:customStyle="1" w:styleId="2941">
    <w:name w:val="样式17 Char"/>
    <w:link w:val="1166"/>
    <w:qFormat/>
    <w:locked/>
    <w:uiPriority w:val="0"/>
    <w:rPr>
      <w:rFonts w:ascii="宋体" w:hAnsi="宋体" w:eastAsia="宋体" w:cs="宋体"/>
      <w:b/>
      <w:sz w:val="24"/>
      <w:szCs w:val="24"/>
      <w:lang w:bidi="ar-SA"/>
    </w:rPr>
  </w:style>
  <w:style w:type="character" w:customStyle="1" w:styleId="2942">
    <w:name w:val="表内格式 Char"/>
    <w:link w:val="2943"/>
    <w:qFormat/>
    <w:locked/>
    <w:uiPriority w:val="0"/>
    <w:rPr>
      <w:sz w:val="18"/>
      <w:lang w:bidi="ar-SA"/>
    </w:rPr>
  </w:style>
  <w:style w:type="paragraph" w:customStyle="1" w:styleId="2943">
    <w:name w:val="表内格式"/>
    <w:basedOn w:val="1"/>
    <w:next w:val="1"/>
    <w:link w:val="2942"/>
    <w:qFormat/>
    <w:uiPriority w:val="0"/>
    <w:pPr>
      <w:tabs>
        <w:tab w:val="clear" w:pos="480"/>
      </w:tabs>
      <w:spacing w:line="240" w:lineRule="auto"/>
      <w:jc w:val="center"/>
    </w:pPr>
    <w:rPr>
      <w:kern w:val="0"/>
      <w:sz w:val="18"/>
      <w:szCs w:val="20"/>
      <w:lang w:val="zh-CN"/>
    </w:rPr>
  </w:style>
  <w:style w:type="paragraph" w:customStyle="1" w:styleId="2944">
    <w:name w:val="样式 样式 标题 3标题 13标题 3 Char1 Char Char Char标题 31ReHead 3 WSAh3B... ...2"/>
    <w:basedOn w:val="2931"/>
    <w:semiHidden/>
    <w:qFormat/>
    <w:uiPriority w:val="0"/>
    <w:pPr>
      <w:spacing w:beforeLines="0" w:afterLines="0"/>
    </w:pPr>
  </w:style>
  <w:style w:type="paragraph" w:customStyle="1" w:styleId="2945">
    <w:name w:val="目录 21"/>
    <w:basedOn w:val="1"/>
    <w:next w:val="1"/>
    <w:semiHidden/>
    <w:qFormat/>
    <w:uiPriority w:val="0"/>
    <w:pPr>
      <w:tabs>
        <w:tab w:val="clear" w:pos="480"/>
      </w:tabs>
      <w:spacing w:line="240" w:lineRule="auto"/>
      <w:ind w:left="210"/>
      <w:jc w:val="left"/>
    </w:pPr>
    <w:rPr>
      <w:smallCaps/>
      <w:szCs w:val="20"/>
    </w:rPr>
  </w:style>
  <w:style w:type="paragraph" w:customStyle="1" w:styleId="2946">
    <w:name w:val="样式 标题 2标题 21标题 121标题 2 Char1 Char节H2节标题 1.1节标题 1.1 Char..."/>
    <w:basedOn w:val="3"/>
    <w:semiHidden/>
    <w:qFormat/>
    <w:uiPriority w:val="0"/>
    <w:pPr>
      <w:keepNext w:val="0"/>
      <w:keepLines w:val="0"/>
      <w:widowControl/>
      <w:numPr>
        <w:ilvl w:val="0"/>
        <w:numId w:val="0"/>
      </w:numPr>
      <w:tabs>
        <w:tab w:val="clear" w:pos="480"/>
        <w:tab w:val="clear" w:pos="630"/>
      </w:tabs>
      <w:adjustRightInd w:val="0"/>
      <w:spacing w:before="100" w:after="100" w:line="460" w:lineRule="exact"/>
      <w:jc w:val="left"/>
    </w:pPr>
    <w:rPr>
      <w:rFonts w:eastAsia="黑体" w:cs="宋体"/>
      <w:color w:val="000000"/>
      <w:kern w:val="0"/>
      <w:sz w:val="28"/>
      <w:szCs w:val="20"/>
    </w:rPr>
  </w:style>
  <w:style w:type="paragraph" w:customStyle="1" w:styleId="2947">
    <w:name w:val="样式 标题 3 + 宋体"/>
    <w:basedOn w:val="4"/>
    <w:semiHidden/>
    <w:qFormat/>
    <w:uiPriority w:val="0"/>
    <w:pPr>
      <w:numPr>
        <w:ilvl w:val="0"/>
        <w:numId w:val="0"/>
      </w:numPr>
      <w:tabs>
        <w:tab w:val="left" w:pos="1035"/>
        <w:tab w:val="clear" w:pos="480"/>
        <w:tab w:val="clear" w:pos="840"/>
      </w:tabs>
      <w:adjustRightInd w:val="0"/>
      <w:spacing w:after="120" w:line="416" w:lineRule="atLeast"/>
      <w:ind w:left="1035" w:hanging="1035"/>
    </w:pPr>
    <w:rPr>
      <w:rFonts w:ascii="宋体" w:hAnsi="宋体" w:eastAsia="宋体"/>
      <w:b w:val="0"/>
      <w:bCs w:val="0"/>
      <w:color w:val="000000"/>
      <w:kern w:val="28"/>
      <w:sz w:val="28"/>
      <w:szCs w:val="24"/>
    </w:rPr>
  </w:style>
  <w:style w:type="paragraph" w:customStyle="1" w:styleId="2948">
    <w:name w:val="样式 黑体 小四 加粗 行距: 固定值 20 磅2"/>
    <w:basedOn w:val="1"/>
    <w:semiHidden/>
    <w:qFormat/>
    <w:uiPriority w:val="0"/>
    <w:pPr>
      <w:tabs>
        <w:tab w:val="clear" w:pos="480"/>
      </w:tabs>
      <w:spacing w:line="400" w:lineRule="exact"/>
    </w:pPr>
    <w:rPr>
      <w:rFonts w:ascii="黑体" w:eastAsia="黑体" w:cs="宋体"/>
      <w:b/>
      <w:bCs/>
      <w:sz w:val="28"/>
      <w:szCs w:val="20"/>
    </w:rPr>
  </w:style>
  <w:style w:type="paragraph" w:customStyle="1" w:styleId="2949">
    <w:name w:val="样式 样式 标题 4 + (西文) Times New Roman (中文) 楷体_GB2312 段前: 0 磅 段后: 0 磅..."/>
    <w:basedOn w:val="1"/>
    <w:semiHidden/>
    <w:qFormat/>
    <w:uiPriority w:val="0"/>
    <w:pPr>
      <w:keepNext/>
      <w:keepLines/>
      <w:tabs>
        <w:tab w:val="clear" w:pos="480"/>
      </w:tabs>
      <w:spacing w:beforeLines="50" w:afterLines="50"/>
      <w:jc w:val="left"/>
      <w:outlineLvl w:val="3"/>
    </w:pPr>
    <w:rPr>
      <w:rFonts w:eastAsia="楷体_GB2312" w:cs="宋体"/>
      <w:b/>
      <w:bCs/>
      <w:szCs w:val="20"/>
    </w:rPr>
  </w:style>
  <w:style w:type="paragraph" w:customStyle="1" w:styleId="2950">
    <w:name w:val="样式 标题 2标题节标题 1.1SeHead wsa2节H2标题 2 Char Char Char Char Ch..."/>
    <w:basedOn w:val="3"/>
    <w:semiHidden/>
    <w:qFormat/>
    <w:uiPriority w:val="0"/>
    <w:pPr>
      <w:numPr>
        <w:ilvl w:val="0"/>
        <w:numId w:val="0"/>
      </w:numPr>
      <w:tabs>
        <w:tab w:val="clear" w:pos="480"/>
        <w:tab w:val="clear" w:pos="630"/>
      </w:tabs>
      <w:spacing w:before="0" w:after="0" w:line="240" w:lineRule="auto"/>
      <w:jc w:val="center"/>
    </w:pPr>
    <w:rPr>
      <w:rFonts w:eastAsia="楷体_GB2312"/>
      <w:b w:val="0"/>
      <w:kern w:val="0"/>
      <w:sz w:val="24"/>
      <w:szCs w:val="20"/>
    </w:rPr>
  </w:style>
  <w:style w:type="character" w:customStyle="1" w:styleId="2951">
    <w:name w:val="p14"/>
    <w:basedOn w:val="133"/>
    <w:semiHidden/>
    <w:qFormat/>
    <w:uiPriority w:val="0"/>
  </w:style>
  <w:style w:type="character" w:customStyle="1" w:styleId="2952">
    <w:name w:val="style161"/>
    <w:semiHidden/>
    <w:qFormat/>
    <w:uiPriority w:val="0"/>
    <w:rPr>
      <w:b/>
      <w:bCs/>
      <w:color w:val="FF0000"/>
    </w:rPr>
  </w:style>
  <w:style w:type="character" w:customStyle="1" w:styleId="2953">
    <w:name w:val="批注框文本 Char1"/>
    <w:semiHidden/>
    <w:qFormat/>
    <w:uiPriority w:val="0"/>
    <w:rPr>
      <w:rFonts w:ascii="Times New Roman" w:hAnsi="Times New Roman" w:eastAsia="宋体" w:cs="Times New Roman"/>
      <w:sz w:val="18"/>
      <w:szCs w:val="18"/>
    </w:rPr>
  </w:style>
  <w:style w:type="character" w:customStyle="1" w:styleId="2954">
    <w:name w:val="批注主题 Char1"/>
    <w:qFormat/>
    <w:uiPriority w:val="0"/>
    <w:rPr>
      <w:rFonts w:ascii="Times New Roman" w:hAnsi="Times New Roman" w:eastAsia="宋体" w:cs="Times New Roman"/>
      <w:b/>
      <w:bCs/>
      <w:szCs w:val="24"/>
    </w:rPr>
  </w:style>
  <w:style w:type="character" w:customStyle="1" w:styleId="2955">
    <w:name w:val="read-text121"/>
    <w:semiHidden/>
    <w:qFormat/>
    <w:uiPriority w:val="0"/>
    <w:rPr>
      <w:color w:val="000000"/>
      <w:sz w:val="21"/>
      <w:szCs w:val="21"/>
      <w:u w:val="none"/>
    </w:rPr>
  </w:style>
  <w:style w:type="character" w:customStyle="1" w:styleId="2956">
    <w:name w:val="z5"/>
    <w:basedOn w:val="133"/>
    <w:semiHidden/>
    <w:qFormat/>
    <w:uiPriority w:val="0"/>
  </w:style>
  <w:style w:type="character" w:customStyle="1" w:styleId="2957">
    <w:name w:val="hangju3"/>
    <w:semiHidden/>
    <w:qFormat/>
    <w:uiPriority w:val="0"/>
    <w:rPr>
      <w:sz w:val="19"/>
      <w:szCs w:val="19"/>
    </w:rPr>
  </w:style>
  <w:style w:type="character" w:customStyle="1" w:styleId="2958">
    <w:name w:val="viewthreadtxt"/>
    <w:basedOn w:val="133"/>
    <w:semiHidden/>
    <w:qFormat/>
    <w:uiPriority w:val="0"/>
  </w:style>
  <w:style w:type="character" w:customStyle="1" w:styleId="2959">
    <w:name w:val="f121"/>
    <w:semiHidden/>
    <w:qFormat/>
    <w:uiPriority w:val="0"/>
    <w:rPr>
      <w:rFonts w:hint="default"/>
      <w:sz w:val="18"/>
      <w:szCs w:val="18"/>
    </w:rPr>
  </w:style>
  <w:style w:type="character" w:customStyle="1" w:styleId="2960">
    <w:name w:val="javascript1"/>
    <w:semiHidden/>
    <w:qFormat/>
    <w:uiPriority w:val="0"/>
    <w:rPr>
      <w:rFonts w:hint="default" w:ascii="Tahoma" w:hAnsi="Tahoma" w:cs="Tahoma"/>
      <w:sz w:val="18"/>
      <w:szCs w:val="18"/>
    </w:rPr>
  </w:style>
  <w:style w:type="character" w:customStyle="1" w:styleId="2961">
    <w:name w:val="f_heading1"/>
    <w:basedOn w:val="133"/>
    <w:semiHidden/>
    <w:qFormat/>
    <w:uiPriority w:val="0"/>
  </w:style>
  <w:style w:type="character" w:customStyle="1" w:styleId="2962">
    <w:name w:val="fj11"/>
    <w:semiHidden/>
    <w:qFormat/>
    <w:uiPriority w:val="0"/>
    <w:rPr>
      <w:rFonts w:hint="eastAsia" w:ascii="宋体" w:hAnsi="宋体" w:eastAsia="宋体"/>
      <w:sz w:val="21"/>
      <w:szCs w:val="21"/>
    </w:rPr>
  </w:style>
  <w:style w:type="character" w:customStyle="1" w:styleId="2963">
    <w:name w:val="text-h21"/>
    <w:semiHidden/>
    <w:qFormat/>
    <w:uiPriority w:val="0"/>
    <w:rPr>
      <w:rFonts w:hint="default" w:ascii="Tahoma" w:hAnsi="Tahoma" w:cs="Tahoma"/>
      <w:color w:val="333333"/>
      <w:sz w:val="18"/>
      <w:szCs w:val="18"/>
    </w:rPr>
  </w:style>
  <w:style w:type="character" w:customStyle="1" w:styleId="2964">
    <w:name w:val="index"/>
    <w:semiHidden/>
    <w:qFormat/>
    <w:uiPriority w:val="0"/>
    <w:rPr>
      <w:rFonts w:hint="default" w:ascii="Verdana" w:hAnsi="Verdana" w:eastAsia="仿宋_GB2312"/>
      <w:sz w:val="24"/>
      <w:lang w:val="en-US" w:eastAsia="en-US" w:bidi="ar-SA"/>
    </w:rPr>
  </w:style>
  <w:style w:type="character" w:customStyle="1" w:styleId="2965">
    <w:name w:val="style111"/>
    <w:semiHidden/>
    <w:qFormat/>
    <w:uiPriority w:val="0"/>
    <w:rPr>
      <w:rFonts w:hint="default" w:ascii="Verdana" w:hAnsi="Verdana" w:eastAsia="仿宋_GB2312"/>
      <w:sz w:val="28"/>
      <w:szCs w:val="28"/>
      <w:lang w:val="en-US" w:eastAsia="en-US" w:bidi="ar-SA"/>
    </w:rPr>
  </w:style>
  <w:style w:type="character" w:customStyle="1" w:styleId="2966">
    <w:name w:val="w"/>
    <w:basedOn w:val="133"/>
    <w:semiHidden/>
    <w:qFormat/>
    <w:uiPriority w:val="0"/>
  </w:style>
  <w:style w:type="character" w:customStyle="1" w:styleId="2967">
    <w:name w:val="z141"/>
    <w:semiHidden/>
    <w:qFormat/>
    <w:uiPriority w:val="0"/>
    <w:rPr>
      <w:sz w:val="21"/>
      <w:szCs w:val="21"/>
    </w:rPr>
  </w:style>
  <w:style w:type="character" w:customStyle="1" w:styleId="2968">
    <w:name w:val="称呼 Char1"/>
    <w:semiHidden/>
    <w:qFormat/>
    <w:uiPriority w:val="0"/>
    <w:rPr>
      <w:rFonts w:ascii="Times New Roman" w:hAnsi="Times New Roman" w:eastAsia="宋体" w:cs="Times New Roman"/>
      <w:sz w:val="24"/>
      <w:szCs w:val="24"/>
    </w:rPr>
  </w:style>
  <w:style w:type="character" w:customStyle="1" w:styleId="2969">
    <w:name w:val="电子邮件签名 Char1"/>
    <w:semiHidden/>
    <w:qFormat/>
    <w:uiPriority w:val="0"/>
    <w:rPr>
      <w:rFonts w:ascii="Times New Roman" w:hAnsi="Times New Roman" w:eastAsia="宋体" w:cs="Times New Roman"/>
      <w:sz w:val="24"/>
      <w:szCs w:val="24"/>
    </w:rPr>
  </w:style>
  <w:style w:type="character" w:customStyle="1" w:styleId="2970">
    <w:name w:val="结束语 Char1"/>
    <w:semiHidden/>
    <w:qFormat/>
    <w:uiPriority w:val="0"/>
    <w:rPr>
      <w:rFonts w:ascii="Times New Roman" w:hAnsi="Times New Roman" w:eastAsia="宋体" w:cs="Times New Roman"/>
      <w:sz w:val="24"/>
      <w:szCs w:val="24"/>
    </w:rPr>
  </w:style>
  <w:style w:type="character" w:customStyle="1" w:styleId="2971">
    <w:name w:val="签名 Char1"/>
    <w:semiHidden/>
    <w:qFormat/>
    <w:uiPriority w:val="0"/>
    <w:rPr>
      <w:rFonts w:ascii="Times New Roman" w:hAnsi="Times New Roman" w:eastAsia="宋体" w:cs="Times New Roman"/>
      <w:sz w:val="24"/>
      <w:szCs w:val="24"/>
    </w:rPr>
  </w:style>
  <w:style w:type="character" w:customStyle="1" w:styleId="2972">
    <w:name w:val="信息标题 Char1"/>
    <w:semiHidden/>
    <w:qFormat/>
    <w:uiPriority w:val="0"/>
    <w:rPr>
      <w:rFonts w:ascii="Cambria" w:hAnsi="Cambria" w:eastAsia="宋体" w:cs="Times New Roman"/>
      <w:sz w:val="24"/>
      <w:szCs w:val="24"/>
      <w:shd w:val="pct20" w:color="auto" w:fill="auto"/>
    </w:rPr>
  </w:style>
  <w:style w:type="character" w:customStyle="1" w:styleId="2973">
    <w:name w:val="尾注文本 Char1"/>
    <w:semiHidden/>
    <w:qFormat/>
    <w:uiPriority w:val="0"/>
    <w:rPr>
      <w:rFonts w:ascii="Times New Roman" w:hAnsi="Times New Roman" w:eastAsia="宋体" w:cs="Times New Roman"/>
      <w:sz w:val="24"/>
      <w:szCs w:val="24"/>
    </w:rPr>
  </w:style>
  <w:style w:type="character" w:customStyle="1" w:styleId="2974">
    <w:name w:val="bodycopymain1"/>
    <w:semiHidden/>
    <w:qFormat/>
    <w:uiPriority w:val="0"/>
    <w:rPr>
      <w:rFonts w:hint="default" w:ascii="Arial" w:hAnsi="Arial" w:cs="Arial"/>
      <w:color w:val="000000"/>
      <w:sz w:val="18"/>
      <w:szCs w:val="18"/>
    </w:rPr>
  </w:style>
  <w:style w:type="character" w:customStyle="1" w:styleId="2975">
    <w:name w:val="headline-content2"/>
    <w:basedOn w:val="133"/>
    <w:semiHidden/>
    <w:qFormat/>
    <w:uiPriority w:val="0"/>
  </w:style>
  <w:style w:type="character" w:customStyle="1" w:styleId="2976">
    <w:name w:val="pt921"/>
    <w:semiHidden/>
    <w:qFormat/>
    <w:uiPriority w:val="0"/>
    <w:rPr>
      <w:rFonts w:hint="eastAsia" w:ascii="宋体" w:hAnsi="宋体" w:eastAsia="宋体"/>
      <w:sz w:val="18"/>
      <w:szCs w:val="18"/>
    </w:rPr>
  </w:style>
  <w:style w:type="character" w:customStyle="1" w:styleId="2977">
    <w:name w:val="jq1"/>
    <w:semiHidden/>
    <w:qFormat/>
    <w:uiPriority w:val="0"/>
    <w:rPr>
      <w:rFonts w:hint="eastAsia" w:ascii="宋体" w:hAnsi="宋体" w:eastAsia="宋体"/>
      <w:sz w:val="18"/>
    </w:rPr>
  </w:style>
  <w:style w:type="character" w:customStyle="1" w:styleId="2978">
    <w:name w:val="bigblue"/>
    <w:basedOn w:val="133"/>
    <w:semiHidden/>
    <w:qFormat/>
    <w:uiPriority w:val="0"/>
  </w:style>
  <w:style w:type="character" w:customStyle="1" w:styleId="2979">
    <w:name w:val="表格内容 Char Char"/>
    <w:qFormat/>
    <w:uiPriority w:val="0"/>
    <w:rPr>
      <w:rFonts w:hint="eastAsia" w:ascii="宋体" w:hAnsi="Courier New" w:eastAsia="宋体"/>
      <w:kern w:val="2"/>
      <w:sz w:val="24"/>
      <w:lang w:val="en-US" w:eastAsia="zh-CN" w:bidi="ar-SA"/>
    </w:rPr>
  </w:style>
  <w:style w:type="character" w:customStyle="1" w:styleId="2980">
    <w:name w:val="条标题1.1.1 Char2"/>
    <w:semiHidden/>
    <w:qFormat/>
    <w:uiPriority w:val="0"/>
    <w:rPr>
      <w:rFonts w:hint="eastAsia" w:ascii="仿宋_GB2312" w:eastAsia="仿宋_GB2312"/>
      <w:kern w:val="28"/>
      <w:sz w:val="24"/>
      <w:lang w:val="en-US" w:eastAsia="zh-CN" w:bidi="ar-SA"/>
    </w:rPr>
  </w:style>
  <w:style w:type="character" w:customStyle="1" w:styleId="2981">
    <w:name w:val="ttitle1"/>
    <w:semiHidden/>
    <w:qFormat/>
    <w:uiPriority w:val="0"/>
    <w:rPr>
      <w:spacing w:val="120"/>
      <w:sz w:val="26"/>
      <w:szCs w:val="26"/>
    </w:rPr>
  </w:style>
  <w:style w:type="character" w:customStyle="1" w:styleId="2982">
    <w:name w:val="节 Char Char"/>
    <w:qFormat/>
    <w:uiPriority w:val="0"/>
    <w:rPr>
      <w:rFonts w:hint="default" w:ascii="Arial" w:hAnsi="Arial" w:eastAsia="黑体" w:cs="Arial"/>
      <w:b/>
      <w:bCs/>
      <w:kern w:val="2"/>
      <w:sz w:val="32"/>
      <w:szCs w:val="32"/>
      <w:lang w:val="en-US" w:eastAsia="zh-CN" w:bidi="ar-SA"/>
    </w:rPr>
  </w:style>
  <w:style w:type="character" w:customStyle="1" w:styleId="2983">
    <w:name w:val="font2"/>
    <w:semiHidden/>
    <w:qFormat/>
    <w:uiPriority w:val="0"/>
    <w:rPr>
      <w:color w:val="336633"/>
      <w:sz w:val="21"/>
      <w:szCs w:val="21"/>
    </w:rPr>
  </w:style>
  <w:style w:type="character" w:customStyle="1" w:styleId="2984">
    <w:name w:val="commentaryteaser1"/>
    <w:semiHidden/>
    <w:qFormat/>
    <w:uiPriority w:val="0"/>
    <w:rPr>
      <w:sz w:val="18"/>
      <w:szCs w:val="18"/>
    </w:rPr>
  </w:style>
  <w:style w:type="character" w:customStyle="1" w:styleId="2985">
    <w:name w:val="unnamed2"/>
    <w:basedOn w:val="133"/>
    <w:semiHidden/>
    <w:qFormat/>
    <w:uiPriority w:val="0"/>
  </w:style>
  <w:style w:type="character" w:customStyle="1" w:styleId="2986">
    <w:name w:val="style241"/>
    <w:semiHidden/>
    <w:qFormat/>
    <w:uiPriority w:val="0"/>
    <w:rPr>
      <w:sz w:val="20"/>
      <w:szCs w:val="20"/>
    </w:rPr>
  </w:style>
  <w:style w:type="character" w:customStyle="1" w:styleId="2987">
    <w:name w:val="样式19 Char"/>
    <w:link w:val="1168"/>
    <w:qFormat/>
    <w:locked/>
    <w:uiPriority w:val="0"/>
    <w:rPr>
      <w:rFonts w:ascii="Arial" w:hAnsi="Arial" w:eastAsia="黑体" w:cs="宋体"/>
      <w:b/>
      <w:bCs/>
      <w:sz w:val="30"/>
      <w:szCs w:val="24"/>
      <w:lang w:bidi="ar-SA"/>
    </w:rPr>
  </w:style>
  <w:style w:type="character" w:customStyle="1" w:styleId="2988">
    <w:name w:val="Char Char151"/>
    <w:semiHidden/>
    <w:qFormat/>
    <w:uiPriority w:val="0"/>
    <w:rPr>
      <w:rFonts w:hint="eastAsia" w:ascii="宋体" w:hAnsi="宋体" w:eastAsia="宋体"/>
      <w:kern w:val="2"/>
      <w:sz w:val="24"/>
      <w:lang w:val="en-US" w:eastAsia="zh-CN" w:bidi="ar-SA"/>
    </w:rPr>
  </w:style>
  <w:style w:type="character" w:customStyle="1" w:styleId="2989">
    <w:name w:val="Char Char14"/>
    <w:qFormat/>
    <w:uiPriority w:val="0"/>
    <w:rPr>
      <w:kern w:val="2"/>
      <w:sz w:val="21"/>
      <w:szCs w:val="24"/>
      <w:shd w:val="clear" w:color="auto" w:fill="000080"/>
    </w:rPr>
  </w:style>
  <w:style w:type="character" w:customStyle="1" w:styleId="2990">
    <w:name w:val="Char Char161"/>
    <w:semiHidden/>
    <w:qFormat/>
    <w:uiPriority w:val="0"/>
    <w:rPr>
      <w:rFonts w:hint="eastAsia" w:ascii="宋体" w:hAnsi="宋体" w:eastAsia="宋体"/>
      <w:color w:val="000000"/>
      <w:kern w:val="2"/>
      <w:sz w:val="24"/>
      <w:szCs w:val="24"/>
      <w:lang w:val="en-US" w:eastAsia="zh-CN" w:bidi="ar-SA"/>
    </w:rPr>
  </w:style>
  <w:style w:type="character" w:customStyle="1" w:styleId="2991">
    <w:name w:val="textcontents1"/>
    <w:semiHidden/>
    <w:qFormat/>
    <w:uiPriority w:val="0"/>
    <w:rPr>
      <w:color w:val="000000"/>
      <w:sz w:val="21"/>
      <w:szCs w:val="21"/>
    </w:rPr>
  </w:style>
  <w:style w:type="character" w:customStyle="1" w:styleId="2992">
    <w:name w:val="big"/>
    <w:basedOn w:val="133"/>
    <w:semiHidden/>
    <w:qFormat/>
    <w:uiPriority w:val="0"/>
  </w:style>
  <w:style w:type="character" w:customStyle="1" w:styleId="2993">
    <w:name w:val="aboutus1"/>
    <w:semiHidden/>
    <w:qFormat/>
    <w:uiPriority w:val="0"/>
    <w:rPr>
      <w:rFonts w:hint="default" w:ascii="ˎ̥" w:hAnsi="ˎ̥"/>
      <w:color w:val="000000"/>
      <w:sz w:val="18"/>
      <w:szCs w:val="18"/>
      <w:u w:val="none"/>
    </w:rPr>
  </w:style>
  <w:style w:type="character" w:customStyle="1" w:styleId="2994">
    <w:name w:val="size9"/>
    <w:basedOn w:val="133"/>
    <w:semiHidden/>
    <w:qFormat/>
    <w:uiPriority w:val="0"/>
  </w:style>
  <w:style w:type="character" w:customStyle="1" w:styleId="2995">
    <w:name w:val="Char Char5"/>
    <w:qFormat/>
    <w:uiPriority w:val="0"/>
    <w:rPr>
      <w:rFonts w:hint="default" w:ascii="Arial" w:hAnsi="Arial" w:eastAsia="宋体" w:cs="Arial"/>
      <w:b/>
      <w:kern w:val="2"/>
      <w:sz w:val="32"/>
      <w:lang w:val="en-US" w:eastAsia="zh-CN" w:bidi="ar-SA"/>
    </w:rPr>
  </w:style>
  <w:style w:type="character" w:customStyle="1" w:styleId="2996">
    <w:name w:val="text-blk1"/>
    <w:semiHidden/>
    <w:qFormat/>
    <w:uiPriority w:val="0"/>
    <w:rPr>
      <w:color w:val="000000"/>
      <w:sz w:val="18"/>
      <w:szCs w:val="18"/>
    </w:rPr>
  </w:style>
  <w:style w:type="character" w:customStyle="1" w:styleId="2997">
    <w:name w:val="Char Char8"/>
    <w:qFormat/>
    <w:uiPriority w:val="0"/>
    <w:rPr>
      <w:rFonts w:hint="eastAsia" w:ascii="宋体" w:hAnsi="宋体" w:eastAsia="宋体"/>
      <w:color w:val="000000"/>
      <w:kern w:val="2"/>
      <w:sz w:val="21"/>
    </w:rPr>
  </w:style>
  <w:style w:type="character" w:customStyle="1" w:styleId="2998">
    <w:name w:val="articlecontent"/>
    <w:basedOn w:val="133"/>
    <w:semiHidden/>
    <w:qFormat/>
    <w:uiPriority w:val="0"/>
  </w:style>
  <w:style w:type="character" w:customStyle="1" w:styleId="2999">
    <w:name w:val="weibu"/>
    <w:basedOn w:val="133"/>
    <w:semiHidden/>
    <w:qFormat/>
    <w:uiPriority w:val="0"/>
  </w:style>
  <w:style w:type="character" w:customStyle="1" w:styleId="3000">
    <w:name w:val="subtitle1"/>
    <w:semiHidden/>
    <w:qFormat/>
    <w:uiPriority w:val="0"/>
    <w:rPr>
      <w:rFonts w:hint="default" w:ascii="ˎ̥" w:hAnsi="ˎ̥"/>
      <w:sz w:val="20"/>
      <w:szCs w:val="20"/>
    </w:rPr>
  </w:style>
  <w:style w:type="character" w:customStyle="1" w:styleId="3001">
    <w:name w:val="little21"/>
    <w:semiHidden/>
    <w:qFormat/>
    <w:uiPriority w:val="0"/>
    <w:rPr>
      <w:rFonts w:hint="default"/>
      <w:color w:val="000000"/>
      <w:sz w:val="18"/>
      <w:szCs w:val="18"/>
      <w:u w:val="none"/>
    </w:rPr>
  </w:style>
  <w:style w:type="character" w:customStyle="1" w:styleId="3002">
    <w:name w:val="newsfont1"/>
    <w:semiHidden/>
    <w:qFormat/>
    <w:uiPriority w:val="0"/>
    <w:rPr>
      <w:color w:val="000000"/>
      <w:sz w:val="26"/>
      <w:szCs w:val="26"/>
    </w:rPr>
  </w:style>
  <w:style w:type="character" w:customStyle="1" w:styleId="3003">
    <w:name w:val="line1"/>
    <w:basedOn w:val="133"/>
    <w:semiHidden/>
    <w:qFormat/>
    <w:uiPriority w:val="0"/>
  </w:style>
  <w:style w:type="character" w:customStyle="1" w:styleId="3004">
    <w:name w:val="Char Char12"/>
    <w:semiHidden/>
    <w:qFormat/>
    <w:uiPriority w:val="0"/>
    <w:rPr>
      <w:rFonts w:hint="eastAsia" w:ascii="宋体" w:hAnsi="宋体" w:eastAsia="宋体"/>
      <w:color w:val="000000"/>
      <w:kern w:val="2"/>
      <w:sz w:val="21"/>
    </w:rPr>
  </w:style>
  <w:style w:type="character" w:customStyle="1" w:styleId="3005">
    <w:name w:val="style101"/>
    <w:semiHidden/>
    <w:qFormat/>
    <w:uiPriority w:val="0"/>
    <w:rPr>
      <w:color w:val="FF6600"/>
    </w:rPr>
  </w:style>
  <w:style w:type="character" w:customStyle="1" w:styleId="3006">
    <w:name w:val="l17-z105"/>
    <w:basedOn w:val="133"/>
    <w:semiHidden/>
    <w:qFormat/>
    <w:uiPriority w:val="0"/>
  </w:style>
  <w:style w:type="character" w:customStyle="1" w:styleId="3007">
    <w:name w:val="t11"/>
    <w:semiHidden/>
    <w:qFormat/>
    <w:uiPriority w:val="0"/>
    <w:rPr>
      <w:rFonts w:hint="default"/>
      <w:b/>
      <w:bCs/>
      <w:sz w:val="24"/>
      <w:szCs w:val="24"/>
    </w:rPr>
  </w:style>
  <w:style w:type="character" w:customStyle="1" w:styleId="3008">
    <w:name w:val="style171"/>
    <w:semiHidden/>
    <w:qFormat/>
    <w:uiPriority w:val="0"/>
    <w:rPr>
      <w:color w:val="333333"/>
    </w:rPr>
  </w:style>
  <w:style w:type="character" w:customStyle="1" w:styleId="3009">
    <w:name w:val="标题2 Char Char"/>
    <w:semiHidden/>
    <w:qFormat/>
    <w:uiPriority w:val="0"/>
    <w:rPr>
      <w:rFonts w:hint="default" w:ascii="Arial" w:hAnsi="Arial" w:eastAsia="宋体" w:cs="Arial"/>
      <w:b/>
      <w:bCs/>
      <w:kern w:val="2"/>
      <w:sz w:val="28"/>
      <w:szCs w:val="32"/>
      <w:lang w:val="en-US" w:eastAsia="zh-CN" w:bidi="ar-SA"/>
    </w:rPr>
  </w:style>
  <w:style w:type="character" w:customStyle="1" w:styleId="3010">
    <w:name w:val="style71"/>
    <w:semiHidden/>
    <w:qFormat/>
    <w:uiPriority w:val="0"/>
    <w:rPr>
      <w:color w:val="FF0000"/>
    </w:rPr>
  </w:style>
  <w:style w:type="character" w:customStyle="1" w:styleId="3011">
    <w:name w:val="z11"/>
    <w:semiHidden/>
    <w:qFormat/>
    <w:uiPriority w:val="0"/>
    <w:rPr>
      <w:rFonts w:hint="default" w:ascii="ˎ̥" w:hAnsi="ˎ̥"/>
      <w:b/>
      <w:bCs/>
      <w:color w:val="0000FF"/>
      <w:sz w:val="20"/>
      <w:szCs w:val="20"/>
    </w:rPr>
  </w:style>
  <w:style w:type="character" w:customStyle="1" w:styleId="3012">
    <w:name w:val="style61"/>
    <w:semiHidden/>
    <w:qFormat/>
    <w:uiPriority w:val="0"/>
    <w:rPr>
      <w:sz w:val="24"/>
      <w:szCs w:val="24"/>
    </w:rPr>
  </w:style>
  <w:style w:type="character" w:customStyle="1" w:styleId="3013">
    <w:name w:val="bodyfont1"/>
    <w:semiHidden/>
    <w:qFormat/>
    <w:uiPriority w:val="0"/>
    <w:rPr>
      <w:sz w:val="17"/>
      <w:szCs w:val="17"/>
    </w:rPr>
  </w:style>
  <w:style w:type="table" w:customStyle="1" w:styleId="3014">
    <w:name w:val="网格型10"/>
    <w:basedOn w:val="88"/>
    <w:semiHidden/>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15">
    <w:name w:val="网格型11"/>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16">
    <w:name w:val="嵌套表格"/>
    <w:basedOn w:val="88"/>
    <w:semiHidden/>
    <w:qFormat/>
    <w:uiPriority w:val="0"/>
    <w:pPr>
      <w:keepLines/>
    </w:pPr>
    <w:rPr>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vAlign w:val="center"/>
    </w:tcPr>
  </w:style>
  <w:style w:type="paragraph" w:customStyle="1" w:styleId="3017">
    <w:name w:val="样式 样式 标题 2标题 21标题 121标题 2 Char1 Char节H2节标题 1.1节标题 1.1 Char... + ..."/>
    <w:basedOn w:val="2946"/>
    <w:semiHidden/>
    <w:qFormat/>
    <w:uiPriority w:val="0"/>
    <w:pPr>
      <w:spacing w:before="156" w:after="156"/>
    </w:pPr>
  </w:style>
  <w:style w:type="paragraph" w:customStyle="1" w:styleId="3018">
    <w:name w:val="样式 样式 标题 2标题 21标题 121标题 2 Char1 Char节H2节标题 1.1节标题 1.1 Char... +"/>
    <w:basedOn w:val="2946"/>
    <w:semiHidden/>
    <w:qFormat/>
    <w:uiPriority w:val="0"/>
    <w:pPr/>
    <w:rPr>
      <w:kern w:val="2"/>
    </w:rPr>
  </w:style>
  <w:style w:type="paragraph" w:customStyle="1" w:styleId="3019">
    <w:name w:val="样式 样式 标题 1标题 11一、标题 1 Char章 + Times New Roman 小三 非加粗 黑色 行距:... +..."/>
    <w:basedOn w:val="2938"/>
    <w:semiHidden/>
    <w:qFormat/>
    <w:uiPriority w:val="0"/>
    <w:pPr>
      <w:spacing w:before="156" w:after="156"/>
    </w:pPr>
  </w:style>
  <w:style w:type="paragraph" w:customStyle="1" w:styleId="3020">
    <w:name w:val="样式 样式 标题 3标题 13标题 3 Char1 Char Char Char标题 31ReHead 3 WSAh3B... ..."/>
    <w:basedOn w:val="2931"/>
    <w:semiHidden/>
    <w:qFormat/>
    <w:uiPriority w:val="0"/>
    <w:pPr>
      <w:spacing w:beforeLines="0" w:line="360" w:lineRule="auto"/>
    </w:pPr>
  </w:style>
  <w:style w:type="paragraph" w:customStyle="1" w:styleId="3021">
    <w:name w:val="样式 样式 标题 3标题 13标题 3 Char1 Char Char Char标题 31ReHead 3 WSAh3B... ...1"/>
    <w:basedOn w:val="2931"/>
    <w:semiHidden/>
    <w:qFormat/>
    <w:uiPriority w:val="0"/>
    <w:pPr/>
  </w:style>
  <w:style w:type="paragraph" w:customStyle="1" w:styleId="3022">
    <w:name w:val="Losange 3"/>
    <w:basedOn w:val="2904"/>
    <w:semiHidden/>
    <w:qFormat/>
    <w:uiPriority w:val="0"/>
    <w:pPr>
      <w:tabs>
        <w:tab w:val="left" w:pos="360"/>
      </w:tabs>
      <w:ind w:left="360" w:hanging="360" w:hangingChars="200"/>
    </w:pPr>
  </w:style>
  <w:style w:type="character" w:customStyle="1" w:styleId="3023">
    <w:name w:val="明显引用 Char"/>
    <w:link w:val="3024"/>
    <w:qFormat/>
    <w:locked/>
    <w:uiPriority w:val="0"/>
    <w:rPr>
      <w:b/>
      <w:bCs/>
      <w:i/>
      <w:iCs/>
      <w:color w:val="4F81BD"/>
      <w:szCs w:val="24"/>
      <w:lang w:bidi="ar-SA"/>
    </w:rPr>
  </w:style>
  <w:style w:type="paragraph" w:styleId="3024">
    <w:name w:val="Intense Quote"/>
    <w:basedOn w:val="1"/>
    <w:next w:val="1"/>
    <w:link w:val="3023"/>
    <w:qFormat/>
    <w:uiPriority w:val="0"/>
    <w:pPr>
      <w:pBdr>
        <w:bottom w:val="single" w:color="4F81BD" w:sz="4" w:space="4"/>
      </w:pBdr>
      <w:spacing w:before="200" w:after="280"/>
      <w:ind w:left="936" w:right="936"/>
    </w:pPr>
    <w:rPr>
      <w:b/>
      <w:bCs/>
      <w:i/>
      <w:iCs/>
      <w:color w:val="4F81BD"/>
      <w:kern w:val="0"/>
      <w:sz w:val="20"/>
      <w:lang w:val="zh-CN"/>
    </w:rPr>
  </w:style>
  <w:style w:type="paragraph" w:customStyle="1" w:styleId="3025">
    <w:name w:val="样式 正文文字缩进 2 + (符号) 宋体 小四 首行缩进:  2 字符"/>
    <w:basedOn w:val="51"/>
    <w:semiHidden/>
    <w:qFormat/>
    <w:uiPriority w:val="0"/>
    <w:pPr>
      <w:adjustRightInd w:val="0"/>
      <w:snapToGrid w:val="0"/>
      <w:spacing w:line="360" w:lineRule="auto"/>
      <w:ind w:left="0" w:firstLine="480" w:firstLineChars="200"/>
    </w:pPr>
    <w:rPr>
      <w:rFonts w:ascii="宋体" w:hAnsi="宋体"/>
      <w:spacing w:val="0"/>
      <w:kern w:val="0"/>
      <w:sz w:val="24"/>
    </w:rPr>
  </w:style>
  <w:style w:type="paragraph" w:customStyle="1" w:styleId="3026">
    <w:name w:val="样式 五号 居中 首行缩进:  0.74 厘米 行距: 单倍行距"/>
    <w:basedOn w:val="1"/>
    <w:semiHidden/>
    <w:qFormat/>
    <w:uiPriority w:val="0"/>
    <w:pPr>
      <w:spacing w:line="240" w:lineRule="auto"/>
      <w:jc w:val="center"/>
    </w:pPr>
    <w:rPr>
      <w:rFonts w:cs="宋体"/>
      <w:sz w:val="21"/>
      <w:szCs w:val="20"/>
    </w:rPr>
  </w:style>
  <w:style w:type="character" w:customStyle="1" w:styleId="3027">
    <w:name w:val="样式 首行缩进:  2 字符1 Char Char"/>
    <w:semiHidden/>
    <w:qFormat/>
    <w:locked/>
    <w:uiPriority w:val="0"/>
    <w:rPr>
      <w:sz w:val="24"/>
      <w:szCs w:val="24"/>
    </w:rPr>
  </w:style>
  <w:style w:type="paragraph" w:customStyle="1" w:styleId="3028">
    <w:name w:val="字元 字元1 Char Char 字元 字元"/>
    <w:basedOn w:val="1"/>
    <w:semiHidden/>
    <w:qFormat/>
    <w:uiPriority w:val="0"/>
    <w:pPr>
      <w:tabs>
        <w:tab w:val="clear" w:pos="480"/>
      </w:tabs>
      <w:spacing w:line="240" w:lineRule="auto"/>
    </w:pPr>
  </w:style>
  <w:style w:type="paragraph" w:customStyle="1" w:styleId="3029">
    <w:name w:val="MYBODY"/>
    <w:basedOn w:val="1"/>
    <w:semiHidden/>
    <w:qFormat/>
    <w:uiPriority w:val="0"/>
    <w:pPr>
      <w:tabs>
        <w:tab w:val="clear" w:pos="480"/>
      </w:tabs>
      <w:adjustRightInd w:val="0"/>
      <w:ind w:firstLine="225" w:firstLineChars="225"/>
      <w:jc w:val="left"/>
    </w:pPr>
    <w:rPr>
      <w:rFonts w:ascii="宋体"/>
      <w:kern w:val="0"/>
      <w:szCs w:val="20"/>
    </w:rPr>
  </w:style>
  <w:style w:type="paragraph" w:customStyle="1" w:styleId="3030">
    <w:name w:val="表、图名"/>
    <w:basedOn w:val="1"/>
    <w:semiHidden/>
    <w:qFormat/>
    <w:uiPriority w:val="0"/>
    <w:pPr>
      <w:tabs>
        <w:tab w:val="clear" w:pos="480"/>
      </w:tabs>
      <w:adjustRightInd w:val="0"/>
      <w:snapToGrid w:val="0"/>
      <w:spacing w:line="240" w:lineRule="auto"/>
      <w:ind w:left="-6"/>
      <w:jc w:val="center"/>
    </w:pPr>
    <w:rPr>
      <w:rFonts w:ascii="黑体" w:hAnsi="宋体" w:eastAsia="黑体"/>
      <w:color w:val="000000"/>
      <w:sz w:val="28"/>
      <w:szCs w:val="20"/>
    </w:rPr>
  </w:style>
  <w:style w:type="paragraph" w:customStyle="1" w:styleId="3031">
    <w:name w:val="批注主题 Char Char"/>
    <w:basedOn w:val="27"/>
    <w:next w:val="27"/>
    <w:semiHidden/>
    <w:qFormat/>
    <w:uiPriority w:val="0"/>
    <w:pPr>
      <w:adjustRightInd/>
      <w:spacing w:line="360" w:lineRule="auto"/>
      <w:ind w:left="-2" w:leftChars="-1" w:firstLine="456" w:firstLineChars="190"/>
      <w:textAlignment w:val="auto"/>
    </w:pPr>
    <w:rPr>
      <w:rFonts w:ascii="Calibri" w:hAnsi="Calibri"/>
      <w:b/>
      <w:sz w:val="28"/>
    </w:rPr>
  </w:style>
  <w:style w:type="paragraph" w:customStyle="1" w:styleId="3032">
    <w:name w:val="Char Char Char Char Char Char Char Char Char Char Char Char Char Char Char Char Char Char Char Char Char Char Char Char Char Char Char Char Char Char Char Char Char Char Char Char Char Char Char Char Char Char Char"/>
    <w:basedOn w:val="1"/>
    <w:next w:val="1"/>
    <w:semiHidden/>
    <w:qFormat/>
    <w:uiPriority w:val="0"/>
    <w:pPr>
      <w:tabs>
        <w:tab w:val="clear" w:pos="480"/>
      </w:tabs>
    </w:pPr>
    <w:rPr>
      <w:rFonts w:ascii="宋体" w:hAnsi="宋体" w:cs="宋体"/>
    </w:rPr>
  </w:style>
  <w:style w:type="paragraph" w:customStyle="1" w:styleId="3033">
    <w:name w:val="Char Char Char Char Char Char1 Char Char Char1 Char Char Char1 Char Char Char Char Char Char Char Char Char Char Char Char"/>
    <w:basedOn w:val="1"/>
    <w:next w:val="1"/>
    <w:semiHidden/>
    <w:qFormat/>
    <w:uiPriority w:val="0"/>
    <w:pPr>
      <w:tabs>
        <w:tab w:val="clear" w:pos="480"/>
      </w:tabs>
    </w:pPr>
    <w:rPr>
      <w:rFonts w:ascii="宋体" w:hAnsi="宋体" w:cs="宋体"/>
    </w:rPr>
  </w:style>
  <w:style w:type="paragraph" w:customStyle="1" w:styleId="3034">
    <w:name w:val="样式 普通(网站) + 深蓝"/>
    <w:basedOn w:val="81"/>
    <w:semiHidden/>
    <w:qFormat/>
    <w:uiPriority w:val="0"/>
    <w:pPr>
      <w:spacing w:line="360" w:lineRule="auto"/>
      <w:ind w:left="-2" w:leftChars="-1" w:firstLine="456" w:firstLineChars="190"/>
    </w:pPr>
    <w:rPr>
      <w:rFonts w:ascii="宋体" w:hAnsi="宋体" w:eastAsia="宋体" w:cs="宋体"/>
      <w:color w:val="000080"/>
      <w:szCs w:val="20"/>
    </w:rPr>
  </w:style>
  <w:style w:type="paragraph" w:customStyle="1" w:styleId="3035">
    <w:name w:val="xl177"/>
    <w:basedOn w:val="1"/>
    <w:semiHidden/>
    <w:qFormat/>
    <w:uiPriority w:val="0"/>
    <w:pPr>
      <w:widowControl/>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3036">
    <w:name w:val="xl178"/>
    <w:basedOn w:val="1"/>
    <w:semiHidden/>
    <w:qFormat/>
    <w:uiPriority w:val="0"/>
    <w:pPr>
      <w:widowControl/>
      <w:pBdr>
        <w:top w:val="single" w:color="auto" w:sz="4" w:space="0"/>
        <w:left w:val="single" w:color="auto" w:sz="4" w:space="0"/>
        <w:bottom w:val="single" w:color="auto" w:sz="4" w:space="0"/>
      </w:pBdr>
      <w:shd w:val="clear" w:color="auto" w:fill="FFFF99"/>
      <w:tabs>
        <w:tab w:val="clear" w:pos="480"/>
      </w:tabs>
      <w:spacing w:before="100" w:beforeAutospacing="1" w:after="100" w:afterAutospacing="1" w:line="240" w:lineRule="auto"/>
      <w:jc w:val="center"/>
    </w:pPr>
    <w:rPr>
      <w:rFonts w:ascii="Arial Unicode MS" w:hAnsi="Arial Unicode MS" w:eastAsia="Arial Unicode MS" w:cs="Arial Unicode MS"/>
      <w:kern w:val="0"/>
      <w:sz w:val="20"/>
      <w:szCs w:val="20"/>
    </w:rPr>
  </w:style>
  <w:style w:type="paragraph" w:customStyle="1" w:styleId="3037">
    <w:name w:val="Char Char Char Char Char Char Char Char Char Char Char Char Char Char Char Char Char Char Char Char Char Char Char Char Char Char Char Char Char Char Char Char Char Char Char Char2"/>
    <w:basedOn w:val="1"/>
    <w:next w:val="1"/>
    <w:semiHidden/>
    <w:qFormat/>
    <w:uiPriority w:val="0"/>
    <w:pPr>
      <w:tabs>
        <w:tab w:val="clear" w:pos="480"/>
      </w:tabs>
    </w:pPr>
    <w:rPr>
      <w:rFonts w:ascii="宋体" w:hAnsi="宋体" w:cs="宋体"/>
    </w:rPr>
  </w:style>
  <w:style w:type="paragraph" w:customStyle="1" w:styleId="3038">
    <w:name w:val="Char Char Char Char Char Char Char Char Char Char Char Char Char Char Char Char Char Char Char Char Char Char Char Char Char Char Char Char Char Char Char Char Char Char Char Char Char"/>
    <w:basedOn w:val="1"/>
    <w:next w:val="1"/>
    <w:semiHidden/>
    <w:qFormat/>
    <w:uiPriority w:val="0"/>
    <w:pPr>
      <w:tabs>
        <w:tab w:val="clear" w:pos="480"/>
      </w:tabs>
    </w:pPr>
    <w:rPr>
      <w:rFonts w:ascii="宋体" w:hAnsi="宋体" w:cs="宋体"/>
    </w:rPr>
  </w:style>
  <w:style w:type="paragraph" w:customStyle="1" w:styleId="3039">
    <w:name w:val="Char Char Char Char Char Char Char Char Char Char1 Char Char Char Char Char Char Char Char Char Char Char Char Char Char Char Char Char Char"/>
    <w:basedOn w:val="1"/>
    <w:semiHidden/>
    <w:qFormat/>
    <w:uiPriority w:val="0"/>
    <w:pPr>
      <w:tabs>
        <w:tab w:val="clear" w:pos="480"/>
      </w:tabs>
      <w:spacing w:line="240" w:lineRule="auto"/>
    </w:pPr>
    <w:rPr>
      <w:sz w:val="21"/>
    </w:rPr>
  </w:style>
  <w:style w:type="character" w:customStyle="1" w:styleId="3040">
    <w:name w:val="表格标题新 Char"/>
    <w:link w:val="3041"/>
    <w:qFormat/>
    <w:locked/>
    <w:uiPriority w:val="0"/>
    <w:rPr>
      <w:rFonts w:ascii="仿宋_GB2312" w:eastAsia="黑体"/>
      <w:b/>
      <w:spacing w:val="4"/>
      <w:sz w:val="24"/>
      <w:szCs w:val="24"/>
      <w:lang w:bidi="ar-SA"/>
    </w:rPr>
  </w:style>
  <w:style w:type="paragraph" w:customStyle="1" w:styleId="3041">
    <w:name w:val="表格标题新"/>
    <w:basedOn w:val="1"/>
    <w:link w:val="3040"/>
    <w:qFormat/>
    <w:uiPriority w:val="0"/>
    <w:pPr>
      <w:tabs>
        <w:tab w:val="left" w:pos="0"/>
        <w:tab w:val="clear" w:pos="480"/>
      </w:tabs>
      <w:adjustRightInd w:val="0"/>
      <w:snapToGrid w:val="0"/>
      <w:spacing w:beforeLines="50" w:line="240" w:lineRule="auto"/>
      <w:ind w:firstLine="562"/>
      <w:jc w:val="center"/>
    </w:pPr>
    <w:rPr>
      <w:rFonts w:ascii="仿宋_GB2312" w:eastAsia="黑体"/>
      <w:b/>
      <w:spacing w:val="4"/>
      <w:kern w:val="0"/>
      <w:lang w:val="zh-CN"/>
    </w:rPr>
  </w:style>
  <w:style w:type="paragraph" w:customStyle="1" w:styleId="3042">
    <w:name w:val="样式 (西文) 宋体 小四 段前: 6 磅 段后: 6 磅 行距: 多倍行距 1.25 字行 首行缩进:  2 字符"/>
    <w:basedOn w:val="1"/>
    <w:semiHidden/>
    <w:qFormat/>
    <w:uiPriority w:val="0"/>
    <w:pPr>
      <w:tabs>
        <w:tab w:val="clear" w:pos="480"/>
      </w:tabs>
      <w:spacing w:before="120" w:after="120" w:line="300" w:lineRule="auto"/>
      <w:ind w:firstLine="480"/>
    </w:pPr>
    <w:rPr>
      <w:rFonts w:ascii="宋体" w:hAnsi="宋体" w:cs="宋体"/>
    </w:rPr>
  </w:style>
  <w:style w:type="paragraph" w:customStyle="1" w:styleId="3043">
    <w:name w:val="样式 表标题"/>
    <w:basedOn w:val="1"/>
    <w:semiHidden/>
    <w:qFormat/>
    <w:uiPriority w:val="0"/>
    <w:pPr>
      <w:keepNext/>
      <w:widowControl/>
      <w:tabs>
        <w:tab w:val="clear" w:pos="480"/>
      </w:tabs>
      <w:spacing w:beforeLines="150" w:afterLines="50" w:line="60" w:lineRule="auto"/>
      <w:jc w:val="center"/>
    </w:pPr>
    <w:rPr>
      <w:rFonts w:ascii="宋体" w:hAnsi="宋体" w:cs="宋体"/>
      <w:b/>
      <w:bCs/>
      <w:color w:val="000000"/>
      <w:szCs w:val="20"/>
    </w:rPr>
  </w:style>
  <w:style w:type="character" w:customStyle="1" w:styleId="3044">
    <w:name w:val="样式 表标题 + 段前: 0.5 行 段后: 0.1 行 Char"/>
    <w:link w:val="3045"/>
    <w:qFormat/>
    <w:locked/>
    <w:uiPriority w:val="0"/>
    <w:rPr>
      <w:rFonts w:ascii="宋体" w:hAnsi="宋体" w:eastAsia="宋体"/>
      <w:b/>
      <w:bCs/>
      <w:color w:val="000000"/>
      <w:sz w:val="24"/>
      <w:lang w:bidi="ar-SA"/>
    </w:rPr>
  </w:style>
  <w:style w:type="paragraph" w:customStyle="1" w:styleId="3045">
    <w:name w:val="样式 表标题 + 段前: 0.5 行 段后: 0.1 行"/>
    <w:basedOn w:val="1"/>
    <w:link w:val="3044"/>
    <w:semiHidden/>
    <w:qFormat/>
    <w:uiPriority w:val="0"/>
    <w:pPr>
      <w:keepNext/>
      <w:widowControl/>
      <w:tabs>
        <w:tab w:val="clear" w:pos="480"/>
      </w:tabs>
      <w:spacing w:beforeLines="200" w:afterLines="50" w:line="60" w:lineRule="auto"/>
      <w:jc w:val="center"/>
    </w:pPr>
    <w:rPr>
      <w:rFonts w:ascii="宋体" w:hAnsi="宋体"/>
      <w:b/>
      <w:bCs/>
      <w:color w:val="000000"/>
      <w:kern w:val="0"/>
      <w:szCs w:val="20"/>
      <w:lang w:val="zh-CN"/>
    </w:rPr>
  </w:style>
  <w:style w:type="paragraph" w:customStyle="1" w:styleId="3046">
    <w:name w:val="样式 小四 段前: 6 磅 段后: 6 磅 行距: 多倍行距 1.3 字行 首行缩进:  2 字符"/>
    <w:basedOn w:val="1"/>
    <w:semiHidden/>
    <w:qFormat/>
    <w:uiPriority w:val="0"/>
    <w:pPr>
      <w:tabs>
        <w:tab w:val="clear" w:pos="480"/>
      </w:tabs>
      <w:spacing w:before="120" w:after="120" w:line="312" w:lineRule="auto"/>
      <w:ind w:firstLine="480"/>
    </w:pPr>
    <w:rPr>
      <w:rFonts w:cs="宋体"/>
      <w:color w:val="000000"/>
      <w:szCs w:val="20"/>
    </w:rPr>
  </w:style>
  <w:style w:type="paragraph" w:customStyle="1" w:styleId="3047">
    <w:name w:val="样式 样式 样式 样式 标题 4heading 4 + Indent: Left 0.5 inH4标题3a1.1.1.1 Hea...4"/>
    <w:basedOn w:val="1"/>
    <w:semiHidden/>
    <w:qFormat/>
    <w:uiPriority w:val="0"/>
    <w:pPr>
      <w:keepNext/>
      <w:keepLines/>
      <w:widowControl/>
      <w:tabs>
        <w:tab w:val="left" w:pos="840"/>
        <w:tab w:val="left" w:pos="1680"/>
        <w:tab w:val="clear" w:pos="480"/>
      </w:tabs>
      <w:spacing w:before="60" w:after="60"/>
      <w:ind w:left="1713" w:hanging="862"/>
      <w:outlineLvl w:val="3"/>
    </w:pPr>
    <w:rPr>
      <w:rFonts w:ascii="宋体" w:hAnsi="宋体" w:cs="宋体"/>
      <w:kern w:val="0"/>
      <w:sz w:val="28"/>
      <w:szCs w:val="20"/>
    </w:rPr>
  </w:style>
  <w:style w:type="paragraph" w:customStyle="1" w:styleId="3048">
    <w:name w:val="样式 样式 样式 样式 样式 标题 3style3h3H3sect1.2.3标题 3 Char Charsect1.2.31se...6"/>
    <w:basedOn w:val="1"/>
    <w:semiHidden/>
    <w:qFormat/>
    <w:uiPriority w:val="0"/>
    <w:pPr>
      <w:keepNext/>
      <w:keepLines/>
      <w:widowControl/>
      <w:tabs>
        <w:tab w:val="left" w:pos="840"/>
        <w:tab w:val="left" w:pos="1260"/>
        <w:tab w:val="clear" w:pos="480"/>
      </w:tabs>
      <w:spacing w:before="60" w:after="60"/>
      <w:ind w:left="1287" w:right="100" w:rightChars="100" w:hanging="420"/>
      <w:jc w:val="left"/>
      <w:outlineLvl w:val="2"/>
    </w:pPr>
    <w:rPr>
      <w:rFonts w:ascii="宋体" w:hAnsi="宋体" w:cs="宋体"/>
      <w:kern w:val="0"/>
      <w:sz w:val="28"/>
      <w:szCs w:val="20"/>
    </w:rPr>
  </w:style>
  <w:style w:type="paragraph" w:customStyle="1" w:styleId="3049">
    <w:name w:val="样式 标题 3头 + 小三 加粗"/>
    <w:basedOn w:val="4"/>
    <w:semiHidden/>
    <w:qFormat/>
    <w:uiPriority w:val="0"/>
    <w:pPr>
      <w:numPr>
        <w:ilvl w:val="0"/>
        <w:numId w:val="0"/>
      </w:numPr>
      <w:tabs>
        <w:tab w:val="clear" w:pos="480"/>
        <w:tab w:val="clear" w:pos="840"/>
      </w:tabs>
      <w:adjustRightInd w:val="0"/>
      <w:spacing w:beforeLines="100" w:afterLines="50" w:line="416" w:lineRule="atLeast"/>
    </w:pPr>
    <w:rPr>
      <w:rFonts w:ascii="Arial" w:hAnsi="Arial" w:eastAsia="宋体"/>
      <w:kern w:val="0"/>
      <w:szCs w:val="24"/>
    </w:rPr>
  </w:style>
  <w:style w:type="paragraph" w:customStyle="1" w:styleId="3050">
    <w:name w:val="列表项目编号"/>
    <w:basedOn w:val="211"/>
    <w:semiHidden/>
    <w:qFormat/>
    <w:uiPriority w:val="0"/>
    <w:pPr>
      <w:tabs>
        <w:tab w:val="left" w:pos="780"/>
      </w:tabs>
      <w:snapToGrid/>
      <w:spacing w:line="360" w:lineRule="auto"/>
      <w:ind w:left="780" w:hanging="420"/>
      <w:jc w:val="both"/>
    </w:pPr>
    <w:rPr>
      <w:rFonts w:ascii="Times New Roman" w:hAnsi="Times New Roman"/>
      <w:b w:val="0"/>
      <w:bCs w:val="0"/>
      <w:kern w:val="0"/>
      <w:sz w:val="28"/>
      <w:szCs w:val="20"/>
    </w:rPr>
  </w:style>
  <w:style w:type="paragraph" w:customStyle="1" w:styleId="3051">
    <w:name w:val="样式 表格文字2 + Times New Roman"/>
    <w:basedOn w:val="1"/>
    <w:semiHidden/>
    <w:qFormat/>
    <w:uiPriority w:val="0"/>
    <w:pPr>
      <w:widowControl/>
      <w:tabs>
        <w:tab w:val="clear" w:pos="480"/>
      </w:tabs>
      <w:snapToGrid w:val="0"/>
      <w:spacing w:before="240" w:line="240" w:lineRule="auto"/>
      <w:jc w:val="center"/>
    </w:pPr>
    <w:rPr>
      <w:rFonts w:ascii="宋体" w:cs="宋体"/>
      <w:sz w:val="21"/>
      <w:szCs w:val="20"/>
    </w:rPr>
  </w:style>
  <w:style w:type="paragraph" w:customStyle="1" w:styleId="3052">
    <w:name w:val="样式 样式 样式 标题 4heading 4 + Indent: Left 0.5 inH4标题3a1.1.1.1 Headin..."/>
    <w:basedOn w:val="1"/>
    <w:semiHidden/>
    <w:qFormat/>
    <w:uiPriority w:val="0"/>
    <w:pPr>
      <w:keepNext/>
      <w:keepLines/>
      <w:widowControl/>
      <w:tabs>
        <w:tab w:val="left" w:pos="840"/>
        <w:tab w:val="left" w:pos="2040"/>
        <w:tab w:val="clear" w:pos="480"/>
      </w:tabs>
      <w:spacing w:before="60" w:after="60"/>
      <w:ind w:left="1713" w:hanging="862"/>
      <w:outlineLvl w:val="3"/>
    </w:pPr>
    <w:rPr>
      <w:rFonts w:ascii="黑体" w:hAnsi="宋体" w:cs="宋体"/>
      <w:bCs/>
      <w:kern w:val="0"/>
      <w:sz w:val="28"/>
      <w:szCs w:val="20"/>
    </w:rPr>
  </w:style>
  <w:style w:type="paragraph" w:customStyle="1" w:styleId="3053">
    <w:name w:val="样式 样式 样式 标题 3style3h3H3sect1.2.3标题 3 Char Charsect1.2.31sect1.2....6"/>
    <w:basedOn w:val="1"/>
    <w:semiHidden/>
    <w:qFormat/>
    <w:uiPriority w:val="0"/>
    <w:pPr>
      <w:keepNext/>
      <w:keepLines/>
      <w:widowControl/>
      <w:tabs>
        <w:tab w:val="left" w:pos="840"/>
        <w:tab w:val="left" w:pos="1620"/>
        <w:tab w:val="clear" w:pos="480"/>
      </w:tabs>
      <w:spacing w:before="60" w:after="60"/>
      <w:ind w:left="1620" w:right="100" w:rightChars="100" w:hanging="420"/>
      <w:jc w:val="left"/>
      <w:outlineLvl w:val="2"/>
    </w:pPr>
    <w:rPr>
      <w:rFonts w:ascii="宋体" w:hAnsi="宋体" w:cs="宋体"/>
      <w:bCs/>
      <w:kern w:val="0"/>
      <w:sz w:val="28"/>
      <w:szCs w:val="20"/>
    </w:rPr>
  </w:style>
  <w:style w:type="paragraph" w:customStyle="1" w:styleId="3054">
    <w:name w:val="样式 标题 1Char Char章 + 宋体"/>
    <w:basedOn w:val="2"/>
    <w:semiHidden/>
    <w:qFormat/>
    <w:uiPriority w:val="0"/>
    <w:pPr>
      <w:keepLines w:val="0"/>
      <w:widowControl/>
      <w:numPr>
        <w:numId w:val="0"/>
      </w:numPr>
      <w:tabs>
        <w:tab w:val="left" w:pos="336"/>
        <w:tab w:val="clear" w:pos="480"/>
      </w:tabs>
      <w:spacing w:before="100" w:after="100"/>
      <w:ind w:left="431" w:hanging="431"/>
      <w:jc w:val="left"/>
    </w:pPr>
    <w:rPr>
      <w:rFonts w:ascii="宋体" w:hAnsi="宋体" w:eastAsia="宋体"/>
      <w:bCs w:val="0"/>
      <w:kern w:val="0"/>
      <w:sz w:val="28"/>
      <w:szCs w:val="28"/>
    </w:rPr>
  </w:style>
  <w:style w:type="paragraph" w:customStyle="1" w:styleId="3055">
    <w:name w:val="Char1 Char Char Char Char Char Char Char Char Char1"/>
    <w:basedOn w:val="1"/>
    <w:semiHidden/>
    <w:qFormat/>
    <w:uiPriority w:val="0"/>
    <w:pPr>
      <w:widowControl/>
      <w:tabs>
        <w:tab w:val="clear" w:pos="480"/>
      </w:tabs>
      <w:spacing w:after="160" w:line="240" w:lineRule="exact"/>
      <w:jc w:val="left"/>
    </w:pPr>
    <w:rPr>
      <w:szCs w:val="20"/>
    </w:rPr>
  </w:style>
  <w:style w:type="paragraph" w:customStyle="1" w:styleId="3056">
    <w:name w:val="cucd-0"/>
    <w:qFormat/>
    <w:uiPriority w:val="0"/>
    <w:pPr>
      <w:spacing w:line="360" w:lineRule="auto"/>
      <w:ind w:firstLine="480" w:firstLineChars="200"/>
      <w:jc w:val="center"/>
    </w:pPr>
    <w:rPr>
      <w:rFonts w:ascii="Times New Roman" w:hAnsi="Times New Roman" w:eastAsia="宋体" w:cs="Times New Roman"/>
      <w:kern w:val="2"/>
      <w:sz w:val="24"/>
      <w:szCs w:val="24"/>
      <w:lang w:val="en-US" w:eastAsia="zh-CN" w:bidi="ar-SA"/>
    </w:rPr>
  </w:style>
  <w:style w:type="paragraph" w:customStyle="1" w:styleId="3057">
    <w:name w:val="样式 样式 标题 3style3h3H3sect1.2.3标题 3 Char Charsect1.2.31sect1.2...2...1"/>
    <w:basedOn w:val="1"/>
    <w:semiHidden/>
    <w:qFormat/>
    <w:uiPriority w:val="0"/>
    <w:pPr>
      <w:keepNext/>
      <w:keepLines/>
      <w:tabs>
        <w:tab w:val="clear" w:pos="480"/>
      </w:tabs>
      <w:snapToGrid w:val="0"/>
      <w:spacing w:beforeLines="50"/>
      <w:outlineLvl w:val="2"/>
    </w:pPr>
    <w:rPr>
      <w:rFonts w:eastAsia="黑体" w:cs="宋体"/>
      <w:b/>
      <w:bCs/>
      <w:spacing w:val="16"/>
      <w:sz w:val="30"/>
      <w:szCs w:val="20"/>
    </w:rPr>
  </w:style>
  <w:style w:type="paragraph" w:customStyle="1" w:styleId="3058">
    <w:name w:val="样式 标题 2SeHead wsa2H21标题 1.1Chapter TitleChapter节标题 1.1h..."/>
    <w:basedOn w:val="3"/>
    <w:semiHidden/>
    <w:qFormat/>
    <w:uiPriority w:val="0"/>
    <w:pPr>
      <w:numPr>
        <w:ilvl w:val="0"/>
        <w:numId w:val="0"/>
      </w:numPr>
      <w:spacing w:before="0" w:after="0"/>
    </w:pPr>
    <w:rPr>
      <w:rFonts w:cs="宋体"/>
      <w:kern w:val="0"/>
      <w:szCs w:val="20"/>
    </w:rPr>
  </w:style>
  <w:style w:type="paragraph" w:customStyle="1" w:styleId="3059">
    <w:name w:val="INDEX"/>
    <w:basedOn w:val="1"/>
    <w:semiHidden/>
    <w:qFormat/>
    <w:uiPriority w:val="0"/>
    <w:pPr>
      <w:tabs>
        <w:tab w:val="clear" w:pos="480"/>
      </w:tabs>
      <w:adjustRightInd w:val="0"/>
      <w:spacing w:line="360" w:lineRule="atLeast"/>
      <w:ind w:left="720" w:hanging="720"/>
      <w:jc w:val="left"/>
    </w:pPr>
    <w:rPr>
      <w:rFonts w:ascii="全真楷書" w:eastAsia="全真楷書" w:cs="Dutch801 Rm BT"/>
      <w:kern w:val="0"/>
      <w:szCs w:val="20"/>
      <w:lang w:eastAsia="zh-TW"/>
    </w:rPr>
  </w:style>
  <w:style w:type="paragraph" w:customStyle="1" w:styleId="3060">
    <w:name w:val="正文0"/>
    <w:basedOn w:val="1"/>
    <w:semiHidden/>
    <w:qFormat/>
    <w:uiPriority w:val="0"/>
    <w:pPr>
      <w:tabs>
        <w:tab w:val="clear" w:pos="480"/>
      </w:tabs>
      <w:autoSpaceDE w:val="0"/>
      <w:autoSpaceDN w:val="0"/>
      <w:adjustRightInd w:val="0"/>
      <w:ind w:firstLine="567"/>
      <w:jc w:val="left"/>
    </w:pPr>
    <w:rPr>
      <w:rFonts w:eastAsia="仿宋体"/>
      <w:kern w:val="0"/>
      <w:szCs w:val="20"/>
    </w:rPr>
  </w:style>
  <w:style w:type="paragraph" w:customStyle="1" w:styleId="3061">
    <w:name w:val="表题 11"/>
    <w:semiHidden/>
    <w:qFormat/>
    <w:uiPriority w:val="0"/>
    <w:pPr>
      <w:widowControl w:val="0"/>
      <w:adjustRightInd w:val="0"/>
      <w:spacing w:before="120" w:after="120"/>
      <w:jc w:val="center"/>
    </w:pPr>
    <w:rPr>
      <w:rFonts w:ascii="Times New Roman" w:hAnsi="Times New Roman" w:eastAsia="宋体" w:cs="Times New Roman"/>
      <w:kern w:val="2"/>
      <w:sz w:val="30"/>
      <w:szCs w:val="24"/>
      <w:lang w:val="en-US" w:eastAsia="zh-CN" w:bidi="ar-SA"/>
    </w:rPr>
  </w:style>
  <w:style w:type="paragraph" w:customStyle="1" w:styleId="3062">
    <w:name w:val="图底"/>
    <w:basedOn w:val="1"/>
    <w:semiHidden/>
    <w:qFormat/>
    <w:uiPriority w:val="0"/>
    <w:pPr>
      <w:tabs>
        <w:tab w:val="clear" w:pos="480"/>
      </w:tabs>
      <w:kinsoku w:val="0"/>
      <w:wordWrap w:val="0"/>
      <w:overflowPunct w:val="0"/>
      <w:autoSpaceDE w:val="0"/>
      <w:autoSpaceDN w:val="0"/>
      <w:adjustRightInd w:val="0"/>
      <w:spacing w:line="240" w:lineRule="auto"/>
      <w:jc w:val="center"/>
    </w:pPr>
    <w:rPr>
      <w:b/>
      <w:kern w:val="0"/>
      <w:szCs w:val="20"/>
    </w:rPr>
  </w:style>
  <w:style w:type="paragraph" w:customStyle="1" w:styleId="3063">
    <w:name w:val="目录4"/>
    <w:basedOn w:val="44"/>
    <w:next w:val="1"/>
    <w:semiHidden/>
    <w:qFormat/>
    <w:uiPriority w:val="0"/>
    <w:pPr>
      <w:tabs>
        <w:tab w:val="right" w:leader="dot" w:pos="8313"/>
      </w:tabs>
      <w:autoSpaceDE w:val="0"/>
      <w:autoSpaceDN w:val="0"/>
      <w:adjustRightInd w:val="0"/>
      <w:spacing w:line="240" w:lineRule="auto"/>
      <w:ind w:firstLine="1531"/>
    </w:pPr>
    <w:rPr>
      <w:rFonts w:eastAsia="仿宋体"/>
      <w:kern w:val="0"/>
      <w:sz w:val="28"/>
    </w:rPr>
  </w:style>
  <w:style w:type="paragraph" w:customStyle="1" w:styleId="3064">
    <w:name w:val="页面 6"/>
    <w:basedOn w:val="2473"/>
    <w:semiHidden/>
    <w:qFormat/>
    <w:uiPriority w:val="0"/>
    <w:rPr>
      <w:sz w:val="36"/>
    </w:rPr>
  </w:style>
  <w:style w:type="paragraph" w:customStyle="1" w:styleId="3065">
    <w:name w:val="正文尾"/>
    <w:semiHidden/>
    <w:qFormat/>
    <w:uiPriority w:val="0"/>
    <w:pPr>
      <w:widowControl w:val="0"/>
      <w:adjustRightInd w:val="0"/>
      <w:spacing w:line="300" w:lineRule="auto"/>
      <w:ind w:left="3969"/>
      <w:jc w:val="center"/>
    </w:pPr>
    <w:rPr>
      <w:rFonts w:ascii="Times New Roman" w:hAnsi="Times New Roman" w:eastAsia="宋体" w:cs="Times New Roman"/>
      <w:kern w:val="2"/>
      <w:sz w:val="28"/>
      <w:szCs w:val="24"/>
      <w:lang w:val="en-US" w:eastAsia="zh-CN" w:bidi="ar-SA"/>
    </w:rPr>
  </w:style>
  <w:style w:type="paragraph" w:customStyle="1" w:styleId="3066">
    <w:name w:val="目录 71"/>
    <w:basedOn w:val="12"/>
    <w:semiHidden/>
    <w:qFormat/>
    <w:uiPriority w:val="0"/>
    <w:pPr>
      <w:spacing w:line="240" w:lineRule="auto"/>
      <w:ind w:left="567" w:firstLine="425"/>
    </w:pPr>
    <w:rPr>
      <w:szCs w:val="20"/>
    </w:rPr>
  </w:style>
  <w:style w:type="paragraph" w:customStyle="1" w:styleId="3067">
    <w:name w:val="Char Char1 Char Char Char Char Char Char Char Char Char Char Char Char Char Char Char Char Char Char Char Char1 Char1"/>
    <w:basedOn w:val="1"/>
    <w:semiHidden/>
    <w:qFormat/>
    <w:uiPriority w:val="0"/>
    <w:pPr>
      <w:tabs>
        <w:tab w:val="clear" w:pos="480"/>
      </w:tabs>
    </w:pPr>
    <w:rPr>
      <w:rFonts w:ascii="宋体" w:hAnsi="宋体" w:cs="宋体"/>
    </w:rPr>
  </w:style>
  <w:style w:type="paragraph" w:customStyle="1" w:styleId="3068">
    <w:name w:val="正文 03"/>
    <w:basedOn w:val="1"/>
    <w:semiHidden/>
    <w:qFormat/>
    <w:uiPriority w:val="0"/>
    <w:pPr>
      <w:tabs>
        <w:tab w:val="clear" w:pos="480"/>
      </w:tabs>
      <w:autoSpaceDE w:val="0"/>
      <w:autoSpaceDN w:val="0"/>
      <w:adjustRightInd w:val="0"/>
      <w:spacing w:line="240" w:lineRule="auto"/>
    </w:pPr>
    <w:rPr>
      <w:kern w:val="0"/>
      <w:szCs w:val="20"/>
    </w:rPr>
  </w:style>
  <w:style w:type="paragraph" w:customStyle="1" w:styleId="3069">
    <w:name w:val="表题1"/>
    <w:next w:val="182"/>
    <w:semiHidden/>
    <w:qFormat/>
    <w:uiPriority w:val="0"/>
    <w:pPr>
      <w:keepNext/>
      <w:keepLines/>
      <w:widowControl w:val="0"/>
      <w:topLinePunct/>
      <w:autoSpaceDE w:val="0"/>
      <w:autoSpaceDN w:val="0"/>
      <w:adjustRightInd w:val="0"/>
      <w:spacing w:line="360" w:lineRule="auto"/>
      <w:jc w:val="center"/>
    </w:pPr>
    <w:rPr>
      <w:rFonts w:ascii="Times New Roman" w:hAnsi="Times New Roman" w:eastAsia="仿宋体" w:cs="Times New Roman"/>
      <w:kern w:val="2"/>
      <w:sz w:val="28"/>
      <w:szCs w:val="24"/>
      <w:lang w:val="en-US" w:eastAsia="zh-CN" w:bidi="ar-SA"/>
    </w:rPr>
  </w:style>
  <w:style w:type="paragraph" w:customStyle="1" w:styleId="3070">
    <w:name w:val="表号"/>
    <w:qFormat/>
    <w:uiPriority w:val="0"/>
    <w:pPr>
      <w:widowControl w:val="0"/>
      <w:autoSpaceDE w:val="0"/>
      <w:autoSpaceDN w:val="0"/>
      <w:adjustRightInd w:val="0"/>
      <w:spacing w:before="120" w:after="120" w:line="288" w:lineRule="auto"/>
      <w:jc w:val="center"/>
    </w:pPr>
    <w:rPr>
      <w:rFonts w:ascii="Arial" w:hAnsi="Arial" w:eastAsia="楷体_GB2312" w:cs="Times New Roman"/>
      <w:kern w:val="2"/>
      <w:sz w:val="24"/>
      <w:szCs w:val="24"/>
      <w:lang w:val="en-US" w:eastAsia="zh-CN" w:bidi="ar-SA"/>
    </w:rPr>
  </w:style>
  <w:style w:type="paragraph" w:customStyle="1" w:styleId="3071">
    <w:name w:val="正文 3"/>
    <w:basedOn w:val="1"/>
    <w:semiHidden/>
    <w:qFormat/>
    <w:uiPriority w:val="0"/>
    <w:pPr>
      <w:tabs>
        <w:tab w:val="clear" w:pos="480"/>
      </w:tabs>
      <w:autoSpaceDE w:val="0"/>
      <w:autoSpaceDN w:val="0"/>
      <w:adjustRightInd w:val="0"/>
      <w:spacing w:line="300" w:lineRule="auto"/>
      <w:ind w:firstLine="567"/>
    </w:pPr>
    <w:rPr>
      <w:rFonts w:eastAsia="楷体_GB2312"/>
      <w:kern w:val="0"/>
      <w:sz w:val="21"/>
      <w:szCs w:val="20"/>
    </w:rPr>
  </w:style>
  <w:style w:type="paragraph" w:customStyle="1" w:styleId="3072">
    <w:name w:val="表题 3"/>
    <w:basedOn w:val="2467"/>
    <w:semiHidden/>
    <w:qFormat/>
    <w:uiPriority w:val="0"/>
    <w:pPr>
      <w:textAlignment w:val="auto"/>
    </w:pPr>
    <w:rPr>
      <w:sz w:val="24"/>
    </w:rPr>
  </w:style>
  <w:style w:type="paragraph" w:customStyle="1" w:styleId="3073">
    <w:name w:val="页面 1"/>
    <w:basedOn w:val="2473"/>
    <w:semiHidden/>
    <w:qFormat/>
    <w:uiPriority w:val="0"/>
    <w:rPr>
      <w:rFonts w:eastAsia="隶书"/>
      <w:sz w:val="84"/>
    </w:rPr>
  </w:style>
  <w:style w:type="paragraph" w:customStyle="1" w:styleId="3074">
    <w:name w:val="页面 4"/>
    <w:basedOn w:val="2473"/>
    <w:semiHidden/>
    <w:qFormat/>
    <w:uiPriority w:val="0"/>
    <w:rPr>
      <w:rFonts w:eastAsia="隶书"/>
      <w:sz w:val="48"/>
    </w:rPr>
  </w:style>
  <w:style w:type="paragraph" w:customStyle="1" w:styleId="3075">
    <w:name w:val="页面 5"/>
    <w:basedOn w:val="2473"/>
    <w:semiHidden/>
    <w:qFormat/>
    <w:uiPriority w:val="0"/>
    <w:rPr>
      <w:sz w:val="44"/>
    </w:rPr>
  </w:style>
  <w:style w:type="paragraph" w:customStyle="1" w:styleId="3076">
    <w:name w:val="页面 8"/>
    <w:basedOn w:val="2473"/>
    <w:semiHidden/>
    <w:qFormat/>
    <w:uiPriority w:val="0"/>
    <w:rPr>
      <w:sz w:val="30"/>
    </w:rPr>
  </w:style>
  <w:style w:type="paragraph" w:customStyle="1" w:styleId="3077">
    <w:name w:val="表格 12"/>
    <w:basedOn w:val="1"/>
    <w:semiHidden/>
    <w:qFormat/>
    <w:uiPriority w:val="0"/>
    <w:pPr>
      <w:tabs>
        <w:tab w:val="clear" w:pos="480"/>
      </w:tabs>
      <w:autoSpaceDE w:val="0"/>
      <w:autoSpaceDN w:val="0"/>
      <w:adjustRightInd w:val="0"/>
      <w:spacing w:line="240" w:lineRule="auto"/>
      <w:jc w:val="center"/>
    </w:pPr>
    <w:rPr>
      <w:kern w:val="0"/>
      <w:szCs w:val="20"/>
    </w:rPr>
  </w:style>
  <w:style w:type="paragraph" w:customStyle="1" w:styleId="3078">
    <w:name w:val="正文 31"/>
    <w:basedOn w:val="3071"/>
    <w:semiHidden/>
    <w:qFormat/>
    <w:uiPriority w:val="0"/>
    <w:pPr>
      <w:spacing w:line="360" w:lineRule="auto"/>
      <w:jc w:val="left"/>
    </w:pPr>
    <w:rPr>
      <w:rFonts w:eastAsia="楷体"/>
      <w:sz w:val="28"/>
    </w:rPr>
  </w:style>
  <w:style w:type="paragraph" w:customStyle="1" w:styleId="3079">
    <w:name w:val="正文尾 1"/>
    <w:semiHidden/>
    <w:qFormat/>
    <w:uiPriority w:val="0"/>
    <w:pPr>
      <w:widowControl w:val="0"/>
      <w:adjustRightInd w:val="0"/>
      <w:spacing w:line="360" w:lineRule="auto"/>
      <w:ind w:left="3969"/>
      <w:jc w:val="center"/>
    </w:pPr>
    <w:rPr>
      <w:rFonts w:ascii="Times New Roman" w:hAnsi="Times New Roman" w:eastAsia="宋体" w:cs="Times New Roman"/>
      <w:kern w:val="2"/>
      <w:sz w:val="28"/>
      <w:szCs w:val="24"/>
      <w:lang w:val="en-US" w:eastAsia="zh-CN" w:bidi="ar-SA"/>
    </w:rPr>
  </w:style>
  <w:style w:type="paragraph" w:customStyle="1" w:styleId="3080">
    <w:name w:val="标题 43"/>
    <w:basedOn w:val="5"/>
    <w:semiHidden/>
    <w:qFormat/>
    <w:uiPriority w:val="0"/>
    <w:pPr>
      <w:keepNext w:val="0"/>
      <w:keepLines w:val="0"/>
      <w:numPr>
        <w:ilvl w:val="0"/>
        <w:numId w:val="0"/>
      </w:numPr>
      <w:tabs>
        <w:tab w:val="clear" w:pos="480"/>
      </w:tabs>
      <w:adjustRightInd w:val="0"/>
      <w:spacing w:before="120" w:after="120" w:line="240" w:lineRule="auto"/>
      <w:ind w:firstLine="567"/>
      <w:jc w:val="left"/>
      <w:outlineLvl w:val="9"/>
    </w:pPr>
    <w:rPr>
      <w:rFonts w:ascii="Times New Roman" w:hAnsi="Times New Roman" w:eastAsia="隶书体"/>
      <w:b w:val="0"/>
      <w:bCs w:val="0"/>
      <w:kern w:val="0"/>
      <w:sz w:val="30"/>
      <w:szCs w:val="20"/>
    </w:rPr>
  </w:style>
  <w:style w:type="paragraph" w:customStyle="1" w:styleId="3081">
    <w:name w:val="标题 53"/>
    <w:basedOn w:val="6"/>
    <w:semiHidden/>
    <w:qFormat/>
    <w:uiPriority w:val="0"/>
    <w:pPr>
      <w:keepNext w:val="0"/>
      <w:keepLines w:val="0"/>
      <w:numPr>
        <w:numId w:val="0"/>
      </w:numPr>
      <w:tabs>
        <w:tab w:val="clear" w:pos="480"/>
      </w:tabs>
      <w:autoSpaceDE w:val="0"/>
      <w:autoSpaceDN w:val="0"/>
      <w:adjustRightInd w:val="0"/>
      <w:spacing w:before="120" w:after="120" w:line="240" w:lineRule="auto"/>
      <w:ind w:left="567"/>
      <w:outlineLvl w:val="9"/>
    </w:pPr>
    <w:rPr>
      <w:rFonts w:ascii="Times New Roman" w:hAnsi="Times New Roman" w:eastAsia="隶书体"/>
      <w:b w:val="0"/>
      <w:kern w:val="0"/>
      <w:sz w:val="28"/>
    </w:rPr>
  </w:style>
  <w:style w:type="paragraph" w:customStyle="1" w:styleId="3082">
    <w:name w:val="标题 63"/>
    <w:basedOn w:val="7"/>
    <w:semiHidden/>
    <w:qFormat/>
    <w:uiPriority w:val="0"/>
    <w:pPr>
      <w:keepNext w:val="0"/>
      <w:keepLines w:val="0"/>
      <w:numPr>
        <w:ilvl w:val="0"/>
        <w:numId w:val="0"/>
      </w:numPr>
      <w:tabs>
        <w:tab w:val="clear" w:pos="480"/>
      </w:tabs>
      <w:spacing w:after="120" w:line="240" w:lineRule="auto"/>
      <w:ind w:left="567"/>
      <w:jc w:val="left"/>
      <w:textAlignment w:val="auto"/>
      <w:outlineLvl w:val="9"/>
    </w:pPr>
    <w:rPr>
      <w:rFonts w:ascii="Times New Roman" w:hAnsi="Times New Roman" w:eastAsia="隶书体"/>
      <w:b w:val="0"/>
      <w:kern w:val="0"/>
    </w:rPr>
  </w:style>
  <w:style w:type="paragraph" w:customStyle="1" w:styleId="3083">
    <w:name w:val="样式 (符号) Bookman Old Style 小四 行距: 1.5 倍行距"/>
    <w:basedOn w:val="1"/>
    <w:semiHidden/>
    <w:qFormat/>
    <w:uiPriority w:val="0"/>
    <w:pPr>
      <w:tabs>
        <w:tab w:val="clear" w:pos="480"/>
      </w:tabs>
    </w:pPr>
    <w:rPr>
      <w:rFonts w:hAnsi="Bookman Old Style" w:cs="宋体"/>
      <w:szCs w:val="20"/>
    </w:rPr>
  </w:style>
  <w:style w:type="paragraph" w:customStyle="1" w:styleId="3084">
    <w:name w:val="样式 (符号) Bookman Old Style 小四 首行缩进:  0.85 厘米 行距: 1.5 倍行距"/>
    <w:basedOn w:val="1"/>
    <w:semiHidden/>
    <w:qFormat/>
    <w:uiPriority w:val="0"/>
    <w:pPr>
      <w:tabs>
        <w:tab w:val="clear" w:pos="480"/>
      </w:tabs>
      <w:ind w:firstLine="482"/>
    </w:pPr>
    <w:rPr>
      <w:rFonts w:hAnsi="Bookman Old Style" w:cs="宋体"/>
      <w:szCs w:val="20"/>
    </w:rPr>
  </w:style>
  <w:style w:type="paragraph" w:customStyle="1" w:styleId="3085">
    <w:name w:val="样式 (符号) Bookman Old Style 小四 首行缩进:  0.63 厘米 行距: 1.5 倍行距"/>
    <w:basedOn w:val="1"/>
    <w:semiHidden/>
    <w:qFormat/>
    <w:uiPriority w:val="0"/>
    <w:pPr>
      <w:tabs>
        <w:tab w:val="clear" w:pos="480"/>
      </w:tabs>
      <w:ind w:firstLine="357"/>
    </w:pPr>
    <w:rPr>
      <w:rFonts w:hAnsi="Bookman Old Style" w:cs="宋体"/>
      <w:szCs w:val="20"/>
    </w:rPr>
  </w:style>
  <w:style w:type="paragraph" w:customStyle="1" w:styleId="3086">
    <w:name w:val="样式 标题 1Head 1wsa + 三号 加粗 居中 行距: 1.5 倍行距"/>
    <w:basedOn w:val="2"/>
    <w:semiHidden/>
    <w:qFormat/>
    <w:uiPriority w:val="0"/>
    <w:pPr>
      <w:keepLines w:val="0"/>
      <w:pageBreakBefore/>
      <w:numPr>
        <w:numId w:val="0"/>
      </w:numPr>
      <w:tabs>
        <w:tab w:val="clear" w:pos="480"/>
      </w:tabs>
      <w:autoSpaceDN w:val="0"/>
      <w:adjustRightInd w:val="0"/>
      <w:spacing w:before="0" w:after="0"/>
      <w:jc w:val="center"/>
    </w:pPr>
    <w:rPr>
      <w:rFonts w:ascii="宋体" w:hAnsi="宋体" w:eastAsia="宋体" w:cs="宋体"/>
      <w:b w:val="0"/>
      <w:kern w:val="2"/>
      <w:sz w:val="32"/>
      <w:szCs w:val="30"/>
    </w:rPr>
  </w:style>
  <w:style w:type="paragraph" w:customStyle="1" w:styleId="3087">
    <w:name w:val="正文61"/>
    <w:basedOn w:val="33"/>
    <w:semiHidden/>
    <w:qFormat/>
    <w:uiPriority w:val="0"/>
    <w:pPr>
      <w:spacing w:line="360" w:lineRule="auto"/>
    </w:pPr>
    <w:rPr>
      <w:rFonts w:hint="eastAsia" w:ascii="Times New Roman" w:hAnsi="Times New Roman"/>
      <w:kern w:val="0"/>
      <w:sz w:val="24"/>
      <w:szCs w:val="24"/>
    </w:rPr>
  </w:style>
  <w:style w:type="paragraph" w:customStyle="1" w:styleId="3088">
    <w:name w:val="a0"/>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3089">
    <w:name w:val="样式 表格 + 五号 右"/>
    <w:basedOn w:val="165"/>
    <w:semiHidden/>
    <w:qFormat/>
    <w:uiPriority w:val="0"/>
    <w:pPr>
      <w:keepNext/>
      <w:autoSpaceDE w:val="0"/>
      <w:autoSpaceDN w:val="0"/>
      <w:spacing w:line="240" w:lineRule="auto"/>
      <w:jc w:val="center"/>
      <w:textAlignment w:val="auto"/>
    </w:pPr>
    <w:rPr>
      <w:rFonts w:hint="eastAsia" w:ascii="楷体_GB2312" w:hAnsi="Calibri" w:eastAsia="宋体" w:cs="宋体"/>
      <w:kern w:val="0"/>
      <w:sz w:val="20"/>
    </w:rPr>
  </w:style>
  <w:style w:type="paragraph" w:customStyle="1" w:styleId="3090">
    <w:name w:val="样式 表格 + 五号 右1"/>
    <w:basedOn w:val="165"/>
    <w:semiHidden/>
    <w:qFormat/>
    <w:uiPriority w:val="0"/>
    <w:pPr>
      <w:keepNext/>
      <w:autoSpaceDE w:val="0"/>
      <w:autoSpaceDN w:val="0"/>
      <w:spacing w:line="240" w:lineRule="auto"/>
      <w:jc w:val="center"/>
      <w:textAlignment w:val="auto"/>
    </w:pPr>
    <w:rPr>
      <w:rFonts w:hint="eastAsia" w:ascii="楷体_GB2312" w:hAnsi="Calibri" w:eastAsia="宋体" w:cs="宋体"/>
      <w:kern w:val="0"/>
      <w:sz w:val="20"/>
    </w:rPr>
  </w:style>
  <w:style w:type="paragraph" w:customStyle="1" w:styleId="3091">
    <w:name w:val="样式 表格 2 + 行距: 1.5 倍行距"/>
    <w:basedOn w:val="518"/>
    <w:semiHidden/>
    <w:qFormat/>
    <w:uiPriority w:val="0"/>
    <w:pPr>
      <w:spacing w:line="360" w:lineRule="auto"/>
      <w:jc w:val="left"/>
      <w:textAlignment w:val="auto"/>
    </w:pPr>
    <w:rPr>
      <w:rFonts w:hint="eastAsia" w:ascii="楷体_GB2312" w:hAnsi="Calibri" w:cs="宋体"/>
      <w:sz w:val="21"/>
    </w:rPr>
  </w:style>
  <w:style w:type="paragraph" w:customStyle="1" w:styleId="3092">
    <w:name w:val="样式 样式 表格 2 + 行距: 1.5 倍行距 + 左  -0.01 字符"/>
    <w:basedOn w:val="3089"/>
    <w:semiHidden/>
    <w:qFormat/>
    <w:uiPriority w:val="0"/>
    <w:pPr>
      <w:spacing w:line="360" w:lineRule="auto"/>
      <w:ind w:left="-2" w:leftChars="-7" w:hanging="15" w:hangingChars="7"/>
    </w:pPr>
  </w:style>
  <w:style w:type="paragraph" w:customStyle="1" w:styleId="3093">
    <w:name w:val="项目编号"/>
    <w:basedOn w:val="1"/>
    <w:next w:val="1"/>
    <w:qFormat/>
    <w:uiPriority w:val="0"/>
    <w:pPr>
      <w:numPr>
        <w:ilvl w:val="0"/>
        <w:numId w:val="33"/>
      </w:numPr>
      <w:tabs>
        <w:tab w:val="left" w:pos="1077"/>
        <w:tab w:val="clear" w:pos="870"/>
      </w:tabs>
      <w:adjustRightInd w:val="0"/>
      <w:spacing w:before="120"/>
      <w:ind w:left="1077" w:hanging="567"/>
    </w:pPr>
    <w:rPr>
      <w:kern w:val="0"/>
      <w:szCs w:val="20"/>
    </w:rPr>
  </w:style>
  <w:style w:type="paragraph" w:customStyle="1" w:styleId="3094">
    <w:name w:val="龙1"/>
    <w:basedOn w:val="2478"/>
    <w:semiHidden/>
    <w:qFormat/>
    <w:uiPriority w:val="0"/>
    <w:pPr>
      <w:autoSpaceDE w:val="0"/>
      <w:autoSpaceDN w:val="0"/>
      <w:spacing w:line="800" w:lineRule="exact"/>
      <w:outlineLvl w:val="0"/>
    </w:pPr>
    <w:rPr>
      <w:rFonts w:eastAsia="宋体"/>
      <w:b/>
      <w:sz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3095">
    <w:name w:val="Char Char Char Char Char Char1 Char Char Char1 Char Char Char1 Char Char Char Char Char Char Char Char Char Char1"/>
    <w:basedOn w:val="1"/>
    <w:next w:val="1"/>
    <w:semiHidden/>
    <w:qFormat/>
    <w:uiPriority w:val="0"/>
    <w:pPr>
      <w:tabs>
        <w:tab w:val="clear" w:pos="480"/>
      </w:tabs>
    </w:pPr>
    <w:rPr>
      <w:rFonts w:ascii="宋体" w:hAnsi="宋体" w:cs="宋体"/>
    </w:rPr>
  </w:style>
  <w:style w:type="paragraph" w:customStyle="1" w:styleId="3096">
    <w:name w:val="表注解"/>
    <w:basedOn w:val="645"/>
    <w:next w:val="645"/>
    <w:semiHidden/>
    <w:qFormat/>
    <w:uiPriority w:val="0"/>
    <w:pPr>
      <w:widowControl/>
      <w:adjustRightInd w:val="0"/>
      <w:snapToGrid w:val="0"/>
    </w:pPr>
    <w:rPr>
      <w:rFonts w:ascii="Calibri" w:hAnsi="Calibri"/>
      <w:b/>
      <w:spacing w:val="0"/>
      <w:sz w:val="18"/>
    </w:rPr>
  </w:style>
  <w:style w:type="paragraph" w:customStyle="1" w:styleId="3097">
    <w:name w:val="表头及表尾"/>
    <w:semiHidden/>
    <w:qFormat/>
    <w:uiPriority w:val="0"/>
    <w:pPr>
      <w:tabs>
        <w:tab w:val="center" w:pos="4200"/>
        <w:tab w:val="right" w:pos="8400"/>
      </w:tabs>
      <w:adjustRightInd w:val="0"/>
      <w:snapToGrid w:val="0"/>
      <w:jc w:val="center"/>
    </w:pPr>
    <w:rPr>
      <w:rFonts w:ascii="Times New Roman" w:hAnsi="Times New Roman" w:eastAsia="宋体" w:cs="Times New Roman"/>
      <w:b/>
      <w:kern w:val="2"/>
      <w:sz w:val="21"/>
      <w:szCs w:val="21"/>
      <w:lang w:val="en-US" w:eastAsia="zh-CN" w:bidi="ar-SA"/>
    </w:rPr>
  </w:style>
  <w:style w:type="paragraph" w:customStyle="1" w:styleId="3098">
    <w:name w:val="样式  Char + 左  -0.01 字符"/>
    <w:basedOn w:val="20"/>
    <w:semiHidden/>
    <w:qFormat/>
    <w:uiPriority w:val="0"/>
    <w:pPr>
      <w:tabs>
        <w:tab w:val="clear" w:pos="480"/>
      </w:tabs>
      <w:spacing w:line="240" w:lineRule="auto"/>
      <w:ind w:firstLine="190" w:firstLineChars="190"/>
    </w:pPr>
    <w:rPr>
      <w:rFonts w:cs="宋体"/>
      <w:kern w:val="0"/>
      <w:sz w:val="20"/>
      <w:szCs w:val="20"/>
    </w:rPr>
  </w:style>
  <w:style w:type="paragraph" w:customStyle="1" w:styleId="3099">
    <w:name w:val="Char4 Char Char Char"/>
    <w:basedOn w:val="1"/>
    <w:semiHidden/>
    <w:qFormat/>
    <w:uiPriority w:val="0"/>
    <w:pPr>
      <w:tabs>
        <w:tab w:val="clear" w:pos="480"/>
      </w:tabs>
      <w:adjustRightInd w:val="0"/>
      <w:snapToGrid w:val="0"/>
    </w:pPr>
    <w:rPr>
      <w:rFonts w:ascii="宋体" w:hAnsi="宋体" w:cs="宋体"/>
      <w:szCs w:val="26"/>
    </w:rPr>
  </w:style>
  <w:style w:type="paragraph" w:customStyle="1" w:styleId="3100">
    <w:name w:val="封面标准名称"/>
    <w:semiHidden/>
    <w:qFormat/>
    <w:uiPriority w:val="0"/>
    <w:pPr>
      <w:framePr w:w="9638" w:h="6917" w:wrap="around" w:vAnchor="margin" w:hAnchor="margin" w:xAlign="center" w:y="5955" w:anchorLock="1"/>
      <w:widowControl w:val="0"/>
      <w:spacing w:line="680" w:lineRule="exact"/>
      <w:jc w:val="center"/>
    </w:pPr>
    <w:rPr>
      <w:rFonts w:ascii="黑体" w:hAnsi="Times New Roman" w:eastAsia="黑体" w:cs="Times New Roman"/>
      <w:kern w:val="2"/>
      <w:sz w:val="52"/>
      <w:szCs w:val="24"/>
      <w:lang w:val="en-US" w:eastAsia="zh-CN" w:bidi="ar-SA"/>
    </w:rPr>
  </w:style>
  <w:style w:type="paragraph" w:customStyle="1" w:styleId="3101">
    <w:name w:val="zwb"/>
    <w:basedOn w:val="1"/>
    <w:semiHidden/>
    <w:qFormat/>
    <w:uiPriority w:val="0"/>
    <w:pPr>
      <w:widowControl/>
      <w:tabs>
        <w:tab w:val="clear" w:pos="480"/>
      </w:tabs>
      <w:spacing w:before="100" w:beforeAutospacing="1" w:after="100" w:afterAutospacing="1" w:line="240" w:lineRule="auto"/>
      <w:jc w:val="left"/>
    </w:pPr>
    <w:rPr>
      <w:rFonts w:ascii="宋体" w:hAnsi="宋体" w:cs="宋体"/>
      <w:b/>
      <w:bCs/>
      <w:color w:val="000000"/>
      <w:kern w:val="0"/>
      <w:sz w:val="27"/>
      <w:szCs w:val="27"/>
    </w:rPr>
  </w:style>
  <w:style w:type="paragraph" w:customStyle="1" w:styleId="3102">
    <w:name w:val="表内小四"/>
    <w:basedOn w:val="1"/>
    <w:semiHidden/>
    <w:qFormat/>
    <w:uiPriority w:val="0"/>
    <w:pPr>
      <w:widowControl/>
      <w:tabs>
        <w:tab w:val="clear" w:pos="480"/>
      </w:tabs>
      <w:adjustRightInd w:val="0"/>
      <w:spacing w:line="240" w:lineRule="auto"/>
      <w:ind w:left="-50"/>
      <w:jc w:val="left"/>
    </w:pPr>
    <w:rPr>
      <w:kern w:val="0"/>
      <w:szCs w:val="20"/>
    </w:rPr>
  </w:style>
  <w:style w:type="paragraph" w:customStyle="1" w:styleId="3103">
    <w:name w:val="正文首缩"/>
    <w:basedOn w:val="33"/>
    <w:semiHidden/>
    <w:qFormat/>
    <w:uiPriority w:val="0"/>
    <w:pPr>
      <w:tabs>
        <w:tab w:val="left" w:pos="3926"/>
      </w:tabs>
      <w:snapToGrid w:val="0"/>
      <w:spacing w:after="80" w:line="288" w:lineRule="auto"/>
      <w:ind w:firstLine="454"/>
    </w:pPr>
    <w:rPr>
      <w:rFonts w:hint="eastAsia" w:ascii="Times New Roman" w:hAnsi="Times New Roman"/>
      <w:kern w:val="0"/>
      <w:sz w:val="24"/>
    </w:rPr>
  </w:style>
  <w:style w:type="paragraph" w:customStyle="1" w:styleId="3104">
    <w:name w:val="报告样式"/>
    <w:basedOn w:val="1"/>
    <w:next w:val="214"/>
    <w:semiHidden/>
    <w:qFormat/>
    <w:uiPriority w:val="0"/>
    <w:pPr>
      <w:tabs>
        <w:tab w:val="clear" w:pos="480"/>
      </w:tabs>
      <w:spacing w:line="240" w:lineRule="auto"/>
    </w:pPr>
  </w:style>
  <w:style w:type="paragraph" w:customStyle="1" w:styleId="3105">
    <w:name w:val="样式 标题 4H4Subsection + 段前: 6 磅 段后: 6 磅"/>
    <w:basedOn w:val="5"/>
    <w:semiHidden/>
    <w:qFormat/>
    <w:uiPriority w:val="0"/>
    <w:pPr>
      <w:keepNext w:val="0"/>
      <w:keepLines w:val="0"/>
      <w:numPr>
        <w:ilvl w:val="0"/>
        <w:numId w:val="0"/>
      </w:numPr>
      <w:tabs>
        <w:tab w:val="left" w:pos="-34"/>
        <w:tab w:val="clear" w:pos="480"/>
      </w:tabs>
      <w:spacing w:before="0" w:after="0"/>
      <w:ind w:left="-20"/>
    </w:pPr>
    <w:rPr>
      <w:rFonts w:ascii="Times New Roman" w:hAnsi="Times New Roman" w:eastAsia="宋体" w:cs="宋体"/>
      <w:sz w:val="24"/>
      <w:szCs w:val="20"/>
    </w:rPr>
  </w:style>
  <w:style w:type="paragraph" w:customStyle="1" w:styleId="3106">
    <w:name w:val="样式 样式 宋体 小四 左 + 首行缩进:  2 字符"/>
    <w:basedOn w:val="1"/>
    <w:semiHidden/>
    <w:qFormat/>
    <w:uiPriority w:val="0"/>
    <w:pPr>
      <w:tabs>
        <w:tab w:val="clear" w:pos="480"/>
      </w:tabs>
      <w:jc w:val="left"/>
    </w:pPr>
    <w:rPr>
      <w:rFonts w:cs="宋体"/>
      <w:kern w:val="0"/>
      <w:szCs w:val="20"/>
    </w:rPr>
  </w:style>
  <w:style w:type="paragraph" w:customStyle="1" w:styleId="3107">
    <w:name w:val="样式 小初 加粗 阴影 居中 段前: 7.8 磅 段后: 7.8 磅"/>
    <w:basedOn w:val="1"/>
    <w:semiHidden/>
    <w:qFormat/>
    <w:uiPriority w:val="0"/>
    <w:pPr>
      <w:tabs>
        <w:tab w:val="clear" w:pos="480"/>
      </w:tabs>
      <w:spacing w:line="240" w:lineRule="auto"/>
      <w:jc w:val="center"/>
    </w:pPr>
    <w:rPr>
      <w:rFonts w:cs="宋体"/>
      <w:b/>
      <w:bCs/>
      <w:sz w:val="72"/>
      <w:szCs w:val="20"/>
      <w14:shadow w14:blurRad="50800" w14:dist="38100" w14:dir="2700000" w14:sx="100000" w14:sy="100000" w14:kx="0" w14:ky="0" w14:algn="tl">
        <w14:srgbClr w14:val="000000">
          <w14:alpha w14:val="60000"/>
        </w14:srgbClr>
      </w14:shadow>
    </w:rPr>
  </w:style>
  <w:style w:type="paragraph" w:customStyle="1" w:styleId="3108">
    <w:name w:val="样式 编制日期 + 首行缩进:  6.4 字符"/>
    <w:basedOn w:val="1"/>
    <w:semiHidden/>
    <w:qFormat/>
    <w:uiPriority w:val="0"/>
    <w:pPr>
      <w:tabs>
        <w:tab w:val="clear" w:pos="480"/>
      </w:tabs>
      <w:spacing w:line="240" w:lineRule="auto"/>
      <w:ind w:firstLine="1799" w:firstLineChars="640"/>
    </w:pPr>
    <w:rPr>
      <w:rFonts w:cs="宋体"/>
      <w:b/>
      <w:bCs/>
      <w:sz w:val="28"/>
      <w:szCs w:val="20"/>
    </w:rPr>
  </w:style>
  <w:style w:type="paragraph" w:customStyle="1" w:styleId="3109">
    <w:name w:val="正文1-1"/>
    <w:basedOn w:val="1"/>
    <w:next w:val="1"/>
    <w:link w:val="3264"/>
    <w:qFormat/>
    <w:uiPriority w:val="0"/>
    <w:pPr>
      <w:widowControl/>
      <w:tabs>
        <w:tab w:val="clear" w:pos="480"/>
      </w:tabs>
      <w:adjustRightInd w:val="0"/>
      <w:snapToGrid w:val="0"/>
      <w:jc w:val="left"/>
    </w:pPr>
    <w:rPr>
      <w:kern w:val="0"/>
      <w:lang w:val="zh-CN"/>
    </w:rPr>
  </w:style>
  <w:style w:type="paragraph" w:customStyle="1" w:styleId="3110">
    <w:name w:val="Char1 Char Char Char Char Char Char1"/>
    <w:basedOn w:val="1"/>
    <w:semiHidden/>
    <w:qFormat/>
    <w:uiPriority w:val="0"/>
    <w:pPr>
      <w:widowControl/>
      <w:tabs>
        <w:tab w:val="clear" w:pos="480"/>
      </w:tabs>
      <w:spacing w:after="160" w:line="240" w:lineRule="exact"/>
      <w:jc w:val="left"/>
    </w:pPr>
    <w:rPr>
      <w:rFonts w:ascii="Verdana" w:hAnsi="Verdana" w:eastAsia="仿宋_GB2312"/>
      <w:kern w:val="0"/>
      <w:szCs w:val="20"/>
      <w:lang w:eastAsia="en-US"/>
    </w:rPr>
  </w:style>
  <w:style w:type="paragraph" w:customStyle="1" w:styleId="3111">
    <w:name w:val="样式 1标题3级 + 左侧:  -0.85 厘米 段前: 1.55 磅"/>
    <w:basedOn w:val="1"/>
    <w:semiHidden/>
    <w:qFormat/>
    <w:uiPriority w:val="0"/>
    <w:pPr>
      <w:keepNext/>
      <w:tabs>
        <w:tab w:val="clear" w:pos="480"/>
      </w:tabs>
      <w:snapToGrid w:val="0"/>
      <w:spacing w:before="120" w:line="420" w:lineRule="auto"/>
      <w:ind w:left="-482" w:firstLine="199" w:firstLineChars="199"/>
      <w:outlineLvl w:val="2"/>
    </w:pPr>
    <w:rPr>
      <w:rFonts w:eastAsia="黑体" w:cs="宋体"/>
      <w:b/>
      <w:bCs/>
      <w:szCs w:val="20"/>
    </w:rPr>
  </w:style>
  <w:style w:type="paragraph" w:customStyle="1" w:styleId="3112">
    <w:name w:val="样式 1标题2级 + 左  -0.85 字符"/>
    <w:basedOn w:val="1"/>
    <w:semiHidden/>
    <w:qFormat/>
    <w:uiPriority w:val="0"/>
    <w:pPr>
      <w:keepNext/>
      <w:tabs>
        <w:tab w:val="clear" w:pos="480"/>
      </w:tabs>
      <w:snapToGrid w:val="0"/>
      <w:spacing w:beforeLines="100" w:line="420" w:lineRule="auto"/>
      <w:ind w:left="-85" w:leftChars="-85" w:firstLine="63" w:firstLineChars="63"/>
      <w:outlineLvl w:val="1"/>
    </w:pPr>
    <w:rPr>
      <w:rFonts w:eastAsia="黑体" w:cs="宋体"/>
      <w:b/>
      <w:bCs/>
      <w:sz w:val="28"/>
      <w:szCs w:val="20"/>
    </w:rPr>
  </w:style>
  <w:style w:type="paragraph" w:customStyle="1" w:styleId="3113">
    <w:name w:val="样式 1标题3级 + 段前: 0.1 行"/>
    <w:basedOn w:val="1"/>
    <w:semiHidden/>
    <w:qFormat/>
    <w:uiPriority w:val="0"/>
    <w:pPr>
      <w:keepNext/>
      <w:tabs>
        <w:tab w:val="clear" w:pos="480"/>
      </w:tabs>
      <w:snapToGrid w:val="0"/>
      <w:spacing w:before="120" w:line="420" w:lineRule="auto"/>
      <w:outlineLvl w:val="2"/>
    </w:pPr>
    <w:rPr>
      <w:rFonts w:eastAsia="黑体" w:cs="宋体"/>
      <w:b/>
      <w:bCs/>
      <w:szCs w:val="20"/>
    </w:rPr>
  </w:style>
  <w:style w:type="paragraph" w:customStyle="1" w:styleId="3114">
    <w:name w:val="样式 标题 2标题2H2h2第一层条一级条SeHead wsa2Chapter TitleChapter1...."/>
    <w:basedOn w:val="3"/>
    <w:semiHidden/>
    <w:qFormat/>
    <w:uiPriority w:val="0"/>
    <w:pPr>
      <w:numPr>
        <w:ilvl w:val="0"/>
        <w:numId w:val="0"/>
      </w:numPr>
      <w:tabs>
        <w:tab w:val="left" w:pos="992"/>
        <w:tab w:val="clear" w:pos="480"/>
        <w:tab w:val="clear" w:pos="630"/>
      </w:tabs>
      <w:snapToGrid w:val="0"/>
      <w:spacing w:before="0" w:line="460" w:lineRule="exact"/>
      <w:ind w:left="861" w:hanging="567"/>
    </w:pPr>
    <w:rPr>
      <w:rFonts w:ascii="宋体" w:hAnsi="宋体"/>
      <w:kern w:val="0"/>
      <w:szCs w:val="30"/>
    </w:rPr>
  </w:style>
  <w:style w:type="character" w:customStyle="1" w:styleId="3115">
    <w:name w:val="样式 标题 41.1.1.1标题 4.1.1.1.1标题 4 Char款四级标题，黑粗，小四，序号H4h4 sub... Char"/>
    <w:link w:val="3116"/>
    <w:qFormat/>
    <w:locked/>
    <w:uiPriority w:val="0"/>
    <w:rPr>
      <w:rFonts w:ascii="宋体" w:hAnsi="宋体" w:eastAsia="宋体"/>
      <w:bCs/>
      <w:sz w:val="24"/>
      <w:szCs w:val="24"/>
      <w:lang w:bidi="ar-SA"/>
    </w:rPr>
  </w:style>
  <w:style w:type="paragraph" w:customStyle="1" w:styleId="3116">
    <w:name w:val="样式 标题 41.1.1.1标题 4.1.1.1.1标题 4 Char款四级标题，黑粗，小四，序号H4h4 sub..."/>
    <w:basedOn w:val="5"/>
    <w:link w:val="3115"/>
    <w:semiHidden/>
    <w:qFormat/>
    <w:uiPriority w:val="0"/>
    <w:pPr>
      <w:numPr>
        <w:ilvl w:val="0"/>
        <w:numId w:val="0"/>
      </w:numPr>
      <w:tabs>
        <w:tab w:val="left" w:pos="1984"/>
        <w:tab w:val="clear" w:pos="480"/>
      </w:tabs>
      <w:spacing w:before="0" w:after="0"/>
      <w:ind w:left="1984" w:hanging="708"/>
    </w:pPr>
    <w:rPr>
      <w:rFonts w:ascii="宋体" w:eastAsia="宋体"/>
      <w:b w:val="0"/>
      <w:kern w:val="0"/>
      <w:sz w:val="24"/>
      <w:szCs w:val="24"/>
    </w:rPr>
  </w:style>
  <w:style w:type="paragraph" w:customStyle="1" w:styleId="3117">
    <w:name w:val="样式 正文缩进1 + 首行缩进:  2 字符"/>
    <w:basedOn w:val="1"/>
    <w:semiHidden/>
    <w:qFormat/>
    <w:uiPriority w:val="0"/>
    <w:pPr>
      <w:tabs>
        <w:tab w:val="clear" w:pos="480"/>
      </w:tabs>
      <w:ind w:firstLine="480"/>
    </w:pPr>
    <w:rPr>
      <w:rFonts w:ascii="宋体" w:cs="宋体"/>
      <w:szCs w:val="20"/>
    </w:rPr>
  </w:style>
  <w:style w:type="character" w:customStyle="1" w:styleId="3118">
    <w:name w:val="自定正文 Char"/>
    <w:link w:val="3119"/>
    <w:qFormat/>
    <w:locked/>
    <w:uiPriority w:val="0"/>
    <w:rPr>
      <w:rFonts w:ascii="宋体" w:hAnsi="宋体" w:eastAsia="宋体"/>
      <w:color w:val="000000"/>
      <w:sz w:val="24"/>
      <w:lang w:bidi="ar-SA"/>
    </w:rPr>
  </w:style>
  <w:style w:type="paragraph" w:customStyle="1" w:styleId="3119">
    <w:name w:val="自定正文"/>
    <w:basedOn w:val="1"/>
    <w:link w:val="3118"/>
    <w:semiHidden/>
    <w:qFormat/>
    <w:uiPriority w:val="0"/>
    <w:pPr>
      <w:tabs>
        <w:tab w:val="clear" w:pos="480"/>
      </w:tabs>
      <w:snapToGrid w:val="0"/>
    </w:pPr>
    <w:rPr>
      <w:rFonts w:ascii="宋体" w:hAnsi="宋体"/>
      <w:color w:val="000000"/>
      <w:kern w:val="0"/>
      <w:szCs w:val="20"/>
      <w:lang w:val="zh-CN"/>
    </w:rPr>
  </w:style>
  <w:style w:type="character" w:customStyle="1" w:styleId="3120">
    <w:name w:val="自定表格 Char"/>
    <w:link w:val="3121"/>
    <w:qFormat/>
    <w:locked/>
    <w:uiPriority w:val="0"/>
    <w:rPr>
      <w:rFonts w:ascii="宋体" w:hAnsi="宋体" w:eastAsia="宋体"/>
      <w:lang w:bidi="ar-SA"/>
    </w:rPr>
  </w:style>
  <w:style w:type="paragraph" w:customStyle="1" w:styleId="3121">
    <w:name w:val="自定表格"/>
    <w:basedOn w:val="1"/>
    <w:link w:val="3120"/>
    <w:semiHidden/>
    <w:qFormat/>
    <w:uiPriority w:val="0"/>
    <w:pPr>
      <w:tabs>
        <w:tab w:val="clear" w:pos="480"/>
      </w:tabs>
      <w:autoSpaceDE w:val="0"/>
      <w:autoSpaceDN w:val="0"/>
      <w:adjustRightInd w:val="0"/>
      <w:spacing w:line="240" w:lineRule="auto"/>
      <w:jc w:val="center"/>
    </w:pPr>
    <w:rPr>
      <w:rFonts w:ascii="宋体" w:hAnsi="宋体"/>
      <w:kern w:val="0"/>
      <w:sz w:val="20"/>
      <w:szCs w:val="20"/>
      <w:lang w:val="zh-CN"/>
    </w:rPr>
  </w:style>
  <w:style w:type="character" w:customStyle="1" w:styleId="3122">
    <w:name w:val="自定表头 Char Char"/>
    <w:link w:val="3123"/>
    <w:qFormat/>
    <w:locked/>
    <w:uiPriority w:val="0"/>
    <w:rPr>
      <w:rFonts w:ascii="宋体" w:hAnsi="宋体" w:eastAsia="宋体"/>
      <w:b/>
      <w:sz w:val="24"/>
      <w:lang w:bidi="ar-SA"/>
    </w:rPr>
  </w:style>
  <w:style w:type="paragraph" w:customStyle="1" w:styleId="3123">
    <w:name w:val="自定表头"/>
    <w:basedOn w:val="6"/>
    <w:link w:val="3122"/>
    <w:semiHidden/>
    <w:qFormat/>
    <w:uiPriority w:val="0"/>
    <w:pPr>
      <w:numPr>
        <w:numId w:val="0"/>
      </w:numPr>
      <w:tabs>
        <w:tab w:val="left" w:pos="2551"/>
        <w:tab w:val="clear" w:pos="480"/>
      </w:tabs>
      <w:autoSpaceDE w:val="0"/>
      <w:autoSpaceDN w:val="0"/>
      <w:adjustRightInd w:val="0"/>
      <w:spacing w:before="0" w:after="0"/>
      <w:ind w:left="2551" w:hanging="850"/>
      <w:jc w:val="center"/>
    </w:pPr>
    <w:rPr>
      <w:rFonts w:hAnsi="宋体" w:eastAsia="宋体"/>
      <w:kern w:val="0"/>
    </w:rPr>
  </w:style>
  <w:style w:type="paragraph" w:customStyle="1" w:styleId="3124">
    <w:name w:val="样式 标题 3条标题1.1.1ReHead 3 WSAh3BSH-3H3b33rd levell3CT标题...1"/>
    <w:basedOn w:val="1"/>
    <w:semiHidden/>
    <w:qFormat/>
    <w:uiPriority w:val="0"/>
    <w:pPr>
      <w:keepNext/>
      <w:keepLines/>
      <w:tabs>
        <w:tab w:val="clear" w:pos="480"/>
      </w:tabs>
      <w:spacing w:before="120" w:after="120"/>
      <w:ind w:left="2079"/>
      <w:outlineLvl w:val="2"/>
    </w:pPr>
    <w:rPr>
      <w:rFonts w:ascii="宋体" w:hAnsi="宋体"/>
      <w:b/>
      <w:bCs/>
      <w:sz w:val="28"/>
      <w:szCs w:val="32"/>
    </w:rPr>
  </w:style>
  <w:style w:type="paragraph" w:customStyle="1" w:styleId="3125">
    <w:name w:val="样式 标题 3条标题1.1.1ReHead 3 WSAh3BSH-3H3b33rd levell3CT标题..."/>
    <w:basedOn w:val="1"/>
    <w:semiHidden/>
    <w:qFormat/>
    <w:uiPriority w:val="0"/>
    <w:pPr>
      <w:keepNext/>
      <w:keepLines/>
      <w:tabs>
        <w:tab w:val="clear" w:pos="480"/>
      </w:tabs>
      <w:spacing w:before="120" w:after="120"/>
      <w:ind w:left="2079"/>
      <w:outlineLvl w:val="2"/>
    </w:pPr>
    <w:rPr>
      <w:b/>
      <w:bCs/>
      <w:sz w:val="28"/>
      <w:szCs w:val="32"/>
    </w:rPr>
  </w:style>
  <w:style w:type="paragraph" w:customStyle="1" w:styleId="3126">
    <w:name w:val="样式 标题 3 + 段后: 0.5 行"/>
    <w:basedOn w:val="1"/>
    <w:semiHidden/>
    <w:qFormat/>
    <w:uiPriority w:val="0"/>
    <w:pPr>
      <w:keepNext/>
      <w:keepLines/>
      <w:numPr>
        <w:ilvl w:val="2"/>
        <w:numId w:val="34"/>
      </w:numPr>
      <w:tabs>
        <w:tab w:val="clear" w:pos="480"/>
      </w:tabs>
      <w:snapToGrid w:val="0"/>
      <w:spacing w:before="260" w:line="410" w:lineRule="auto"/>
      <w:outlineLvl w:val="2"/>
    </w:pPr>
    <w:rPr>
      <w:sz w:val="28"/>
      <w:szCs w:val="20"/>
    </w:rPr>
  </w:style>
  <w:style w:type="paragraph" w:customStyle="1" w:styleId="3127">
    <w:name w:val="样式 标题 5 + 左侧:  0 厘米 悬挂缩进: 9.98 字符"/>
    <w:basedOn w:val="6"/>
    <w:semiHidden/>
    <w:qFormat/>
    <w:uiPriority w:val="0"/>
    <w:pPr>
      <w:numPr>
        <w:numId w:val="0"/>
      </w:numPr>
      <w:tabs>
        <w:tab w:val="left" w:pos="1560"/>
        <w:tab w:val="left" w:pos="1680"/>
        <w:tab w:val="left" w:pos="2551"/>
        <w:tab w:val="clear" w:pos="480"/>
      </w:tabs>
      <w:overflowPunct w:val="0"/>
      <w:topLinePunct/>
      <w:autoSpaceDE w:val="0"/>
      <w:adjustRightInd w:val="0"/>
      <w:snapToGrid w:val="0"/>
      <w:spacing w:before="120" w:after="0" w:line="480" w:lineRule="auto"/>
      <w:ind w:left="2551" w:hanging="850"/>
      <w:jc w:val="left"/>
    </w:pPr>
    <w:rPr>
      <w:rFonts w:ascii="Times New Roman" w:hAnsi="Times New Roman" w:eastAsia="宋体" w:cs="宋体"/>
      <w:b w:val="0"/>
      <w:spacing w:val="20"/>
      <w:kern w:val="0"/>
    </w:rPr>
  </w:style>
  <w:style w:type="paragraph" w:customStyle="1" w:styleId="3128">
    <w:name w:val="首行缩进"/>
    <w:basedOn w:val="1"/>
    <w:semiHidden/>
    <w:qFormat/>
    <w:uiPriority w:val="0"/>
    <w:pPr>
      <w:tabs>
        <w:tab w:val="clear" w:pos="480"/>
      </w:tabs>
      <w:spacing w:line="240" w:lineRule="auto"/>
    </w:pPr>
    <w:rPr>
      <w:rFonts w:eastAsia="仿宋_GB2312"/>
      <w:sz w:val="28"/>
      <w:szCs w:val="28"/>
    </w:rPr>
  </w:style>
  <w:style w:type="paragraph" w:customStyle="1" w:styleId="3129">
    <w:name w:val="样式 标题 1标题 1 Char标1章Ch章标题 1章节标题b11标题 1一、H11Heading 11..."/>
    <w:basedOn w:val="2"/>
    <w:semiHidden/>
    <w:qFormat/>
    <w:uiPriority w:val="0"/>
    <w:pPr>
      <w:numPr>
        <w:numId w:val="0"/>
      </w:numPr>
      <w:tabs>
        <w:tab w:val="clear" w:pos="480"/>
      </w:tabs>
      <w:spacing w:before="0" w:after="0"/>
      <w:jc w:val="center"/>
    </w:pPr>
    <w:rPr>
      <w:rFonts w:ascii="Times New Roman" w:eastAsia="宋体" w:cs="宋体"/>
      <w:szCs w:val="20"/>
    </w:rPr>
  </w:style>
  <w:style w:type="paragraph" w:customStyle="1" w:styleId="3130">
    <w:name w:val="样式 标题 2H2Heading 2 HiddenHeading 2 CCBSHD2节2nd levelh22..."/>
    <w:basedOn w:val="3"/>
    <w:semiHidden/>
    <w:qFormat/>
    <w:uiPriority w:val="0"/>
    <w:pPr>
      <w:numPr>
        <w:ilvl w:val="0"/>
        <w:numId w:val="0"/>
      </w:numPr>
      <w:tabs>
        <w:tab w:val="left" w:pos="992"/>
        <w:tab w:val="clear" w:pos="480"/>
        <w:tab w:val="clear" w:pos="630"/>
      </w:tabs>
      <w:spacing w:before="0" w:after="0"/>
      <w:ind w:left="992" w:hanging="567"/>
    </w:pPr>
    <w:rPr>
      <w:rFonts w:cs="宋体"/>
      <w:kern w:val="0"/>
      <w:sz w:val="30"/>
      <w:szCs w:val="20"/>
    </w:rPr>
  </w:style>
  <w:style w:type="paragraph" w:customStyle="1" w:styleId="3131">
    <w:name w:val="标题 3＋"/>
    <w:basedOn w:val="1"/>
    <w:next w:val="3"/>
    <w:semiHidden/>
    <w:qFormat/>
    <w:uiPriority w:val="0"/>
    <w:pPr>
      <w:tabs>
        <w:tab w:val="clear" w:pos="480"/>
      </w:tabs>
      <w:adjustRightInd w:val="0"/>
      <w:snapToGrid w:val="0"/>
      <w:spacing w:before="150" w:after="150"/>
      <w:jc w:val="left"/>
    </w:pPr>
    <w:rPr>
      <w:rFonts w:hAnsi="宋体"/>
      <w:b/>
      <w:szCs w:val="20"/>
    </w:rPr>
  </w:style>
  <w:style w:type="paragraph" w:customStyle="1" w:styleId="3132">
    <w:name w:val="新正文"/>
    <w:basedOn w:val="1"/>
    <w:qFormat/>
    <w:uiPriority w:val="0"/>
    <w:pPr>
      <w:tabs>
        <w:tab w:val="clear" w:pos="480"/>
      </w:tabs>
      <w:spacing w:line="460" w:lineRule="exact"/>
      <w:ind w:firstLine="454"/>
    </w:pPr>
    <w:rPr>
      <w:rFonts w:ascii="宋体"/>
      <w:kern w:val="0"/>
      <w:szCs w:val="20"/>
    </w:rPr>
  </w:style>
  <w:style w:type="paragraph" w:customStyle="1" w:styleId="3133">
    <w:name w:val="样式 正文 首行缩进:  2 字符 + 首行缩进:  2 字符"/>
    <w:basedOn w:val="1"/>
    <w:semiHidden/>
    <w:qFormat/>
    <w:uiPriority w:val="0"/>
    <w:pPr>
      <w:tabs>
        <w:tab w:val="clear" w:pos="480"/>
      </w:tabs>
      <w:spacing w:before="100" w:line="520" w:lineRule="exact"/>
      <w:ind w:firstLine="562"/>
    </w:pPr>
    <w:rPr>
      <w:rFonts w:ascii="仿宋_GB2312" w:eastAsia="仿宋_GB2312"/>
      <w:b/>
      <w:color w:val="000000"/>
      <w:sz w:val="28"/>
      <w:szCs w:val="28"/>
    </w:rPr>
  </w:style>
  <w:style w:type="paragraph" w:customStyle="1" w:styleId="3134">
    <w:name w:val="Char Char2 Char Char Char Char"/>
    <w:basedOn w:val="1"/>
    <w:qFormat/>
    <w:uiPriority w:val="0"/>
    <w:pPr>
      <w:widowControl/>
      <w:tabs>
        <w:tab w:val="clear" w:pos="480"/>
      </w:tabs>
      <w:spacing w:line="240" w:lineRule="auto"/>
      <w:jc w:val="left"/>
    </w:pPr>
    <w:rPr>
      <w:kern w:val="0"/>
      <w:lang w:val="pl-PL" w:eastAsia="pl-PL"/>
    </w:rPr>
  </w:style>
  <w:style w:type="paragraph" w:customStyle="1" w:styleId="3135">
    <w:name w:val="河石管道 表头"/>
    <w:semiHidden/>
    <w:qFormat/>
    <w:uiPriority w:val="0"/>
    <w:pPr>
      <w:jc w:val="center"/>
    </w:pPr>
    <w:rPr>
      <w:rFonts w:ascii="Times New Roman" w:hAnsi="Times New Roman" w:eastAsia="宋体" w:cs="Times New Roman"/>
      <w:bCs/>
      <w:kern w:val="2"/>
      <w:sz w:val="21"/>
      <w:szCs w:val="21"/>
      <w:lang w:val="en-US" w:eastAsia="zh-CN" w:bidi="ar-SA"/>
    </w:rPr>
  </w:style>
  <w:style w:type="paragraph" w:customStyle="1" w:styleId="3136">
    <w:name w:val="河石管道 表格文字小五"/>
    <w:semiHidden/>
    <w:qFormat/>
    <w:uiPriority w:val="0"/>
    <w:pPr>
      <w:tabs>
        <w:tab w:val="left" w:pos="277"/>
        <w:tab w:val="left" w:pos="600"/>
        <w:tab w:val="left" w:pos="780"/>
        <w:tab w:val="left" w:pos="2517"/>
      </w:tabs>
      <w:adjustRightInd w:val="0"/>
      <w:jc w:val="center"/>
    </w:pPr>
    <w:rPr>
      <w:rFonts w:ascii="Times New Roman" w:hAnsi="Times New Roman" w:eastAsia="宋体" w:cs="Times New Roman"/>
      <w:kern w:val="2"/>
      <w:sz w:val="18"/>
      <w:szCs w:val="21"/>
      <w:lang w:val="en-US" w:eastAsia="zh-CN" w:bidi="ar-SA"/>
    </w:rPr>
  </w:style>
  <w:style w:type="paragraph" w:customStyle="1" w:styleId="3137">
    <w:name w:val="规划"/>
    <w:basedOn w:val="1"/>
    <w:semiHidden/>
    <w:qFormat/>
    <w:uiPriority w:val="0"/>
    <w:pPr>
      <w:widowControl/>
      <w:numPr>
        <w:ilvl w:val="0"/>
        <w:numId w:val="35"/>
      </w:numPr>
      <w:tabs>
        <w:tab w:val="clear" w:pos="480"/>
      </w:tabs>
      <w:spacing w:beforeLines="50" w:afterLines="50" w:line="240" w:lineRule="auto"/>
      <w:jc w:val="left"/>
    </w:pPr>
    <w:rPr>
      <w:kern w:val="0"/>
      <w:szCs w:val="20"/>
    </w:rPr>
  </w:style>
  <w:style w:type="paragraph" w:customStyle="1" w:styleId="3138">
    <w:name w:val="河石管道 表格正文"/>
    <w:semiHidden/>
    <w:qFormat/>
    <w:uiPriority w:val="0"/>
    <w:pPr>
      <w:jc w:val="both"/>
    </w:pPr>
    <w:rPr>
      <w:rFonts w:ascii="Times New Roman" w:hAnsi="Times New Roman" w:eastAsia="宋体" w:cs="Times New Roman"/>
      <w:kern w:val="2"/>
      <w:sz w:val="21"/>
      <w:szCs w:val="21"/>
      <w:lang w:val="en-US" w:eastAsia="zh-CN" w:bidi="ar-SA"/>
    </w:rPr>
  </w:style>
  <w:style w:type="character" w:customStyle="1" w:styleId="3139">
    <w:name w:val="p14_black_1501"/>
    <w:semiHidden/>
    <w:qFormat/>
    <w:uiPriority w:val="0"/>
    <w:rPr>
      <w:sz w:val="22"/>
      <w:szCs w:val="22"/>
    </w:rPr>
  </w:style>
  <w:style w:type="character" w:customStyle="1" w:styleId="3140">
    <w:name w:val="标题6"/>
    <w:basedOn w:val="133"/>
    <w:semiHidden/>
    <w:qFormat/>
    <w:uiPriority w:val="0"/>
  </w:style>
  <w:style w:type="character" w:customStyle="1" w:styleId="3141">
    <w:name w:val="detail_style11"/>
    <w:semiHidden/>
    <w:qFormat/>
    <w:uiPriority w:val="0"/>
    <w:rPr>
      <w:rFonts w:hint="default" w:ascii="Arial" w:hAnsi="Arial" w:cs="Arial"/>
      <w:color w:val="000000"/>
      <w:sz w:val="21"/>
      <w:szCs w:val="21"/>
    </w:rPr>
  </w:style>
  <w:style w:type="character" w:customStyle="1" w:styleId="3142">
    <w:name w:val="fn org"/>
    <w:basedOn w:val="133"/>
    <w:semiHidden/>
    <w:qFormat/>
    <w:uiPriority w:val="0"/>
  </w:style>
  <w:style w:type="character" w:customStyle="1" w:styleId="3143">
    <w:name w:val="phone"/>
    <w:semiHidden/>
    <w:qFormat/>
    <w:uiPriority w:val="0"/>
  </w:style>
  <w:style w:type="character" w:customStyle="1" w:styleId="3144">
    <w:name w:val="content_11"/>
    <w:semiHidden/>
    <w:qFormat/>
    <w:uiPriority w:val="0"/>
    <w:rPr>
      <w:color w:val="333333"/>
      <w:sz w:val="18"/>
    </w:rPr>
  </w:style>
  <w:style w:type="character" w:customStyle="1" w:styleId="3145">
    <w:name w:val="l-1801"/>
    <w:semiHidden/>
    <w:qFormat/>
    <w:uiPriority w:val="0"/>
    <w:rPr>
      <w:sz w:val="18"/>
      <w:u w:val="none"/>
    </w:rPr>
  </w:style>
  <w:style w:type="character" w:customStyle="1" w:styleId="3146">
    <w:name w:val="p5"/>
    <w:basedOn w:val="133"/>
    <w:semiHidden/>
    <w:qFormat/>
    <w:uiPriority w:val="0"/>
  </w:style>
  <w:style w:type="character" w:customStyle="1" w:styleId="3147">
    <w:name w:val="消息标题标签"/>
    <w:semiHidden/>
    <w:qFormat/>
    <w:uiPriority w:val="0"/>
    <w:rPr>
      <w:rFonts w:hint="default" w:ascii="Arial" w:hAnsi="Arial" w:cs="Arial"/>
      <w:b/>
      <w:spacing w:val="-4"/>
      <w:sz w:val="18"/>
      <w:lang w:eastAsia="zh-CN"/>
    </w:rPr>
  </w:style>
  <w:style w:type="character" w:customStyle="1" w:styleId="3148">
    <w:name w:val="lh151"/>
    <w:basedOn w:val="133"/>
    <w:semiHidden/>
    <w:qFormat/>
    <w:uiPriority w:val="0"/>
  </w:style>
  <w:style w:type="character" w:customStyle="1" w:styleId="3149">
    <w:name w:val="black91"/>
    <w:semiHidden/>
    <w:qFormat/>
    <w:uiPriority w:val="0"/>
    <w:rPr>
      <w:color w:val="000000"/>
      <w:sz w:val="18"/>
      <w:u w:val="none"/>
    </w:rPr>
  </w:style>
  <w:style w:type="character" w:customStyle="1" w:styleId="3150">
    <w:name w:val="t361"/>
    <w:semiHidden/>
    <w:qFormat/>
    <w:uiPriority w:val="0"/>
    <w:rPr>
      <w:b/>
      <w:bCs/>
      <w:color w:val="FFFFFF"/>
      <w:sz w:val="40"/>
      <w:szCs w:val="40"/>
    </w:rPr>
  </w:style>
  <w:style w:type="character" w:customStyle="1" w:styleId="3151">
    <w:name w:val="c lh15"/>
    <w:basedOn w:val="133"/>
    <w:semiHidden/>
    <w:qFormat/>
    <w:uiPriority w:val="0"/>
  </w:style>
  <w:style w:type="character" w:customStyle="1" w:styleId="3152">
    <w:name w:val="fwriter1"/>
    <w:semiHidden/>
    <w:qFormat/>
    <w:uiPriority w:val="0"/>
    <w:rPr>
      <w:color w:val="A50010"/>
    </w:rPr>
  </w:style>
  <w:style w:type="character" w:customStyle="1" w:styleId="3153">
    <w:name w:val="title_black_141"/>
    <w:semiHidden/>
    <w:qFormat/>
    <w:uiPriority w:val="0"/>
    <w:rPr>
      <w:color w:val="000000"/>
      <w:sz w:val="23"/>
      <w:szCs w:val="23"/>
      <w:u w:val="none"/>
    </w:rPr>
  </w:style>
  <w:style w:type="character" w:customStyle="1" w:styleId="3154">
    <w:name w:val="news_content"/>
    <w:basedOn w:val="133"/>
    <w:semiHidden/>
    <w:qFormat/>
    <w:uiPriority w:val="0"/>
  </w:style>
  <w:style w:type="character" w:customStyle="1" w:styleId="3155">
    <w:name w:val="keyword1"/>
    <w:qFormat/>
    <w:uiPriority w:val="0"/>
    <w:rPr>
      <w:color w:val="FF0000"/>
    </w:rPr>
  </w:style>
  <w:style w:type="character" w:customStyle="1" w:styleId="3156">
    <w:name w:val="样式 (西文) 宋体"/>
    <w:semiHidden/>
    <w:qFormat/>
    <w:uiPriority w:val="0"/>
    <w:rPr>
      <w:rFonts w:hint="eastAsia" w:ascii="宋体" w:hAnsi="宋体" w:eastAsia="宋体"/>
      <w:sz w:val="24"/>
    </w:rPr>
  </w:style>
  <w:style w:type="character" w:customStyle="1" w:styleId="3157">
    <w:name w:val="样式 标题 3头 + 小三 加粗 Char"/>
    <w:semiHidden/>
    <w:qFormat/>
    <w:uiPriority w:val="0"/>
    <w:rPr>
      <w:rFonts w:hint="default" w:ascii="Arial" w:hAnsi="Arial" w:eastAsia="宋体" w:cs="Arial"/>
      <w:b/>
      <w:bCs/>
      <w:sz w:val="30"/>
      <w:szCs w:val="28"/>
      <w:lang w:val="en-US" w:eastAsia="zh-CN" w:bidi="ar-SA"/>
    </w:rPr>
  </w:style>
  <w:style w:type="character" w:customStyle="1" w:styleId="3158">
    <w:name w:val="样式 表格文字2 + Times New Roman Char"/>
    <w:semiHidden/>
    <w:qFormat/>
    <w:uiPriority w:val="0"/>
    <w:rPr>
      <w:rFonts w:hint="eastAsia" w:ascii="宋体" w:hAnsi="宋体" w:eastAsia="宋体" w:cs="宋体"/>
      <w:kern w:val="2"/>
      <w:sz w:val="21"/>
      <w:lang w:val="en-US" w:eastAsia="zh-CN" w:bidi="ar-SA"/>
    </w:rPr>
  </w:style>
  <w:style w:type="character" w:customStyle="1" w:styleId="3159">
    <w:name w:val="样式 样式 样式 标题 4heading 4 + Indent: Left 0.5 inH4标题3a1.1.1.1 Headin... Char"/>
    <w:semiHidden/>
    <w:qFormat/>
    <w:uiPriority w:val="0"/>
    <w:rPr>
      <w:rFonts w:hint="eastAsia" w:ascii="黑体" w:hAnsi="宋体" w:eastAsia="宋体" w:cs="宋体"/>
      <w:bCs/>
      <w:sz w:val="28"/>
      <w:lang w:val="en-US" w:eastAsia="zh-CN" w:bidi="ar-SA"/>
    </w:rPr>
  </w:style>
  <w:style w:type="character" w:customStyle="1" w:styleId="3160">
    <w:name w:val="contents"/>
    <w:basedOn w:val="133"/>
    <w:semiHidden/>
    <w:qFormat/>
    <w:uiPriority w:val="0"/>
  </w:style>
  <w:style w:type="character" w:customStyle="1" w:styleId="3161">
    <w:name w:val="style151"/>
    <w:semiHidden/>
    <w:qFormat/>
    <w:uiPriority w:val="0"/>
    <w:rPr>
      <w:sz w:val="18"/>
      <w:szCs w:val="18"/>
    </w:rPr>
  </w:style>
  <w:style w:type="character" w:customStyle="1" w:styleId="3162">
    <w:name w:val="style16"/>
    <w:basedOn w:val="133"/>
    <w:semiHidden/>
    <w:qFormat/>
    <w:uiPriority w:val="0"/>
  </w:style>
  <w:style w:type="character" w:customStyle="1" w:styleId="3163">
    <w:name w:val="articlelink"/>
    <w:basedOn w:val="133"/>
    <w:semiHidden/>
    <w:qFormat/>
    <w:uiPriority w:val="0"/>
  </w:style>
  <w:style w:type="character" w:customStyle="1" w:styleId="3164">
    <w:name w:val="dectext1"/>
    <w:basedOn w:val="133"/>
    <w:semiHidden/>
    <w:qFormat/>
    <w:uiPriority w:val="0"/>
  </w:style>
  <w:style w:type="character" w:customStyle="1" w:styleId="3165">
    <w:name w:val="style81"/>
    <w:semiHidden/>
    <w:qFormat/>
    <w:uiPriority w:val="0"/>
    <w:rPr>
      <w:sz w:val="18"/>
      <w:szCs w:val="18"/>
    </w:rPr>
  </w:style>
  <w:style w:type="character" w:customStyle="1" w:styleId="3166">
    <w:name w:val="t0033991"/>
    <w:semiHidden/>
    <w:qFormat/>
    <w:uiPriority w:val="0"/>
    <w:rPr>
      <w:b/>
      <w:bCs/>
      <w:color w:val="333333"/>
      <w:sz w:val="21"/>
      <w:szCs w:val="21"/>
    </w:rPr>
  </w:style>
  <w:style w:type="character" w:customStyle="1" w:styleId="3167">
    <w:name w:val="br1"/>
    <w:basedOn w:val="133"/>
    <w:semiHidden/>
    <w:qFormat/>
    <w:uiPriority w:val="0"/>
  </w:style>
  <w:style w:type="character" w:customStyle="1" w:styleId="3168">
    <w:name w:val="H5 Char Char"/>
    <w:semiHidden/>
    <w:qFormat/>
    <w:uiPriority w:val="0"/>
    <w:rPr>
      <w:rFonts w:hint="eastAsia" w:ascii="宋体" w:hAnsi="宋体" w:eastAsia="宋体"/>
      <w:b/>
      <w:bCs/>
      <w:kern w:val="2"/>
      <w:sz w:val="28"/>
      <w:szCs w:val="28"/>
      <w:lang w:val="en-US" w:eastAsia="zh-CN" w:bidi="ar-SA"/>
    </w:rPr>
  </w:style>
  <w:style w:type="character" w:customStyle="1" w:styleId="3169">
    <w:name w:val="批注主题 Char2"/>
    <w:semiHidden/>
    <w:qFormat/>
    <w:uiPriority w:val="0"/>
    <w:rPr>
      <w:rFonts w:ascii="Times New Roman" w:hAnsi="Times New Roman" w:eastAsia="宋体" w:cs="Times New Roman"/>
      <w:b/>
      <w:bCs/>
      <w:sz w:val="24"/>
      <w:szCs w:val="24"/>
    </w:rPr>
  </w:style>
  <w:style w:type="character" w:customStyle="1" w:styleId="3170">
    <w:name w:val="zhengwen"/>
    <w:basedOn w:val="133"/>
    <w:semiHidden/>
    <w:qFormat/>
    <w:uiPriority w:val="0"/>
  </w:style>
  <w:style w:type="character" w:customStyle="1" w:styleId="3171">
    <w:name w:val="keyword"/>
    <w:basedOn w:val="133"/>
    <w:qFormat/>
    <w:uiPriority w:val="0"/>
  </w:style>
  <w:style w:type="character" w:customStyle="1" w:styleId="3172">
    <w:name w:val="样式 标题 2标题 2 Char Char + 宋体1 Char"/>
    <w:semiHidden/>
    <w:qFormat/>
    <w:uiPriority w:val="0"/>
    <w:rPr>
      <w:rFonts w:hint="eastAsia" w:ascii="宋体" w:hAnsi="宋体" w:eastAsia="宋体"/>
      <w:b/>
      <w:sz w:val="28"/>
    </w:rPr>
  </w:style>
  <w:style w:type="character" w:customStyle="1" w:styleId="3173">
    <w:name w:val="第一条1"/>
    <w:semiHidden/>
    <w:qFormat/>
    <w:uiPriority w:val="0"/>
    <w:rPr>
      <w:rFonts w:hint="eastAsia" w:ascii="黑体" w:hAnsi="黑体" w:eastAsia="黑体"/>
      <w:sz w:val="24"/>
      <w:szCs w:val="24"/>
    </w:rPr>
  </w:style>
  <w:style w:type="character" w:customStyle="1" w:styleId="3174">
    <w:name w:val="p12grey1"/>
    <w:semiHidden/>
    <w:qFormat/>
    <w:uiPriority w:val="0"/>
    <w:rPr>
      <w:rFonts w:hint="default" w:ascii="ˎ̥" w:hAnsi="ˎ̥"/>
      <w:color w:val="666666"/>
      <w:sz w:val="14"/>
      <w:szCs w:val="14"/>
      <w:u w:val="none"/>
    </w:rPr>
  </w:style>
  <w:style w:type="character" w:customStyle="1" w:styleId="3175">
    <w:name w:val="干标题(a) Char Char"/>
    <w:semiHidden/>
    <w:qFormat/>
    <w:uiPriority w:val="0"/>
    <w:rPr>
      <w:rFonts w:hint="default" w:ascii="Arial" w:hAnsi="Arial" w:eastAsia="黑体" w:cs="Arial"/>
      <w:kern w:val="2"/>
      <w:sz w:val="24"/>
      <w:lang w:val="en-US" w:eastAsia="zh-CN" w:bidi="ar-SA"/>
    </w:rPr>
  </w:style>
  <w:style w:type="character" w:customStyle="1" w:styleId="3176">
    <w:name w:val="表内文字 Char Char"/>
    <w:semiHidden/>
    <w:qFormat/>
    <w:uiPriority w:val="0"/>
    <w:rPr>
      <w:rFonts w:hint="eastAsia" w:ascii="宋体" w:hAnsi="宋体" w:eastAsia="宋体"/>
      <w:sz w:val="28"/>
      <w:lang w:val="en-US" w:eastAsia="zh-CN" w:bidi="ar-SA"/>
    </w:rPr>
  </w:style>
  <w:style w:type="character" w:customStyle="1" w:styleId="3177">
    <w:name w:val="Char Char211"/>
    <w:semiHidden/>
    <w:qFormat/>
    <w:uiPriority w:val="0"/>
    <w:rPr>
      <w:rFonts w:hint="eastAsia" w:ascii="宋体" w:hAnsi="宋体" w:eastAsia="宋体"/>
      <w:b/>
      <w:bCs/>
      <w:kern w:val="2"/>
      <w:sz w:val="32"/>
      <w:szCs w:val="32"/>
      <w:lang w:val="en-US" w:eastAsia="zh-CN" w:bidi="ar-SA"/>
    </w:rPr>
  </w:style>
  <w:style w:type="character" w:customStyle="1" w:styleId="3178">
    <w:name w:val="Char Char20"/>
    <w:qFormat/>
    <w:uiPriority w:val="0"/>
    <w:rPr>
      <w:rFonts w:hint="eastAsia" w:ascii="宋体" w:hAnsi="宋体" w:eastAsia="宋体"/>
      <w:b/>
      <w:bCs/>
      <w:kern w:val="2"/>
      <w:sz w:val="30"/>
      <w:szCs w:val="30"/>
      <w:lang w:val="en-US" w:eastAsia="zh-CN" w:bidi="ar-SA"/>
    </w:rPr>
  </w:style>
  <w:style w:type="character" w:customStyle="1" w:styleId="3179">
    <w:name w:val="Char Char19"/>
    <w:semiHidden/>
    <w:qFormat/>
    <w:uiPriority w:val="0"/>
    <w:rPr>
      <w:rFonts w:hint="eastAsia" w:ascii="宋体" w:hAnsi="宋体" w:eastAsia="宋体"/>
      <w:b/>
      <w:bCs/>
      <w:kern w:val="2"/>
      <w:sz w:val="28"/>
      <w:szCs w:val="28"/>
      <w:lang w:val="en-US" w:eastAsia="zh-CN" w:bidi="ar-SA"/>
    </w:rPr>
  </w:style>
  <w:style w:type="character" w:customStyle="1" w:styleId="3180">
    <w:name w:val="Char Char22"/>
    <w:semiHidden/>
    <w:qFormat/>
    <w:uiPriority w:val="0"/>
    <w:rPr>
      <w:rFonts w:hint="eastAsia" w:ascii="黑体" w:hAnsi="黑体" w:eastAsia="黑体"/>
      <w:bCs/>
      <w:kern w:val="36"/>
      <w:sz w:val="36"/>
      <w:szCs w:val="36"/>
      <w:lang w:val="en-US" w:eastAsia="zh-CN" w:bidi="ar-SA"/>
    </w:rPr>
  </w:style>
  <w:style w:type="character" w:customStyle="1" w:styleId="3181">
    <w:name w:val="引用 Char1"/>
    <w:semiHidden/>
    <w:qFormat/>
    <w:uiPriority w:val="0"/>
    <w:rPr>
      <w:rFonts w:ascii="Times New Roman" w:hAnsi="Times New Roman" w:eastAsia="宋体" w:cs="Times New Roman"/>
      <w:i/>
      <w:iCs/>
      <w:color w:val="000000"/>
      <w:sz w:val="24"/>
      <w:szCs w:val="24"/>
    </w:rPr>
  </w:style>
  <w:style w:type="character" w:customStyle="1" w:styleId="3182">
    <w:name w:val="明显引用 Char1"/>
    <w:semiHidden/>
    <w:qFormat/>
    <w:uiPriority w:val="0"/>
    <w:rPr>
      <w:rFonts w:ascii="Times New Roman" w:hAnsi="Times New Roman" w:eastAsia="宋体" w:cs="Times New Roman"/>
      <w:b/>
      <w:bCs/>
      <w:i/>
      <w:iCs/>
      <w:color w:val="4F81BD"/>
      <w:sz w:val="24"/>
      <w:szCs w:val="24"/>
    </w:rPr>
  </w:style>
  <w:style w:type="character" w:customStyle="1" w:styleId="3183">
    <w:name w:val="表格内容 Char"/>
    <w:qFormat/>
    <w:uiPriority w:val="0"/>
    <w:rPr>
      <w:rFonts w:hint="eastAsia" w:ascii="宋体" w:hAnsi="宋体" w:eastAsia="宋体"/>
      <w:kern w:val="2"/>
      <w:sz w:val="21"/>
      <w:szCs w:val="21"/>
      <w:lang w:val="en-US" w:eastAsia="zh-CN" w:bidi="ar-SA"/>
    </w:rPr>
  </w:style>
  <w:style w:type="character" w:customStyle="1" w:styleId="3184">
    <w:name w:val="luren_li_right1"/>
    <w:basedOn w:val="133"/>
    <w:semiHidden/>
    <w:qFormat/>
    <w:uiPriority w:val="0"/>
  </w:style>
  <w:style w:type="character" w:customStyle="1" w:styleId="3185">
    <w:name w:val="m_191"/>
    <w:semiHidden/>
    <w:qFormat/>
    <w:uiPriority w:val="0"/>
    <w:rPr>
      <w:rFonts w:hint="default" w:ascii="Arial" w:hAnsi="Arial" w:cs="Arial"/>
      <w:color w:val="000000"/>
      <w:sz w:val="23"/>
      <w:szCs w:val="23"/>
    </w:rPr>
  </w:style>
  <w:style w:type="character" w:customStyle="1" w:styleId="3186">
    <w:name w:val="m_71"/>
    <w:semiHidden/>
    <w:qFormat/>
    <w:uiPriority w:val="0"/>
    <w:rPr>
      <w:rFonts w:hint="default" w:ascii="Arial" w:hAnsi="Arial" w:cs="Arial"/>
      <w:color w:val="000000"/>
      <w:sz w:val="23"/>
      <w:szCs w:val="23"/>
    </w:rPr>
  </w:style>
  <w:style w:type="character" w:customStyle="1" w:styleId="3187">
    <w:name w:val="m_491"/>
    <w:semiHidden/>
    <w:qFormat/>
    <w:uiPriority w:val="0"/>
    <w:rPr>
      <w:rFonts w:hint="default" w:ascii="Arial" w:hAnsi="Arial" w:cs="Arial"/>
      <w:color w:val="000000"/>
      <w:sz w:val="23"/>
      <w:szCs w:val="23"/>
    </w:rPr>
  </w:style>
  <w:style w:type="character" w:customStyle="1" w:styleId="3188">
    <w:name w:val="m_451"/>
    <w:semiHidden/>
    <w:qFormat/>
    <w:uiPriority w:val="0"/>
    <w:rPr>
      <w:rFonts w:hint="default" w:ascii="Arial" w:hAnsi="Arial" w:cs="Arial"/>
      <w:color w:val="000000"/>
      <w:sz w:val="23"/>
      <w:szCs w:val="23"/>
    </w:rPr>
  </w:style>
  <w:style w:type="character" w:customStyle="1" w:styleId="3189">
    <w:name w:val="m_301"/>
    <w:semiHidden/>
    <w:qFormat/>
    <w:uiPriority w:val="0"/>
    <w:rPr>
      <w:rFonts w:hint="default" w:ascii="Arial" w:hAnsi="Arial" w:cs="Arial"/>
      <w:color w:val="000000"/>
      <w:sz w:val="23"/>
      <w:szCs w:val="23"/>
    </w:rPr>
  </w:style>
  <w:style w:type="character" w:customStyle="1" w:styleId="3190">
    <w:name w:val="m_461"/>
    <w:semiHidden/>
    <w:qFormat/>
    <w:uiPriority w:val="0"/>
    <w:rPr>
      <w:rFonts w:hint="default" w:ascii="Arial" w:hAnsi="Arial" w:cs="Arial"/>
      <w:color w:val="000000"/>
      <w:sz w:val="23"/>
      <w:szCs w:val="23"/>
    </w:rPr>
  </w:style>
  <w:style w:type="character" w:customStyle="1" w:styleId="3191">
    <w:name w:val="m_210"/>
    <w:semiHidden/>
    <w:qFormat/>
    <w:uiPriority w:val="0"/>
    <w:rPr>
      <w:rFonts w:hint="default" w:ascii="Arial" w:hAnsi="Arial" w:cs="Arial"/>
      <w:color w:val="000000"/>
      <w:sz w:val="23"/>
      <w:szCs w:val="23"/>
    </w:rPr>
  </w:style>
  <w:style w:type="character" w:customStyle="1" w:styleId="3192">
    <w:name w:val="m_281"/>
    <w:semiHidden/>
    <w:qFormat/>
    <w:uiPriority w:val="0"/>
    <w:rPr>
      <w:rFonts w:hint="default" w:ascii="Arial" w:hAnsi="Arial" w:cs="Arial"/>
      <w:color w:val="000000"/>
      <w:sz w:val="23"/>
      <w:szCs w:val="23"/>
    </w:rPr>
  </w:style>
  <w:style w:type="character" w:customStyle="1" w:styleId="3193">
    <w:name w:val="m_51"/>
    <w:semiHidden/>
    <w:qFormat/>
    <w:uiPriority w:val="0"/>
    <w:rPr>
      <w:rFonts w:hint="default" w:ascii="Arial" w:hAnsi="Arial" w:cs="Arial"/>
      <w:color w:val="000000"/>
      <w:sz w:val="23"/>
      <w:szCs w:val="23"/>
    </w:rPr>
  </w:style>
  <w:style w:type="character" w:customStyle="1" w:styleId="3194">
    <w:name w:val="m_111"/>
    <w:semiHidden/>
    <w:qFormat/>
    <w:uiPriority w:val="0"/>
    <w:rPr>
      <w:rFonts w:hint="default" w:ascii="Arial" w:hAnsi="Arial" w:cs="Arial"/>
      <w:color w:val="000000"/>
      <w:sz w:val="23"/>
      <w:szCs w:val="23"/>
    </w:rPr>
  </w:style>
  <w:style w:type="character" w:customStyle="1" w:styleId="3195">
    <w:name w:val="m_321"/>
    <w:semiHidden/>
    <w:qFormat/>
    <w:uiPriority w:val="0"/>
    <w:rPr>
      <w:rFonts w:hint="default" w:ascii="Arial" w:hAnsi="Arial" w:cs="Arial"/>
      <w:color w:val="000000"/>
      <w:sz w:val="23"/>
      <w:szCs w:val="23"/>
    </w:rPr>
  </w:style>
  <w:style w:type="character" w:customStyle="1" w:styleId="3196">
    <w:name w:val="m_441"/>
    <w:semiHidden/>
    <w:qFormat/>
    <w:uiPriority w:val="0"/>
    <w:rPr>
      <w:rFonts w:hint="default" w:ascii="Arial" w:hAnsi="Arial" w:cs="Arial"/>
      <w:color w:val="000000"/>
      <w:sz w:val="23"/>
      <w:szCs w:val="23"/>
    </w:rPr>
  </w:style>
  <w:style w:type="paragraph" w:customStyle="1" w:styleId="3197">
    <w:name w:val="项目报告类别"/>
    <w:basedOn w:val="1"/>
    <w:next w:val="1"/>
    <w:semiHidden/>
    <w:qFormat/>
    <w:uiPriority w:val="0"/>
    <w:pPr>
      <w:keepLines/>
      <w:tabs>
        <w:tab w:val="clear" w:pos="480"/>
      </w:tabs>
      <w:adjustRightInd w:val="0"/>
      <w:spacing w:before="60" w:after="60" w:line="360" w:lineRule="atLeast"/>
      <w:jc w:val="center"/>
      <w:textAlignment w:val="baseline"/>
    </w:pPr>
    <w:rPr>
      <w:rFonts w:ascii="楷体_GB2312" w:eastAsia="楷体_GB2312"/>
      <w:b/>
      <w:color w:val="000000"/>
      <w:kern w:val="0"/>
      <w:sz w:val="84"/>
      <w:szCs w:val="20"/>
    </w:rPr>
  </w:style>
  <w:style w:type="paragraph" w:customStyle="1" w:styleId="3198">
    <w:name w:val="项目评价单位"/>
    <w:basedOn w:val="1"/>
    <w:semiHidden/>
    <w:qFormat/>
    <w:uiPriority w:val="0"/>
    <w:pPr>
      <w:tabs>
        <w:tab w:val="clear" w:pos="480"/>
      </w:tabs>
      <w:adjustRightInd w:val="0"/>
      <w:spacing w:before="60" w:after="60" w:line="360" w:lineRule="atLeast"/>
      <w:ind w:firstLine="539"/>
      <w:jc w:val="center"/>
      <w:textAlignment w:val="baseline"/>
    </w:pPr>
    <w:rPr>
      <w:rFonts w:ascii="楷体_GB2312" w:eastAsia="楷体_GB2312"/>
      <w:b/>
      <w:color w:val="000000"/>
      <w:kern w:val="0"/>
      <w:sz w:val="36"/>
      <w:szCs w:val="20"/>
    </w:rPr>
  </w:style>
  <w:style w:type="paragraph" w:customStyle="1" w:styleId="3199">
    <w:name w:val="项目编制时间"/>
    <w:basedOn w:val="1"/>
    <w:semiHidden/>
    <w:qFormat/>
    <w:uiPriority w:val="0"/>
    <w:pPr>
      <w:tabs>
        <w:tab w:val="clear" w:pos="480"/>
      </w:tabs>
      <w:adjustRightInd w:val="0"/>
      <w:spacing w:before="60" w:after="60" w:line="360" w:lineRule="atLeast"/>
      <w:ind w:firstLine="539"/>
      <w:jc w:val="center"/>
      <w:textAlignment w:val="baseline"/>
    </w:pPr>
    <w:rPr>
      <w:rFonts w:eastAsia="楷体_GB2312"/>
      <w:b/>
      <w:color w:val="000000"/>
      <w:kern w:val="0"/>
      <w:sz w:val="36"/>
      <w:szCs w:val="20"/>
    </w:rPr>
  </w:style>
  <w:style w:type="paragraph" w:customStyle="1" w:styleId="3200">
    <w:name w:val="title14"/>
    <w:basedOn w:val="1"/>
    <w:semiHidden/>
    <w:qFormat/>
    <w:uiPriority w:val="0"/>
    <w:pPr>
      <w:widowControl/>
      <w:tabs>
        <w:tab w:val="clear" w:pos="480"/>
      </w:tabs>
      <w:spacing w:before="100" w:beforeAutospacing="1" w:after="100" w:afterAutospacing="1" w:line="408" w:lineRule="auto"/>
      <w:jc w:val="left"/>
    </w:pPr>
    <w:rPr>
      <w:rFonts w:ascii="Arial Unicode MS" w:hAnsi="Arial Unicode MS" w:eastAsia="Arial Unicode MS" w:cs="Arial Unicode MS"/>
      <w:kern w:val="0"/>
      <w:sz w:val="22"/>
      <w:szCs w:val="22"/>
    </w:rPr>
  </w:style>
  <w:style w:type="paragraph" w:customStyle="1" w:styleId="3201">
    <w:name w:val="壹"/>
    <w:basedOn w:val="1"/>
    <w:semiHidden/>
    <w:qFormat/>
    <w:uiPriority w:val="0"/>
    <w:pPr>
      <w:tabs>
        <w:tab w:val="clear" w:pos="480"/>
      </w:tabs>
      <w:adjustRightInd w:val="0"/>
      <w:spacing w:beforeLines="50" w:afterLines="50" w:line="360" w:lineRule="atLeast"/>
      <w:jc w:val="left"/>
      <w:textAlignment w:val="baseline"/>
    </w:pPr>
    <w:rPr>
      <w:rFonts w:eastAsia="DFKai-SB"/>
      <w:b/>
      <w:bCs/>
      <w:kern w:val="0"/>
      <w:sz w:val="32"/>
      <w:szCs w:val="32"/>
      <w:lang w:eastAsia="zh-TW"/>
    </w:rPr>
  </w:style>
  <w:style w:type="character" w:customStyle="1" w:styleId="3202">
    <w:name w:val="9p"/>
    <w:basedOn w:val="133"/>
    <w:semiHidden/>
    <w:qFormat/>
    <w:uiPriority w:val="0"/>
  </w:style>
  <w:style w:type="paragraph" w:customStyle="1" w:styleId="3203">
    <w:name w:val="标题3.5"/>
    <w:basedOn w:val="1"/>
    <w:semiHidden/>
    <w:qFormat/>
    <w:uiPriority w:val="0"/>
    <w:pPr>
      <w:tabs>
        <w:tab w:val="clear" w:pos="480"/>
      </w:tabs>
      <w:spacing w:line="240" w:lineRule="auto"/>
    </w:pPr>
    <w:rPr>
      <w:rFonts w:eastAsia="仿宋_GB2312"/>
    </w:rPr>
  </w:style>
  <w:style w:type="paragraph" w:customStyle="1" w:styleId="3204">
    <w:name w:val="样式 标题 3B HeadH3标题 3 Char Char标题 3 Char Char Char Char标题 3 C..."/>
    <w:basedOn w:val="4"/>
    <w:semiHidden/>
    <w:qFormat/>
    <w:uiPriority w:val="0"/>
    <w:pPr>
      <w:numPr>
        <w:numId w:val="0"/>
      </w:numPr>
      <w:tabs>
        <w:tab w:val="left" w:pos="709"/>
        <w:tab w:val="clear" w:pos="480"/>
        <w:tab w:val="clear" w:pos="840"/>
      </w:tabs>
      <w:spacing w:before="100" w:after="100" w:line="300" w:lineRule="auto"/>
      <w:ind w:left="709" w:hanging="709"/>
    </w:pPr>
    <w:rPr>
      <w:rFonts w:ascii="黑体" w:eastAsia="黑体" w:cs="宋体"/>
      <w:b w:val="0"/>
      <w:bCs w:val="0"/>
      <w:sz w:val="28"/>
      <w:szCs w:val="20"/>
    </w:rPr>
  </w:style>
  <w:style w:type="paragraph" w:customStyle="1" w:styleId="3205">
    <w:name w:val="样式 标题 2H2SeHead wsa2标题 1.1标题 2 Char Char Char Char Char标题 ..."/>
    <w:basedOn w:val="3"/>
    <w:semiHidden/>
    <w:qFormat/>
    <w:uiPriority w:val="0"/>
    <w:pPr>
      <w:numPr>
        <w:numId w:val="0"/>
      </w:numPr>
      <w:tabs>
        <w:tab w:val="left" w:pos="567"/>
        <w:tab w:val="clear" w:pos="480"/>
        <w:tab w:val="clear" w:pos="630"/>
      </w:tabs>
      <w:spacing w:before="120"/>
      <w:ind w:left="567" w:hanging="567"/>
    </w:pPr>
    <w:rPr>
      <w:rFonts w:ascii="黑体" w:hAnsi="Arial" w:eastAsia="黑体" w:cs="宋体"/>
      <w:b w:val="0"/>
      <w:bCs w:val="0"/>
      <w:kern w:val="0"/>
    </w:rPr>
  </w:style>
  <w:style w:type="paragraph" w:customStyle="1" w:styleId="3206">
    <w:name w:val="样式 标题 4 + 小四 行距: 单倍行距"/>
    <w:basedOn w:val="5"/>
    <w:semiHidden/>
    <w:qFormat/>
    <w:uiPriority w:val="0"/>
    <w:pPr>
      <w:numPr>
        <w:numId w:val="0"/>
      </w:numPr>
      <w:tabs>
        <w:tab w:val="left" w:pos="851"/>
        <w:tab w:val="clear" w:pos="480"/>
      </w:tabs>
      <w:spacing w:before="280" w:after="290" w:line="240" w:lineRule="auto"/>
      <w:ind w:left="851" w:hanging="851"/>
    </w:pPr>
    <w:rPr>
      <w:rFonts w:ascii="Arial" w:hAnsi="Arial" w:eastAsia="黑体" w:cs="宋体"/>
      <w:sz w:val="24"/>
      <w:szCs w:val="20"/>
    </w:rPr>
  </w:style>
  <w:style w:type="character" w:customStyle="1" w:styleId="3207">
    <w:name w:val="l131"/>
    <w:semiHidden/>
    <w:qFormat/>
    <w:uiPriority w:val="0"/>
    <w:rPr>
      <w:sz w:val="18"/>
      <w:szCs w:val="18"/>
    </w:rPr>
  </w:style>
  <w:style w:type="paragraph" w:customStyle="1" w:styleId="3208">
    <w:name w:val="表目录"/>
    <w:basedOn w:val="73"/>
    <w:semiHidden/>
    <w:qFormat/>
    <w:uiPriority w:val="0"/>
    <w:pPr>
      <w:spacing w:line="360" w:lineRule="auto"/>
      <w:ind w:left="200" w:hanging="200"/>
      <w:jc w:val="center"/>
    </w:pPr>
    <w:rPr>
      <w:rFonts w:eastAsia="黑体"/>
      <w:b/>
      <w:bCs/>
      <w:sz w:val="24"/>
      <w:szCs w:val="21"/>
    </w:rPr>
  </w:style>
  <w:style w:type="paragraph" w:customStyle="1" w:styleId="3209">
    <w:name w:val="样式 标题 2第一章1.1 Char Char Char + 四号 加粗 段前: 自动 段后: 自动"/>
    <w:basedOn w:val="3"/>
    <w:semiHidden/>
    <w:qFormat/>
    <w:uiPriority w:val="0"/>
    <w:pPr>
      <w:numPr>
        <w:numId w:val="0"/>
      </w:numPr>
      <w:tabs>
        <w:tab w:val="clear" w:pos="480"/>
        <w:tab w:val="clear" w:pos="630"/>
      </w:tabs>
      <w:spacing w:before="156" w:beforeAutospacing="1" w:after="156" w:afterAutospacing="1"/>
      <w:ind w:left="291"/>
    </w:pPr>
    <w:rPr>
      <w:rFonts w:ascii="Arial" w:hAnsi="Arial" w:eastAsia="黑体" w:cs="宋体"/>
      <w:kern w:val="0"/>
      <w:sz w:val="28"/>
      <w:szCs w:val="20"/>
    </w:rPr>
  </w:style>
  <w:style w:type="character" w:customStyle="1" w:styleId="3210">
    <w:name w:val="样式 四号"/>
    <w:semiHidden/>
    <w:qFormat/>
    <w:uiPriority w:val="0"/>
    <w:rPr>
      <w:rFonts w:eastAsia="黑体"/>
      <w:b/>
      <w:sz w:val="28"/>
    </w:rPr>
  </w:style>
  <w:style w:type="paragraph" w:customStyle="1" w:styleId="3211">
    <w:name w:val="c_"/>
    <w:semiHidden/>
    <w:qFormat/>
    <w:uiPriority w:val="0"/>
    <w:pPr>
      <w:widowControl w:val="0"/>
      <w:autoSpaceDE w:val="0"/>
      <w:autoSpaceDN w:val="0"/>
      <w:adjustRightInd w:val="0"/>
      <w:jc w:val="both"/>
    </w:pPr>
    <w:rPr>
      <w:rFonts w:ascii="五" w:hAnsi="Times New Roman" w:eastAsia="五" w:cs="Times New Roman"/>
      <w:kern w:val="2"/>
      <w:sz w:val="24"/>
      <w:szCs w:val="24"/>
      <w:lang w:val="en-US" w:eastAsia="zh-CN" w:bidi="ar-SA"/>
    </w:rPr>
  </w:style>
  <w:style w:type="paragraph" w:customStyle="1" w:styleId="3212">
    <w:name w:val="Char Char Char Char Char Char1 Char Char Char1 Char Char Char1 Char Char Char Char Char Char Char Char Char Char2"/>
    <w:basedOn w:val="1"/>
    <w:next w:val="1"/>
    <w:semiHidden/>
    <w:qFormat/>
    <w:uiPriority w:val="0"/>
    <w:pPr>
      <w:tabs>
        <w:tab w:val="clear" w:pos="480"/>
      </w:tabs>
    </w:pPr>
    <w:rPr>
      <w:rFonts w:ascii="宋体" w:hAnsi="宋体" w:cs="宋体"/>
    </w:rPr>
  </w:style>
  <w:style w:type="paragraph" w:customStyle="1" w:styleId="3213">
    <w:name w:val="Char Char Char Char Char Char Char Char Char Char Char Char Char Char Char Char Char Char Char2"/>
    <w:basedOn w:val="1"/>
    <w:next w:val="1"/>
    <w:semiHidden/>
    <w:qFormat/>
    <w:uiPriority w:val="0"/>
    <w:pPr>
      <w:tabs>
        <w:tab w:val="clear" w:pos="480"/>
      </w:tabs>
    </w:pPr>
    <w:rPr>
      <w:rFonts w:ascii="宋体" w:hAnsi="宋体" w:cs="宋体"/>
    </w:rPr>
  </w:style>
  <w:style w:type="paragraph" w:customStyle="1" w:styleId="3214">
    <w:name w:val="Char1 Char Char Char2"/>
    <w:basedOn w:val="1"/>
    <w:next w:val="1"/>
    <w:semiHidden/>
    <w:qFormat/>
    <w:uiPriority w:val="0"/>
    <w:pPr>
      <w:keepNext/>
      <w:tabs>
        <w:tab w:val="left" w:pos="720"/>
        <w:tab w:val="left" w:pos="960"/>
        <w:tab w:val="left" w:pos="1134"/>
      </w:tabs>
      <w:adjustRightInd w:val="0"/>
      <w:snapToGrid w:val="0"/>
      <w:spacing w:before="120" w:after="120"/>
      <w:outlineLvl w:val="2"/>
    </w:pPr>
    <w:rPr>
      <w:rFonts w:ascii="黑体" w:hAnsi="黑体" w:eastAsia="黑体" w:cs="宋体"/>
      <w:b/>
      <w:bCs/>
      <w:snapToGrid w:val="0"/>
      <w:spacing w:val="-5"/>
      <w:kern w:val="0"/>
      <w:sz w:val="28"/>
      <w:szCs w:val="20"/>
    </w:rPr>
  </w:style>
  <w:style w:type="paragraph" w:customStyle="1" w:styleId="3215">
    <w:name w:val="正文文本 211"/>
    <w:basedOn w:val="1"/>
    <w:semiHidden/>
    <w:qFormat/>
    <w:uiPriority w:val="0"/>
    <w:pPr>
      <w:tabs>
        <w:tab w:val="clear" w:pos="480"/>
      </w:tabs>
      <w:adjustRightInd w:val="0"/>
      <w:snapToGrid w:val="0"/>
      <w:spacing w:line="240" w:lineRule="auto"/>
      <w:ind w:firstLine="480"/>
      <w:textAlignment w:val="baseline"/>
    </w:pPr>
    <w:rPr>
      <w:rFonts w:ascii="楷体_GB2312" w:eastAsia="楷体_GB2312"/>
      <w:kern w:val="0"/>
      <w:szCs w:val="20"/>
    </w:rPr>
  </w:style>
  <w:style w:type="paragraph" w:customStyle="1" w:styleId="3216">
    <w:name w:val="日期11"/>
    <w:basedOn w:val="1"/>
    <w:next w:val="1"/>
    <w:semiHidden/>
    <w:qFormat/>
    <w:uiPriority w:val="0"/>
    <w:pPr>
      <w:tabs>
        <w:tab w:val="clear" w:pos="480"/>
      </w:tabs>
      <w:adjustRightInd w:val="0"/>
      <w:snapToGrid w:val="0"/>
      <w:spacing w:line="300" w:lineRule="auto"/>
      <w:jc w:val="right"/>
      <w:textAlignment w:val="baseline"/>
    </w:pPr>
    <w:rPr>
      <w:rFonts w:ascii="楷体_GB2312" w:eastAsia="楷体_GB2312"/>
      <w:kern w:val="0"/>
      <w:szCs w:val="20"/>
    </w:rPr>
  </w:style>
  <w:style w:type="paragraph" w:customStyle="1" w:styleId="3217">
    <w:name w:val="Char Char Char Char Char Char Char Char Char Char Char Char Char Char Char Char Char Char Char Char Char Char Char Char Char Char Char Char Char Char Char Char Char Char Char Char Char Char Char Char Char Char Char1"/>
    <w:basedOn w:val="1"/>
    <w:next w:val="1"/>
    <w:semiHidden/>
    <w:qFormat/>
    <w:uiPriority w:val="0"/>
    <w:pPr>
      <w:tabs>
        <w:tab w:val="clear" w:pos="480"/>
      </w:tabs>
    </w:pPr>
    <w:rPr>
      <w:rFonts w:ascii="宋体" w:hAnsi="宋体" w:cs="宋体"/>
    </w:rPr>
  </w:style>
  <w:style w:type="paragraph" w:customStyle="1" w:styleId="3218">
    <w:name w:val="Char Char Char Char Char Char1 Char Char Char1 Char Char Char1 Char Char Char Char Char Char Char Char Char Char Char Char1"/>
    <w:basedOn w:val="1"/>
    <w:next w:val="1"/>
    <w:semiHidden/>
    <w:qFormat/>
    <w:uiPriority w:val="0"/>
    <w:pPr>
      <w:tabs>
        <w:tab w:val="clear" w:pos="480"/>
      </w:tabs>
    </w:pPr>
    <w:rPr>
      <w:rFonts w:ascii="宋体" w:hAnsi="宋体" w:cs="宋体"/>
    </w:rPr>
  </w:style>
  <w:style w:type="paragraph" w:customStyle="1" w:styleId="3219">
    <w:name w:val="Char Char Char Char Char Char Char Char Char Char Char Char Char Char Char Char Char Char Char Char Char Char Char Char Char Char Char Char Char Char Char Char Char Char Char Char1"/>
    <w:basedOn w:val="1"/>
    <w:next w:val="1"/>
    <w:semiHidden/>
    <w:qFormat/>
    <w:uiPriority w:val="0"/>
    <w:pPr>
      <w:tabs>
        <w:tab w:val="clear" w:pos="480"/>
      </w:tabs>
    </w:pPr>
    <w:rPr>
      <w:rFonts w:ascii="宋体" w:hAnsi="宋体" w:cs="宋体"/>
    </w:rPr>
  </w:style>
  <w:style w:type="paragraph" w:customStyle="1" w:styleId="3220">
    <w:name w:val="Char Char Char Char Char Char Char Char Char Char Char Char Char Char Char Char Char Char Char Char Char Char Char Char Char Char Char Char Char Char Char Char Char Char Char Char Char1"/>
    <w:basedOn w:val="1"/>
    <w:next w:val="1"/>
    <w:semiHidden/>
    <w:qFormat/>
    <w:uiPriority w:val="0"/>
    <w:pPr>
      <w:tabs>
        <w:tab w:val="clear" w:pos="480"/>
      </w:tabs>
    </w:pPr>
    <w:rPr>
      <w:rFonts w:ascii="宋体" w:hAnsi="宋体" w:cs="宋体"/>
    </w:rPr>
  </w:style>
  <w:style w:type="paragraph" w:customStyle="1" w:styleId="3221">
    <w:name w:val="Char Char Char Char Char Char Char Char Char Char1 Char Char Char Char Char Char Char Char Char Char Char Char Char Char Char Char Char Char1"/>
    <w:basedOn w:val="1"/>
    <w:semiHidden/>
    <w:qFormat/>
    <w:uiPriority w:val="0"/>
    <w:pPr>
      <w:tabs>
        <w:tab w:val="clear" w:pos="480"/>
      </w:tabs>
      <w:spacing w:line="240" w:lineRule="auto"/>
    </w:pPr>
    <w:rPr>
      <w:sz w:val="21"/>
    </w:rPr>
  </w:style>
  <w:style w:type="paragraph" w:customStyle="1" w:styleId="3222">
    <w:name w:val="字元 字元 Char Char 字元 字元11"/>
    <w:basedOn w:val="1"/>
    <w:semiHidden/>
    <w:qFormat/>
    <w:uiPriority w:val="0"/>
    <w:pPr>
      <w:tabs>
        <w:tab w:val="clear" w:pos="480"/>
      </w:tabs>
      <w:spacing w:line="240" w:lineRule="auto"/>
    </w:pPr>
  </w:style>
  <w:style w:type="paragraph" w:customStyle="1" w:styleId="3223">
    <w:name w:val="Char Char2 Char Char Char Char1"/>
    <w:basedOn w:val="1"/>
    <w:semiHidden/>
    <w:qFormat/>
    <w:uiPriority w:val="0"/>
    <w:pPr>
      <w:widowControl/>
      <w:tabs>
        <w:tab w:val="clear" w:pos="480"/>
      </w:tabs>
      <w:spacing w:line="240" w:lineRule="auto"/>
      <w:jc w:val="left"/>
    </w:pPr>
    <w:rPr>
      <w:kern w:val="0"/>
      <w:lang w:val="pl-PL" w:eastAsia="pl-PL"/>
    </w:rPr>
  </w:style>
  <w:style w:type="paragraph" w:customStyle="1" w:styleId="3224">
    <w:name w:val="Char Char Char Char Char Char Char Char Char Char Char Char1"/>
    <w:basedOn w:val="1"/>
    <w:semiHidden/>
    <w:qFormat/>
    <w:uiPriority w:val="0"/>
    <w:pPr>
      <w:tabs>
        <w:tab w:val="clear" w:pos="480"/>
      </w:tabs>
      <w:spacing w:line="240" w:lineRule="auto"/>
    </w:pPr>
    <w:rPr>
      <w:sz w:val="21"/>
    </w:rPr>
  </w:style>
  <w:style w:type="paragraph" w:customStyle="1" w:styleId="3225">
    <w:name w:val="表内五中"/>
    <w:basedOn w:val="1"/>
    <w:semiHidden/>
    <w:qFormat/>
    <w:uiPriority w:val="0"/>
    <w:pPr>
      <w:tabs>
        <w:tab w:val="left" w:pos="-120"/>
        <w:tab w:val="clear" w:pos="480"/>
      </w:tabs>
      <w:spacing w:before="60" w:line="310" w:lineRule="atLeast"/>
      <w:jc w:val="center"/>
    </w:pPr>
    <w:rPr>
      <w:sz w:val="21"/>
      <w:szCs w:val="20"/>
    </w:rPr>
  </w:style>
  <w:style w:type="paragraph" w:customStyle="1" w:styleId="3226">
    <w:name w:val="Display Equation (Aurora)"/>
    <w:basedOn w:val="1"/>
    <w:link w:val="3227"/>
    <w:semiHidden/>
    <w:qFormat/>
    <w:uiPriority w:val="0"/>
    <w:pPr>
      <w:tabs>
        <w:tab w:val="center" w:pos="4153"/>
        <w:tab w:val="right" w:pos="8306"/>
        <w:tab w:val="clear" w:pos="480"/>
      </w:tabs>
      <w:ind w:firstLine="480"/>
      <w:contextualSpacing/>
    </w:pPr>
    <w:rPr>
      <w:color w:val="000000"/>
      <w:kern w:val="0"/>
      <w:szCs w:val="20"/>
      <w:lang w:val="zh-CN"/>
    </w:rPr>
  </w:style>
  <w:style w:type="character" w:customStyle="1" w:styleId="3227">
    <w:name w:val="Display Equation (Aurora) Char"/>
    <w:link w:val="3226"/>
    <w:qFormat/>
    <w:uiPriority w:val="0"/>
    <w:rPr>
      <w:rFonts w:eastAsia="宋体"/>
      <w:color w:val="000000"/>
      <w:sz w:val="24"/>
      <w:lang w:bidi="ar-SA"/>
    </w:rPr>
  </w:style>
  <w:style w:type="character" w:customStyle="1" w:styleId="3228">
    <w:name w:val="Section Break (Aurora)"/>
    <w:semiHidden/>
    <w:qFormat/>
    <w:uiPriority w:val="0"/>
    <w:rPr>
      <w:color w:val="800080"/>
      <w:sz w:val="24"/>
    </w:rPr>
  </w:style>
  <w:style w:type="paragraph" w:customStyle="1" w:styleId="3229">
    <w:name w:val="标题3样式"/>
    <w:basedOn w:val="1"/>
    <w:link w:val="3230"/>
    <w:semiHidden/>
    <w:qFormat/>
    <w:uiPriority w:val="0"/>
    <w:pPr>
      <w:tabs>
        <w:tab w:val="left" w:pos="1076"/>
        <w:tab w:val="left" w:pos="1255"/>
        <w:tab w:val="left" w:pos="1418"/>
        <w:tab w:val="clear" w:pos="480"/>
      </w:tabs>
      <w:adjustRightInd w:val="0"/>
      <w:snapToGrid w:val="0"/>
      <w:spacing w:line="288" w:lineRule="auto"/>
      <w:ind w:firstLine="480"/>
      <w:outlineLvl w:val="2"/>
    </w:pPr>
    <w:rPr>
      <w:rFonts w:ascii="Arial" w:hAnsi="Arial"/>
      <w:b/>
      <w:bCs/>
      <w:color w:val="000000"/>
      <w:szCs w:val="20"/>
      <w:lang w:val="zh-CN"/>
    </w:rPr>
  </w:style>
  <w:style w:type="character" w:customStyle="1" w:styleId="3230">
    <w:name w:val="标题3样式 Char"/>
    <w:link w:val="3229"/>
    <w:qFormat/>
    <w:uiPriority w:val="0"/>
    <w:rPr>
      <w:rFonts w:ascii="Arial" w:hAnsi="Arial" w:eastAsia="宋体"/>
      <w:b/>
      <w:bCs/>
      <w:color w:val="000000"/>
      <w:kern w:val="2"/>
      <w:sz w:val="24"/>
      <w:lang w:bidi="ar-SA"/>
    </w:rPr>
  </w:style>
  <w:style w:type="paragraph" w:customStyle="1" w:styleId="3231">
    <w:name w:val="reader-word-layer reader-word-s3-1"/>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3232">
    <w:name w:val="TT表格标题"/>
    <w:basedOn w:val="1"/>
    <w:link w:val="3234"/>
    <w:qFormat/>
    <w:uiPriority w:val="0"/>
    <w:pPr>
      <w:spacing w:line="240" w:lineRule="auto"/>
      <w:jc w:val="center"/>
    </w:pPr>
    <w:rPr>
      <w:rFonts w:cs="宋体"/>
      <w:b/>
      <w:bCs/>
      <w:szCs w:val="20"/>
    </w:rPr>
  </w:style>
  <w:style w:type="paragraph" w:customStyle="1" w:styleId="3233">
    <w:name w:val="Char Char Char Char Char Char Char Char Char1 Char Char Char Char"/>
    <w:basedOn w:val="1"/>
    <w:semiHidden/>
    <w:qFormat/>
    <w:uiPriority w:val="0"/>
    <w:pPr>
      <w:tabs>
        <w:tab w:val="clear" w:pos="480"/>
      </w:tabs>
    </w:pPr>
    <w:rPr>
      <w:rFonts w:ascii="宋体" w:hAnsi="宋体" w:cs="宋体"/>
    </w:rPr>
  </w:style>
  <w:style w:type="character" w:customStyle="1" w:styleId="3234">
    <w:name w:val="TT表格标题 Char"/>
    <w:link w:val="3232"/>
    <w:qFormat/>
    <w:uiPriority w:val="0"/>
    <w:rPr>
      <w:rFonts w:eastAsia="宋体" w:cs="宋体"/>
      <w:b/>
      <w:bCs/>
      <w:kern w:val="2"/>
      <w:sz w:val="24"/>
      <w:lang w:val="en-US" w:eastAsia="zh-CN" w:bidi="ar-SA"/>
    </w:rPr>
  </w:style>
  <w:style w:type="paragraph" w:customStyle="1" w:styleId="3235">
    <w:name w:val="T3"/>
    <w:basedOn w:val="1"/>
    <w:link w:val="3236"/>
    <w:qFormat/>
    <w:uiPriority w:val="0"/>
    <w:pPr>
      <w:tabs>
        <w:tab w:val="clear" w:pos="480"/>
      </w:tabs>
      <w:outlineLvl w:val="2"/>
    </w:pPr>
    <w:rPr>
      <w:rFonts w:cs="宋体"/>
      <w:szCs w:val="20"/>
    </w:rPr>
  </w:style>
  <w:style w:type="character" w:customStyle="1" w:styleId="3236">
    <w:name w:val="T3 Char"/>
    <w:link w:val="3235"/>
    <w:qFormat/>
    <w:uiPriority w:val="0"/>
    <w:rPr>
      <w:rFonts w:eastAsia="宋体" w:cs="宋体"/>
      <w:kern w:val="2"/>
      <w:sz w:val="24"/>
      <w:lang w:val="en-US" w:eastAsia="zh-CN" w:bidi="ar-SA"/>
    </w:rPr>
  </w:style>
  <w:style w:type="character" w:customStyle="1" w:styleId="3237">
    <w:name w:val="样式 仿宋1"/>
    <w:qFormat/>
    <w:uiPriority w:val="0"/>
    <w:rPr>
      <w:rFonts w:ascii="Times New Roman" w:hAnsi="Times New Roman" w:eastAsia="仿宋_GB2312" w:cs="Times New Roman"/>
    </w:rPr>
  </w:style>
  <w:style w:type="character" w:customStyle="1" w:styleId="3238">
    <w:name w:val="样式 样式 仿宋1 + 仿宋_GB2312 (符号) 仿宋 黑色"/>
    <w:qFormat/>
    <w:uiPriority w:val="0"/>
    <w:rPr>
      <w:rFonts w:ascii="Times New Roman" w:hAnsi="Times New Roman" w:eastAsia="仿宋_GB2312" w:cs="Times New Roman"/>
      <w:color w:val="000000"/>
    </w:rPr>
  </w:style>
  <w:style w:type="paragraph" w:customStyle="1" w:styleId="3239">
    <w:name w:val="样式 仿宋_GB2312 三号 首行缩进:  1.14 厘米 行距: 固定值 30 磅"/>
    <w:basedOn w:val="1"/>
    <w:qFormat/>
    <w:uiPriority w:val="0"/>
    <w:pPr>
      <w:tabs>
        <w:tab w:val="clear" w:pos="480"/>
      </w:tabs>
      <w:spacing w:line="600" w:lineRule="exact"/>
      <w:ind w:firstLine="645"/>
    </w:pPr>
    <w:rPr>
      <w:rFonts w:eastAsia="仿宋_GB2312" w:cs="宋体"/>
      <w:kern w:val="0"/>
      <w:sz w:val="32"/>
      <w:szCs w:val="20"/>
    </w:rPr>
  </w:style>
  <w:style w:type="paragraph" w:customStyle="1" w:styleId="3240">
    <w:name w:val="reader-word-layer reader-word-s3-5"/>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3241">
    <w:name w:val="reader-word-layer reader-word-s3-8"/>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table" w:customStyle="1" w:styleId="3242">
    <w:name w:val="TT设计院"/>
    <w:basedOn w:val="88"/>
    <w:qFormat/>
    <w:uiPriority w:val="0"/>
    <w:pPr>
      <w:spacing w:line="360" w:lineRule="auto"/>
    </w:pPr>
    <w:rPr>
      <w:sz w:val="21"/>
    </w:rPr>
    <w:tblPr>
      <w:jc w:val="center"/>
      <w:tblBorders>
        <w:top w:val="single" w:color="auto" w:sz="18" w:space="0"/>
        <w:bottom w:val="single" w:color="auto" w:sz="18" w:space="0"/>
        <w:insideH w:val="single" w:color="auto" w:sz="4" w:space="0"/>
        <w:insideV w:val="single" w:color="auto" w:sz="4" w:space="0"/>
      </w:tblBorders>
    </w:tblPr>
    <w:trPr>
      <w:jc w:val="center"/>
    </w:trPr>
    <w:tcPr>
      <w:vAlign w:val="center"/>
    </w:tcPr>
  </w:style>
  <w:style w:type="character" w:customStyle="1" w:styleId="3243">
    <w:name w:val="LS T3标题 Char Char"/>
    <w:link w:val="3244"/>
    <w:qFormat/>
    <w:uiPriority w:val="0"/>
    <w:rPr>
      <w:rFonts w:ascii="楷体_GB2312" w:hAnsi="宋体" w:eastAsia="楷体_GB2312"/>
      <w:b/>
      <w:bCs/>
      <w:kern w:val="18"/>
      <w:sz w:val="28"/>
      <w:szCs w:val="28"/>
      <w:lang w:val="zh-CN"/>
    </w:rPr>
  </w:style>
  <w:style w:type="paragraph" w:customStyle="1" w:styleId="3244">
    <w:name w:val="LS T3标题"/>
    <w:basedOn w:val="4"/>
    <w:link w:val="3243"/>
    <w:qFormat/>
    <w:uiPriority w:val="0"/>
    <w:pPr>
      <w:widowControl/>
      <w:numPr>
        <w:numId w:val="36"/>
      </w:numPr>
      <w:tabs>
        <w:tab w:val="left" w:pos="720"/>
        <w:tab w:val="left" w:pos="1560"/>
        <w:tab w:val="clear" w:pos="480"/>
      </w:tabs>
      <w:spacing w:beforeLines="50" w:afterLines="50" w:line="360" w:lineRule="auto"/>
      <w:ind w:left="0" w:firstLine="0"/>
      <w:jc w:val="left"/>
    </w:pPr>
    <w:rPr>
      <w:rFonts w:ascii="楷体_GB2312" w:hAnsi="宋体" w:eastAsia="楷体_GB2312"/>
      <w:kern w:val="18"/>
      <w:sz w:val="28"/>
      <w:szCs w:val="28"/>
    </w:rPr>
  </w:style>
  <w:style w:type="character" w:customStyle="1" w:styleId="3245">
    <w:name w:val="LS正文 Char Char"/>
    <w:link w:val="3246"/>
    <w:qFormat/>
    <w:uiPriority w:val="0"/>
    <w:rPr>
      <w:rFonts w:eastAsia="宋体" w:cs="宋体"/>
      <w:color w:val="000000"/>
      <w:kern w:val="2"/>
      <w:sz w:val="24"/>
      <w:szCs w:val="24"/>
      <w:lang w:val="en-US" w:eastAsia="zh-CN" w:bidi="ar-SA"/>
    </w:rPr>
  </w:style>
  <w:style w:type="paragraph" w:customStyle="1" w:styleId="3246">
    <w:name w:val="LS正文"/>
    <w:basedOn w:val="1"/>
    <w:link w:val="3245"/>
    <w:qFormat/>
    <w:uiPriority w:val="0"/>
    <w:pPr>
      <w:widowControl/>
      <w:tabs>
        <w:tab w:val="clear" w:pos="480"/>
      </w:tabs>
      <w:spacing w:line="520" w:lineRule="exact"/>
      <w:jc w:val="left"/>
    </w:pPr>
    <w:rPr>
      <w:rFonts w:cs="宋体"/>
      <w:color w:val="000000"/>
    </w:rPr>
  </w:style>
  <w:style w:type="paragraph" w:customStyle="1" w:styleId="3247">
    <w:name w:val="LS T4标题"/>
    <w:basedOn w:val="5"/>
    <w:qFormat/>
    <w:uiPriority w:val="0"/>
    <w:pPr>
      <w:widowControl/>
      <w:numPr>
        <w:numId w:val="36"/>
      </w:numPr>
      <w:tabs>
        <w:tab w:val="left" w:pos="720"/>
        <w:tab w:val="left" w:pos="1680"/>
      </w:tabs>
      <w:spacing w:before="0" w:after="0" w:line="240" w:lineRule="auto"/>
      <w:ind w:left="0"/>
      <w:jc w:val="left"/>
    </w:pPr>
    <w:rPr>
      <w:rFonts w:ascii="Times New Roman" w:hAnsi="Times New Roman" w:eastAsia="宋体" w:cs="宋体"/>
      <w:snapToGrid w:val="0"/>
      <w:sz w:val="24"/>
      <w:szCs w:val="24"/>
    </w:rPr>
  </w:style>
  <w:style w:type="paragraph" w:customStyle="1" w:styleId="3248">
    <w:name w:val="封面标准号2"/>
    <w:qFormat/>
    <w:uiPriority w:val="0"/>
    <w:pPr>
      <w:framePr w:w="9140" w:h="1242" w:hRule="exact" w:hSpace="284" w:wrap="around" w:vAnchor="page" w:hAnchor="page" w:x="1645" w:y="2910" w:anchorLock="1"/>
      <w:spacing w:before="357" w:line="280" w:lineRule="exact"/>
      <w:jc w:val="right"/>
    </w:pPr>
    <w:rPr>
      <w:rFonts w:ascii="黑体" w:hAnsi="Times New Roman" w:eastAsia="黑体" w:cs="Times New Roman"/>
      <w:kern w:val="2"/>
      <w:sz w:val="28"/>
      <w:szCs w:val="28"/>
      <w:lang w:val="en-US" w:eastAsia="zh-CN" w:bidi="ar-SA"/>
    </w:rPr>
  </w:style>
  <w:style w:type="character" w:customStyle="1" w:styleId="3249">
    <w:name w:val="collect_txt"/>
    <w:qFormat/>
    <w:uiPriority w:val="0"/>
  </w:style>
  <w:style w:type="character" w:customStyle="1" w:styleId="3250">
    <w:name w:val="vote_num"/>
    <w:qFormat/>
    <w:uiPriority w:val="0"/>
  </w:style>
  <w:style w:type="character" w:customStyle="1" w:styleId="3251">
    <w:name w:val="bds_more"/>
    <w:qFormat/>
    <w:uiPriority w:val="0"/>
  </w:style>
  <w:style w:type="character" w:customStyle="1" w:styleId="3252">
    <w:name w:val="lemmatitleh1"/>
    <w:qFormat/>
    <w:uiPriority w:val="0"/>
  </w:style>
  <w:style w:type="paragraph" w:customStyle="1" w:styleId="3253">
    <w:name w:val="reader-word-layer"/>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3254">
    <w:name w:val="表样式（天安）"/>
    <w:basedOn w:val="1"/>
    <w:qFormat/>
    <w:uiPriority w:val="0"/>
    <w:pPr>
      <w:tabs>
        <w:tab w:val="clear" w:pos="480"/>
      </w:tabs>
      <w:adjustRightInd w:val="0"/>
      <w:spacing w:before="93" w:after="93"/>
      <w:jc w:val="center"/>
    </w:pPr>
    <w:rPr>
      <w:rFonts w:eastAsia="黑体"/>
      <w:kern w:val="10"/>
      <w:sz w:val="28"/>
      <w:szCs w:val="20"/>
    </w:rPr>
  </w:style>
  <w:style w:type="paragraph" w:customStyle="1" w:styleId="3255">
    <w:name w:val="正文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3256">
    <w:name w:val="表格标题博泵 Char Char"/>
    <w:link w:val="3257"/>
    <w:qFormat/>
    <w:uiPriority w:val="0"/>
    <w:rPr>
      <w:rFonts w:cs="宋体"/>
      <w:b/>
      <w:color w:val="000000"/>
      <w:kern w:val="2"/>
      <w:sz w:val="21"/>
    </w:rPr>
  </w:style>
  <w:style w:type="paragraph" w:customStyle="1" w:styleId="3257">
    <w:name w:val="表格标题博泵"/>
    <w:basedOn w:val="1"/>
    <w:link w:val="3256"/>
    <w:qFormat/>
    <w:uiPriority w:val="0"/>
    <w:pPr>
      <w:tabs>
        <w:tab w:val="clear" w:pos="480"/>
      </w:tabs>
      <w:adjustRightInd w:val="0"/>
      <w:snapToGrid w:val="0"/>
      <w:spacing w:line="240" w:lineRule="auto"/>
      <w:jc w:val="center"/>
      <w:textAlignment w:val="baseline"/>
    </w:pPr>
    <w:rPr>
      <w:b/>
      <w:color w:val="000000"/>
      <w:sz w:val="21"/>
      <w:szCs w:val="20"/>
      <w:lang w:val="zh-CN"/>
    </w:rPr>
  </w:style>
  <w:style w:type="character" w:customStyle="1" w:styleId="3258">
    <w:name w:val="表格标题新 Char Char"/>
    <w:qFormat/>
    <w:uiPriority w:val="0"/>
    <w:rPr>
      <w:rFonts w:ascii="宋体" w:hAnsi="宋体" w:eastAsia="宋体" w:cs="Arial"/>
      <w:b/>
      <w:snapToGrid w:val="0"/>
      <w:spacing w:val="10"/>
      <w:kern w:val="2"/>
      <w:sz w:val="24"/>
      <w:szCs w:val="24"/>
      <w:lang w:val="en-US" w:eastAsia="zh-CN" w:bidi="ar-SA"/>
    </w:rPr>
  </w:style>
  <w:style w:type="character" w:customStyle="1" w:styleId="3259">
    <w:name w:val="word_break"/>
    <w:qFormat/>
    <w:uiPriority w:val="0"/>
  </w:style>
  <w:style w:type="character" w:customStyle="1" w:styleId="3260">
    <w:name w:val="兴武正文 Char Char"/>
    <w:link w:val="3261"/>
    <w:qFormat/>
    <w:uiPriority w:val="0"/>
    <w:rPr>
      <w:rFonts w:cs="宋体"/>
      <w:kern w:val="2"/>
      <w:sz w:val="24"/>
    </w:rPr>
  </w:style>
  <w:style w:type="paragraph" w:customStyle="1" w:styleId="3261">
    <w:name w:val="兴武正文"/>
    <w:basedOn w:val="1"/>
    <w:link w:val="3260"/>
    <w:qFormat/>
    <w:uiPriority w:val="0"/>
    <w:pPr>
      <w:tabs>
        <w:tab w:val="clear" w:pos="480"/>
      </w:tabs>
      <w:spacing w:line="480" w:lineRule="exact"/>
    </w:pPr>
    <w:rPr>
      <w:szCs w:val="20"/>
      <w:lang w:val="zh-CN"/>
    </w:rPr>
  </w:style>
  <w:style w:type="character" w:customStyle="1" w:styleId="3262">
    <w:name w:val="样式 正文文本 2lifr 正文 + 宋体 Char"/>
    <w:link w:val="3263"/>
    <w:qFormat/>
    <w:uiPriority w:val="0"/>
    <w:rPr>
      <w:rFonts w:ascii="仿宋_GB2312" w:hAnsi="宋体" w:eastAsia="仿宋_GB2312"/>
      <w:spacing w:val="-20"/>
      <w:kern w:val="2"/>
      <w:sz w:val="22"/>
    </w:rPr>
  </w:style>
  <w:style w:type="paragraph" w:customStyle="1" w:styleId="3263">
    <w:name w:val="样式 正文文本 2lifr 正文 + 宋体"/>
    <w:basedOn w:val="76"/>
    <w:link w:val="3262"/>
    <w:qFormat/>
    <w:uiPriority w:val="0"/>
    <w:pPr>
      <w:adjustRightInd w:val="0"/>
      <w:snapToGrid w:val="0"/>
      <w:spacing w:line="300" w:lineRule="auto"/>
      <w:jc w:val="right"/>
    </w:pPr>
    <w:rPr>
      <w:rFonts w:ascii="仿宋_GB2312" w:hAnsi="宋体" w:eastAsia="仿宋_GB2312"/>
      <w:color w:val="auto"/>
      <w:spacing w:val="-20"/>
      <w:sz w:val="22"/>
      <w:lang w:val="zh-CN"/>
    </w:rPr>
  </w:style>
  <w:style w:type="character" w:customStyle="1" w:styleId="3264">
    <w:name w:val="正文1-1 Char Char"/>
    <w:link w:val="3109"/>
    <w:qFormat/>
    <w:uiPriority w:val="0"/>
    <w:rPr>
      <w:rFonts w:cs="宋体"/>
      <w:sz w:val="24"/>
      <w:szCs w:val="24"/>
    </w:rPr>
  </w:style>
  <w:style w:type="character" w:customStyle="1" w:styleId="3265">
    <w:name w:val="正文（天安） Char Char"/>
    <w:link w:val="3266"/>
    <w:qFormat/>
    <w:uiPriority w:val="0"/>
    <w:rPr>
      <w:kern w:val="2"/>
      <w:sz w:val="24"/>
      <w:szCs w:val="24"/>
    </w:rPr>
  </w:style>
  <w:style w:type="paragraph" w:customStyle="1" w:styleId="3266">
    <w:name w:val="正文（天安）"/>
    <w:basedOn w:val="2933"/>
    <w:link w:val="3265"/>
    <w:qFormat/>
    <w:uiPriority w:val="0"/>
    <w:pPr>
      <w:spacing w:before="93" w:after="93" w:line="400" w:lineRule="atLeast"/>
      <w:ind w:left="840" w:leftChars="400" w:firstLine="200"/>
      <w:textAlignment w:val="baseline"/>
    </w:pPr>
    <w:rPr>
      <w:szCs w:val="24"/>
      <w:lang w:val="zh-CN"/>
    </w:rPr>
  </w:style>
  <w:style w:type="character" w:customStyle="1" w:styleId="3267">
    <w:name w:val="样式 目录 1 + 首行缩进:  0.85 厘米1 Char Char"/>
    <w:link w:val="3268"/>
    <w:qFormat/>
    <w:uiPriority w:val="0"/>
    <w:rPr>
      <w:rFonts w:ascii="Calibri" w:hAnsi="Calibri" w:cs="宋体"/>
      <w:b/>
      <w:bCs/>
      <w:caps/>
      <w:kern w:val="2"/>
    </w:rPr>
  </w:style>
  <w:style w:type="paragraph" w:customStyle="1" w:styleId="3268">
    <w:name w:val="样式 目录 1 + 首行缩进:  0.85 厘米1"/>
    <w:basedOn w:val="59"/>
    <w:link w:val="3267"/>
    <w:qFormat/>
    <w:uiPriority w:val="0"/>
    <w:pPr>
      <w:spacing w:line="240" w:lineRule="auto"/>
      <w:ind w:firstLine="482"/>
      <w:jc w:val="both"/>
    </w:pPr>
    <w:rPr>
      <w:rFonts w:ascii="Calibri" w:hAnsi="Calibri"/>
      <w:lang w:val="zh-CN"/>
    </w:rPr>
  </w:style>
  <w:style w:type="character" w:customStyle="1" w:styleId="3269">
    <w:name w:val="君邦正文 Char2"/>
    <w:qFormat/>
    <w:uiPriority w:val="0"/>
    <w:rPr>
      <w:bCs/>
      <w:snapToGrid w:val="0"/>
      <w:sz w:val="24"/>
      <w:lang w:val="en-US" w:eastAsia="zh-CN" w:bidi="ar-SA"/>
    </w:rPr>
  </w:style>
  <w:style w:type="character" w:customStyle="1" w:styleId="3270">
    <w:name w:val="样式 宋体 三号 红色"/>
    <w:qFormat/>
    <w:uiPriority w:val="0"/>
    <w:rPr>
      <w:rFonts w:ascii="宋体" w:hAnsi="宋体" w:eastAsia="宋体"/>
      <w:color w:val="FF0000"/>
      <w:kern w:val="2"/>
      <w:sz w:val="24"/>
      <w:szCs w:val="21"/>
      <w:lang w:val="en-US" w:eastAsia="zh-CN" w:bidi="ar-SA"/>
    </w:rPr>
  </w:style>
  <w:style w:type="character" w:customStyle="1" w:styleId="3271">
    <w:name w:val="博泵1 Char Char"/>
    <w:link w:val="3272"/>
    <w:qFormat/>
    <w:uiPriority w:val="0"/>
    <w:rPr>
      <w:rFonts w:hAnsi="宋体" w:cs="宋体"/>
      <w:color w:val="000000"/>
      <w:sz w:val="24"/>
    </w:rPr>
  </w:style>
  <w:style w:type="paragraph" w:customStyle="1" w:styleId="3272">
    <w:name w:val="博泵1"/>
    <w:basedOn w:val="1"/>
    <w:link w:val="3271"/>
    <w:qFormat/>
    <w:uiPriority w:val="0"/>
    <w:pPr>
      <w:tabs>
        <w:tab w:val="clear" w:pos="480"/>
      </w:tabs>
      <w:adjustRightInd w:val="0"/>
      <w:spacing w:line="480" w:lineRule="exact"/>
      <w:jc w:val="left"/>
      <w:textAlignment w:val="baseline"/>
    </w:pPr>
    <w:rPr>
      <w:rFonts w:hAnsi="宋体"/>
      <w:color w:val="000000"/>
      <w:kern w:val="0"/>
      <w:szCs w:val="20"/>
      <w:lang w:val="zh-CN"/>
    </w:rPr>
  </w:style>
  <w:style w:type="character" w:customStyle="1" w:styleId="3273">
    <w:name w:val="even Char Char"/>
    <w:qFormat/>
    <w:uiPriority w:val="0"/>
    <w:rPr>
      <w:rFonts w:eastAsia="宋体"/>
      <w:kern w:val="2"/>
      <w:sz w:val="18"/>
      <w:szCs w:val="18"/>
      <w:lang w:val="en-US" w:eastAsia="zh-CN" w:bidi="ar-SA"/>
    </w:rPr>
  </w:style>
  <w:style w:type="character" w:customStyle="1" w:styleId="3274">
    <w:name w:val="表格标题＋单位 Char Char"/>
    <w:link w:val="3275"/>
    <w:qFormat/>
    <w:uiPriority w:val="0"/>
    <w:rPr>
      <w:b/>
      <w:kern w:val="2"/>
      <w:sz w:val="24"/>
      <w:szCs w:val="24"/>
    </w:rPr>
  </w:style>
  <w:style w:type="paragraph" w:customStyle="1" w:styleId="3275">
    <w:name w:val="表格标题＋单位"/>
    <w:basedOn w:val="1"/>
    <w:link w:val="3274"/>
    <w:qFormat/>
    <w:uiPriority w:val="0"/>
    <w:pPr>
      <w:tabs>
        <w:tab w:val="clear" w:pos="480"/>
      </w:tabs>
      <w:wordWrap w:val="0"/>
      <w:spacing w:line="500" w:lineRule="exact"/>
      <w:jc w:val="right"/>
    </w:pPr>
    <w:rPr>
      <w:b/>
      <w:lang w:val="zh-CN"/>
    </w:rPr>
  </w:style>
  <w:style w:type="character" w:customStyle="1" w:styleId="3276">
    <w:name w:val="wz-title11"/>
    <w:qFormat/>
    <w:uiPriority w:val="0"/>
    <w:rPr>
      <w:b/>
      <w:bCs/>
      <w:color w:val="2879B8"/>
      <w:sz w:val="20"/>
      <w:szCs w:val="20"/>
    </w:rPr>
  </w:style>
  <w:style w:type="character" w:customStyle="1" w:styleId="3277">
    <w:name w:val="标题 2 Char Char"/>
    <w:qFormat/>
    <w:uiPriority w:val="0"/>
    <w:rPr>
      <w:rFonts w:ascii="宋体" w:hAnsi="Arial" w:eastAsia="宋体"/>
      <w:b/>
      <w:bCs/>
      <w:kern w:val="2"/>
      <w:sz w:val="24"/>
      <w:szCs w:val="32"/>
      <w:lang w:val="en-US" w:eastAsia="zh-CN" w:bidi="ar-SA"/>
    </w:rPr>
  </w:style>
  <w:style w:type="character" w:customStyle="1" w:styleId="3278">
    <w:name w:val="样式 小四 行距: 固定值 23 磅 Char Char"/>
    <w:link w:val="2902"/>
    <w:qFormat/>
    <w:uiPriority w:val="0"/>
    <w:rPr>
      <w:kern w:val="2"/>
      <w:sz w:val="28"/>
      <w:szCs w:val="24"/>
    </w:rPr>
  </w:style>
  <w:style w:type="paragraph" w:customStyle="1" w:styleId="3279">
    <w:name w:val="样式 标题 2节节标题 1.1H2（一）Underrubrik1prop2Heading 2 HiddenHea..."/>
    <w:basedOn w:val="3"/>
    <w:qFormat/>
    <w:uiPriority w:val="0"/>
    <w:pPr>
      <w:numPr>
        <w:numId w:val="36"/>
      </w:numPr>
      <w:tabs>
        <w:tab w:val="left" w:pos="576"/>
        <w:tab w:val="left" w:pos="720"/>
        <w:tab w:val="left" w:pos="1380"/>
        <w:tab w:val="clear" w:pos="480"/>
        <w:tab w:val="clear" w:pos="630"/>
      </w:tabs>
      <w:spacing w:beforeLines="50" w:after="0"/>
      <w:jc w:val="left"/>
    </w:pPr>
    <w:rPr>
      <w:rFonts w:cs="宋体"/>
      <w:color w:val="000000"/>
      <w:sz w:val="30"/>
      <w:szCs w:val="20"/>
    </w:rPr>
  </w:style>
  <w:style w:type="paragraph" w:customStyle="1" w:styleId="3280">
    <w:name w:val="BGBT"/>
    <w:basedOn w:val="21"/>
    <w:qFormat/>
    <w:uiPriority w:val="0"/>
    <w:pPr>
      <w:widowControl w:val="0"/>
      <w:adjustRightInd/>
      <w:snapToGrid/>
      <w:spacing w:before="0" w:after="0" w:line="240" w:lineRule="auto"/>
      <w:ind w:firstLine="0" w:firstLineChars="0"/>
    </w:pPr>
    <w:rPr>
      <w:rFonts w:ascii="Times New Roman" w:hAnsi="Times New Roman" w:cs="宋体"/>
      <w:b/>
      <w:bCs/>
      <w:color w:val="auto"/>
      <w:kern w:val="10"/>
      <w:szCs w:val="24"/>
    </w:rPr>
  </w:style>
  <w:style w:type="paragraph" w:customStyle="1" w:styleId="3281">
    <w:name w:val="正文（首行不缩进）"/>
    <w:qFormat/>
    <w:uiPriority w:val="0"/>
    <w:pPr>
      <w:adjustRightInd w:val="0"/>
      <w:spacing w:line="300" w:lineRule="auto"/>
      <w:ind w:firstLine="200" w:firstLineChars="200"/>
      <w:jc w:val="center"/>
      <w:textAlignment w:val="baseline"/>
    </w:pPr>
    <w:rPr>
      <w:rFonts w:ascii="Times New Roman" w:hAnsi="Times New Roman" w:eastAsia="宋体" w:cs="Times New Roman"/>
      <w:color w:val="000000"/>
      <w:kern w:val="2"/>
      <w:sz w:val="24"/>
      <w:szCs w:val="24"/>
      <w:lang w:val="en-US" w:eastAsia="zh-CN" w:bidi="ar-SA"/>
    </w:rPr>
  </w:style>
  <w:style w:type="paragraph" w:customStyle="1" w:styleId="3282">
    <w:name w:val="Char1 Char Char Char Char Char Char Char Char Char Char Char Char"/>
    <w:basedOn w:val="1"/>
    <w:next w:val="1"/>
    <w:qFormat/>
    <w:uiPriority w:val="0"/>
    <w:pPr>
      <w:keepNext/>
      <w:keepLines/>
      <w:widowControl/>
      <w:tabs>
        <w:tab w:val="clear" w:pos="480"/>
      </w:tabs>
      <w:adjustRightInd w:val="0"/>
      <w:spacing w:before="40" w:after="40"/>
      <w:textAlignment w:val="baseline"/>
    </w:pPr>
    <w:rPr>
      <w:rFonts w:cs="宋体"/>
      <w:kern w:val="0"/>
      <w:sz w:val="28"/>
      <w:szCs w:val="28"/>
    </w:rPr>
  </w:style>
  <w:style w:type="paragraph" w:customStyle="1" w:styleId="3283">
    <w:name w:val="样式 正文首行缩进正文首行缩进 Char + 首行缩进:  2 字符1"/>
    <w:basedOn w:val="86"/>
    <w:qFormat/>
    <w:uiPriority w:val="0"/>
    <w:pPr>
      <w:ind w:firstLine="200" w:firstLineChars="200"/>
    </w:pPr>
    <w:rPr>
      <w:rFonts w:ascii="宋体" w:hAnsi="宋体" w:eastAsia="Times New Roman" w:cs="宋体"/>
      <w:color w:val="000000"/>
      <w:sz w:val="24"/>
      <w:szCs w:val="20"/>
    </w:rPr>
  </w:style>
  <w:style w:type="paragraph" w:customStyle="1" w:styleId="3284">
    <w:name w:val="样式 标题 3 + (西文) Times New Roman (中文) 宋体 小四 加粗"/>
    <w:basedOn w:val="1"/>
    <w:qFormat/>
    <w:uiPriority w:val="0"/>
    <w:pPr>
      <w:tabs>
        <w:tab w:val="clear" w:pos="480"/>
      </w:tabs>
      <w:spacing w:line="240" w:lineRule="auto"/>
    </w:pPr>
    <w:rPr>
      <w:kern w:val="10"/>
      <w:sz w:val="21"/>
    </w:rPr>
  </w:style>
  <w:style w:type="paragraph" w:customStyle="1" w:styleId="3285">
    <w:name w:val="环科院页眉"/>
    <w:basedOn w:val="57"/>
    <w:qFormat/>
    <w:uiPriority w:val="0"/>
    <w:pPr>
      <w:pBdr>
        <w:bottom w:val="thickThinSmallGap" w:color="auto" w:sz="24" w:space="1"/>
      </w:pBdr>
      <w:tabs>
        <w:tab w:val="clear" w:pos="480"/>
      </w:tabs>
      <w:spacing w:line="240" w:lineRule="auto"/>
    </w:pPr>
    <w:rPr>
      <w:sz w:val="15"/>
      <w:szCs w:val="15"/>
    </w:rPr>
  </w:style>
  <w:style w:type="paragraph" w:customStyle="1" w:styleId="3286">
    <w:name w:val="小四表文居中"/>
    <w:qFormat/>
    <w:uiPriority w:val="0"/>
    <w:pPr>
      <w:widowControl w:val="0"/>
      <w:spacing w:line="400" w:lineRule="exact"/>
      <w:jc w:val="center"/>
    </w:pPr>
    <w:rPr>
      <w:rFonts w:ascii="仿宋_GB2312" w:hAnsi="Times New Roman" w:eastAsia="仿宋_GB2312" w:cs="Times New Roman"/>
      <w:kern w:val="2"/>
      <w:sz w:val="24"/>
      <w:szCs w:val="24"/>
      <w:lang w:val="en-US" w:eastAsia="zh-CN" w:bidi="ar-SA"/>
    </w:rPr>
  </w:style>
  <w:style w:type="paragraph" w:customStyle="1" w:styleId="3287">
    <w:name w:val="项目编号文字"/>
    <w:basedOn w:val="1"/>
    <w:next w:val="20"/>
    <w:qFormat/>
    <w:uiPriority w:val="0"/>
    <w:pPr>
      <w:tabs>
        <w:tab w:val="clear" w:pos="480"/>
      </w:tabs>
      <w:spacing w:before="120" w:after="120"/>
      <w:ind w:left="1077"/>
    </w:pPr>
    <w:rPr>
      <w:kern w:val="10"/>
      <w:sz w:val="28"/>
      <w:szCs w:val="20"/>
    </w:rPr>
  </w:style>
  <w:style w:type="paragraph" w:customStyle="1" w:styleId="3288">
    <w:name w:val="永环表内格式"/>
    <w:basedOn w:val="1"/>
    <w:qFormat/>
    <w:uiPriority w:val="0"/>
    <w:pPr>
      <w:tabs>
        <w:tab w:val="clear" w:pos="480"/>
      </w:tabs>
      <w:spacing w:line="260" w:lineRule="exact"/>
      <w:jc w:val="center"/>
    </w:pPr>
    <w:rPr>
      <w:rFonts w:ascii="宋体" w:hAnsi="宋体" w:cs="Arial"/>
      <w:color w:val="343434"/>
      <w:kern w:val="10"/>
      <w:sz w:val="21"/>
      <w:szCs w:val="21"/>
    </w:rPr>
  </w:style>
  <w:style w:type="paragraph" w:customStyle="1" w:styleId="3289">
    <w:name w:val="正文B"/>
    <w:basedOn w:val="1"/>
    <w:qFormat/>
    <w:uiPriority w:val="0"/>
    <w:pPr>
      <w:tabs>
        <w:tab w:val="clear" w:pos="480"/>
      </w:tabs>
      <w:adjustRightInd w:val="0"/>
      <w:spacing w:line="390" w:lineRule="exact"/>
      <w:ind w:firstLine="601"/>
      <w:textAlignment w:val="baseline"/>
    </w:pPr>
    <w:rPr>
      <w:rFonts w:eastAsia="楷体_GB2312"/>
      <w:spacing w:val="8"/>
      <w:kern w:val="0"/>
      <w:sz w:val="28"/>
      <w:szCs w:val="20"/>
    </w:rPr>
  </w:style>
  <w:style w:type="paragraph" w:customStyle="1" w:styleId="3290">
    <w:name w:val="样式 首行缩进:  0.99 厘米 行距: 1.5 倍行距2"/>
    <w:basedOn w:val="1"/>
    <w:qFormat/>
    <w:uiPriority w:val="0"/>
    <w:pPr>
      <w:tabs>
        <w:tab w:val="clear" w:pos="480"/>
      </w:tabs>
      <w:adjustRightInd w:val="0"/>
      <w:snapToGrid w:val="0"/>
      <w:spacing w:line="240" w:lineRule="auto"/>
      <w:jc w:val="center"/>
    </w:pPr>
    <w:rPr>
      <w:color w:val="FF0000"/>
      <w:kern w:val="10"/>
      <w:sz w:val="21"/>
      <w:szCs w:val="20"/>
    </w:rPr>
  </w:style>
  <w:style w:type="paragraph" w:customStyle="1" w:styleId="3291">
    <w:name w:val="表格中文字"/>
    <w:basedOn w:val="1"/>
    <w:qFormat/>
    <w:uiPriority w:val="0"/>
    <w:pPr>
      <w:tabs>
        <w:tab w:val="clear" w:pos="480"/>
      </w:tabs>
      <w:adjustRightInd w:val="0"/>
      <w:spacing w:line="240" w:lineRule="auto"/>
      <w:jc w:val="center"/>
      <w:textAlignment w:val="baseline"/>
    </w:pPr>
    <w:rPr>
      <w:snapToGrid w:val="0"/>
      <w:spacing w:val="4"/>
      <w:w w:val="90"/>
      <w:kern w:val="0"/>
      <w:sz w:val="21"/>
      <w:szCs w:val="20"/>
    </w:rPr>
  </w:style>
  <w:style w:type="paragraph" w:customStyle="1" w:styleId="3292">
    <w:name w:val="报告书表格文本"/>
    <w:basedOn w:val="33"/>
    <w:qFormat/>
    <w:uiPriority w:val="0"/>
    <w:pPr>
      <w:spacing w:line="320" w:lineRule="exact"/>
      <w:jc w:val="center"/>
      <w:textAlignment w:val="center"/>
    </w:pPr>
    <w:rPr>
      <w:rFonts w:ascii="Times New Roman" w:hAnsi="Times New Roman" w:cs="宋体"/>
      <w:szCs w:val="21"/>
    </w:rPr>
  </w:style>
  <w:style w:type="paragraph" w:customStyle="1" w:styleId="3293">
    <w:name w:val="正文02"/>
    <w:basedOn w:val="1"/>
    <w:qFormat/>
    <w:uiPriority w:val="0"/>
    <w:pPr>
      <w:tabs>
        <w:tab w:val="clear" w:pos="480"/>
      </w:tabs>
      <w:adjustRightInd w:val="0"/>
    </w:pPr>
    <w:rPr>
      <w:kern w:val="10"/>
      <w:sz w:val="28"/>
      <w:szCs w:val="20"/>
    </w:rPr>
  </w:style>
  <w:style w:type="paragraph" w:customStyle="1" w:styleId="3294">
    <w:name w:val="目录B"/>
    <w:basedOn w:val="1"/>
    <w:qFormat/>
    <w:uiPriority w:val="0"/>
    <w:pPr>
      <w:tabs>
        <w:tab w:val="clear" w:pos="480"/>
      </w:tabs>
      <w:spacing w:line="480" w:lineRule="exact"/>
      <w:outlineLvl w:val="1"/>
    </w:pPr>
    <w:rPr>
      <w:rFonts w:ascii="黑体" w:eastAsia="黑体"/>
      <w:kern w:val="10"/>
      <w:sz w:val="28"/>
      <w:szCs w:val="28"/>
    </w:rPr>
  </w:style>
  <w:style w:type="paragraph" w:customStyle="1" w:styleId="3295">
    <w:name w:val="正文用的"/>
    <w:basedOn w:val="1"/>
    <w:qFormat/>
    <w:uiPriority w:val="0"/>
    <w:pPr>
      <w:tabs>
        <w:tab w:val="clear" w:pos="480"/>
      </w:tabs>
      <w:ind w:firstLine="480"/>
    </w:pPr>
    <w:rPr>
      <w:kern w:val="10"/>
      <w:szCs w:val="20"/>
    </w:rPr>
  </w:style>
  <w:style w:type="paragraph" w:customStyle="1" w:styleId="3296">
    <w:name w:val="BGWZ2"/>
    <w:basedOn w:val="1"/>
    <w:qFormat/>
    <w:uiPriority w:val="0"/>
    <w:pPr>
      <w:tabs>
        <w:tab w:val="clear" w:pos="480"/>
      </w:tabs>
      <w:snapToGrid w:val="0"/>
      <w:spacing w:line="300" w:lineRule="exact"/>
      <w:jc w:val="center"/>
    </w:pPr>
    <w:rPr>
      <w:snapToGrid w:val="0"/>
      <w:kern w:val="0"/>
      <w:sz w:val="18"/>
      <w:szCs w:val="20"/>
      <w:lang w:eastAsia="zh-TW"/>
    </w:rPr>
  </w:style>
  <w:style w:type="paragraph" w:customStyle="1" w:styleId="3297">
    <w:name w:val="样式 楷体_GB2312 居中"/>
    <w:basedOn w:val="1"/>
    <w:qFormat/>
    <w:uiPriority w:val="0"/>
    <w:pPr>
      <w:tabs>
        <w:tab w:val="clear" w:pos="480"/>
      </w:tabs>
      <w:jc w:val="center"/>
    </w:pPr>
    <w:rPr>
      <w:rFonts w:ascii="楷体_GB2312" w:eastAsia="楷体_GB2312"/>
      <w:kern w:val="10"/>
      <w:sz w:val="21"/>
      <w:szCs w:val="20"/>
    </w:rPr>
  </w:style>
  <w:style w:type="paragraph" w:customStyle="1" w:styleId="3298">
    <w:name w:val="样式 标题 1 + (中文) 宋体 小三 行距: 多倍行距 1.35 字行"/>
    <w:basedOn w:val="1"/>
    <w:qFormat/>
    <w:uiPriority w:val="0"/>
    <w:pPr>
      <w:tabs>
        <w:tab w:val="clear" w:pos="480"/>
      </w:tabs>
      <w:spacing w:line="240" w:lineRule="auto"/>
    </w:pPr>
    <w:rPr>
      <w:kern w:val="10"/>
      <w:sz w:val="21"/>
    </w:rPr>
  </w:style>
  <w:style w:type="paragraph" w:customStyle="1" w:styleId="3299">
    <w:name w:val="样式 标题 4标题 4 CharbulletblbbPIM 4H4h4Heading Four款标题1.1.1..."/>
    <w:basedOn w:val="5"/>
    <w:qFormat/>
    <w:uiPriority w:val="0"/>
    <w:pPr>
      <w:numPr>
        <w:ilvl w:val="0"/>
        <w:numId w:val="0"/>
      </w:numPr>
      <w:tabs>
        <w:tab w:val="clear" w:pos="480"/>
      </w:tabs>
      <w:spacing w:before="0" w:after="0"/>
    </w:pPr>
    <w:rPr>
      <w:rFonts w:ascii="宋体" w:eastAsia="宋体"/>
      <w:bCs w:val="0"/>
      <w:sz w:val="24"/>
    </w:rPr>
  </w:style>
  <w:style w:type="paragraph" w:customStyle="1" w:styleId="3300">
    <w:name w:val="环科院正文"/>
    <w:basedOn w:val="1"/>
    <w:link w:val="3598"/>
    <w:qFormat/>
    <w:uiPriority w:val="0"/>
    <w:pPr>
      <w:tabs>
        <w:tab w:val="clear" w:pos="480"/>
      </w:tabs>
      <w:ind w:firstLine="600" w:firstLineChars="250"/>
    </w:pPr>
    <w:rPr>
      <w:rFonts w:ascii="宋体" w:hAnsi="宋体"/>
      <w:bCs/>
      <w:kern w:val="10"/>
    </w:rPr>
  </w:style>
  <w:style w:type="paragraph" w:customStyle="1" w:styleId="3301">
    <w:name w:val="样式 标题 4 + (西文) Times New Roman (中文) 宋体 小四"/>
    <w:basedOn w:val="1"/>
    <w:qFormat/>
    <w:uiPriority w:val="0"/>
    <w:pPr>
      <w:tabs>
        <w:tab w:val="clear" w:pos="480"/>
      </w:tabs>
      <w:spacing w:line="240" w:lineRule="auto"/>
    </w:pPr>
    <w:rPr>
      <w:kern w:val="10"/>
      <w:sz w:val="21"/>
    </w:rPr>
  </w:style>
  <w:style w:type="paragraph" w:customStyle="1" w:styleId="3302">
    <w:name w:val="样式 正文缩进正文（首行缩进两字） + 段后: 0.1 行"/>
    <w:basedOn w:val="20"/>
    <w:semiHidden/>
    <w:qFormat/>
    <w:uiPriority w:val="0"/>
    <w:pPr>
      <w:widowControl/>
      <w:tabs>
        <w:tab w:val="clear" w:pos="480"/>
      </w:tabs>
      <w:adjustRightInd w:val="0"/>
      <w:snapToGrid w:val="0"/>
      <w:spacing w:line="400" w:lineRule="exact"/>
      <w:ind w:firstLine="480"/>
    </w:pPr>
    <w:rPr>
      <w:rFonts w:ascii="仿宋_GB2312" w:eastAsia="仿宋_GB2312"/>
      <w:bCs/>
      <w:color w:val="000000"/>
      <w:kern w:val="0"/>
      <w:lang w:val="zh-CN"/>
    </w:rPr>
  </w:style>
  <w:style w:type="paragraph" w:customStyle="1" w:styleId="3303">
    <w:name w:val="样式 样式 标题 2节 + (西文) Times New Roman (中文) 宋体 四号 段前: 0.5 行 段后: 0......"/>
    <w:basedOn w:val="1"/>
    <w:qFormat/>
    <w:uiPriority w:val="0"/>
    <w:pPr>
      <w:tabs>
        <w:tab w:val="clear" w:pos="480"/>
      </w:tabs>
      <w:spacing w:line="240" w:lineRule="auto"/>
    </w:pPr>
    <w:rPr>
      <w:kern w:val="10"/>
      <w:sz w:val="21"/>
    </w:rPr>
  </w:style>
  <w:style w:type="paragraph" w:customStyle="1" w:styleId="3304">
    <w:name w:val="宏福正文"/>
    <w:basedOn w:val="33"/>
    <w:qFormat/>
    <w:uiPriority w:val="0"/>
    <w:pPr>
      <w:adjustRightInd w:val="0"/>
      <w:snapToGrid w:val="0"/>
      <w:spacing w:before="240" w:line="400" w:lineRule="atLeast"/>
      <w:ind w:firstLine="624"/>
      <w:jc w:val="center"/>
    </w:pPr>
    <w:rPr>
      <w:rFonts w:ascii="Times New Roman" w:hAnsi="Times New Roman"/>
      <w:snapToGrid w:val="0"/>
      <w:color w:val="000000"/>
      <w:spacing w:val="12"/>
      <w:kern w:val="28"/>
      <w:sz w:val="28"/>
    </w:rPr>
  </w:style>
  <w:style w:type="paragraph" w:customStyle="1" w:styleId="3305">
    <w:name w:val="段落(G)"/>
    <w:basedOn w:val="1"/>
    <w:qFormat/>
    <w:uiPriority w:val="0"/>
    <w:pPr>
      <w:tabs>
        <w:tab w:val="left" w:pos="1021"/>
        <w:tab w:val="left" w:pos="1320"/>
        <w:tab w:val="clear" w:pos="480"/>
      </w:tabs>
      <w:ind w:firstLine="480"/>
    </w:pPr>
    <w:rPr>
      <w:color w:val="000000"/>
      <w:kern w:val="24"/>
      <w:lang w:val="zh-CN"/>
    </w:rPr>
  </w:style>
  <w:style w:type="paragraph" w:customStyle="1" w:styleId="3306">
    <w:name w:val="标3（天安）"/>
    <w:basedOn w:val="4"/>
    <w:qFormat/>
    <w:uiPriority w:val="0"/>
    <w:pPr>
      <w:numPr>
        <w:ilvl w:val="0"/>
        <w:numId w:val="0"/>
      </w:numPr>
      <w:tabs>
        <w:tab w:val="left" w:pos="567"/>
        <w:tab w:val="left" w:pos="1560"/>
        <w:tab w:val="clear" w:pos="480"/>
        <w:tab w:val="clear" w:pos="840"/>
      </w:tabs>
      <w:spacing w:before="240" w:after="240" w:line="400" w:lineRule="exact"/>
      <w:ind w:left="1560" w:hanging="720"/>
      <w:jc w:val="left"/>
    </w:pPr>
    <w:rPr>
      <w:rFonts w:ascii="Times New Roman" w:eastAsia="宋体" w:cs="Arial"/>
      <w:b w:val="0"/>
      <w:kern w:val="0"/>
      <w:sz w:val="28"/>
      <w:szCs w:val="28"/>
    </w:rPr>
  </w:style>
  <w:style w:type="paragraph" w:customStyle="1" w:styleId="3307">
    <w:name w:val="Plain Text2"/>
    <w:basedOn w:val="1"/>
    <w:qFormat/>
    <w:uiPriority w:val="0"/>
    <w:pPr>
      <w:tabs>
        <w:tab w:val="left" w:pos="432"/>
        <w:tab w:val="clear" w:pos="480"/>
      </w:tabs>
      <w:autoSpaceDE w:val="0"/>
      <w:autoSpaceDN w:val="0"/>
      <w:adjustRightInd w:val="0"/>
      <w:spacing w:line="240" w:lineRule="auto"/>
      <w:ind w:left="432" w:hanging="432"/>
      <w:textAlignment w:val="baseline"/>
    </w:pPr>
    <w:rPr>
      <w:rFonts w:hAnsi="Tms Rmn"/>
      <w:kern w:val="0"/>
      <w:sz w:val="21"/>
      <w:szCs w:val="20"/>
    </w:rPr>
  </w:style>
  <w:style w:type="paragraph" w:customStyle="1" w:styleId="3308">
    <w:name w:val="公用工程"/>
    <w:basedOn w:val="5"/>
    <w:qFormat/>
    <w:uiPriority w:val="0"/>
    <w:pPr>
      <w:numPr>
        <w:numId w:val="37"/>
      </w:numPr>
      <w:tabs>
        <w:tab w:val="left" w:pos="0"/>
        <w:tab w:val="left" w:pos="720"/>
        <w:tab w:val="left" w:pos="1680"/>
        <w:tab w:val="clear" w:pos="480"/>
      </w:tabs>
      <w:spacing w:before="0" w:after="0"/>
      <w:jc w:val="left"/>
    </w:pPr>
    <w:rPr>
      <w:rFonts w:ascii="宋体" w:hAnsi="Arial" w:eastAsia="宋体"/>
      <w:b w:val="0"/>
      <w:color w:val="000000"/>
      <w:sz w:val="24"/>
    </w:rPr>
  </w:style>
  <w:style w:type="paragraph" w:customStyle="1" w:styleId="3309">
    <w:name w:val="样式 标题 3条标题1.1.1h3H3level_3PIM 3Level 3 HeadHeading 3 - ol..."/>
    <w:basedOn w:val="4"/>
    <w:qFormat/>
    <w:uiPriority w:val="0"/>
    <w:pPr>
      <w:numPr>
        <w:numId w:val="0"/>
      </w:numPr>
      <w:tabs>
        <w:tab w:val="left" w:pos="720"/>
        <w:tab w:val="clear" w:pos="480"/>
        <w:tab w:val="clear" w:pos="840"/>
      </w:tabs>
      <w:spacing w:before="0" w:after="0" w:line="360" w:lineRule="auto"/>
      <w:ind w:left="720" w:hanging="720"/>
      <w:jc w:val="left"/>
    </w:pPr>
    <w:rPr>
      <w:rFonts w:ascii="Times New Roman" w:eastAsia="宋体"/>
      <w:kern w:val="24"/>
      <w:sz w:val="28"/>
    </w:rPr>
  </w:style>
  <w:style w:type="paragraph" w:customStyle="1" w:styleId="3310">
    <w:name w:val="标题水污染"/>
    <w:basedOn w:val="5"/>
    <w:qFormat/>
    <w:uiPriority w:val="0"/>
    <w:pPr>
      <w:numPr>
        <w:ilvl w:val="0"/>
        <w:numId w:val="0"/>
      </w:numPr>
      <w:tabs>
        <w:tab w:val="left" w:pos="0"/>
        <w:tab w:val="left" w:pos="780"/>
        <w:tab w:val="clear" w:pos="480"/>
      </w:tabs>
      <w:spacing w:before="0" w:after="0"/>
      <w:ind w:left="780" w:leftChars="200" w:hanging="360" w:hangingChars="200"/>
      <w:jc w:val="left"/>
    </w:pPr>
    <w:rPr>
      <w:rFonts w:ascii="宋体" w:hAnsi="Arial" w:eastAsia="宋体"/>
      <w:b w:val="0"/>
      <w:color w:val="000000"/>
      <w:sz w:val="24"/>
    </w:rPr>
  </w:style>
  <w:style w:type="paragraph" w:customStyle="1" w:styleId="3311">
    <w:name w:val="标4（天安）"/>
    <w:basedOn w:val="3306"/>
    <w:qFormat/>
    <w:uiPriority w:val="0"/>
    <w:pPr>
      <w:tabs>
        <w:tab w:val="left" w:pos="1021"/>
        <w:tab w:val="clear" w:pos="567"/>
      </w:tabs>
      <w:spacing w:before="120" w:after="120"/>
      <w:outlineLvl w:val="3"/>
    </w:pPr>
    <w:rPr>
      <w:rFonts w:cs="Times New Roman"/>
      <w:sz w:val="24"/>
      <w:szCs w:val="24"/>
    </w:rPr>
  </w:style>
  <w:style w:type="paragraph" w:customStyle="1" w:styleId="3312">
    <w:name w:val="永环书图表标题"/>
    <w:basedOn w:val="1"/>
    <w:qFormat/>
    <w:uiPriority w:val="0"/>
    <w:pPr>
      <w:tabs>
        <w:tab w:val="clear" w:pos="480"/>
      </w:tabs>
      <w:spacing w:beforeLines="20" w:afterLines="20" w:line="440" w:lineRule="exact"/>
      <w:jc w:val="center"/>
    </w:pPr>
    <w:rPr>
      <w:rFonts w:eastAsia="黑体"/>
      <w:color w:val="000000"/>
      <w:sz w:val="28"/>
    </w:rPr>
  </w:style>
  <w:style w:type="paragraph" w:customStyle="1" w:styleId="3313">
    <w:name w:val="dandan6-13正文 Char Char Char"/>
    <w:basedOn w:val="1"/>
    <w:next w:val="1"/>
    <w:qFormat/>
    <w:uiPriority w:val="0"/>
    <w:pPr>
      <w:keepNext/>
      <w:keepLines/>
      <w:widowControl/>
      <w:tabs>
        <w:tab w:val="clear" w:pos="480"/>
      </w:tabs>
      <w:adjustRightInd w:val="0"/>
      <w:spacing w:before="40" w:after="40"/>
      <w:textAlignment w:val="baseline"/>
    </w:pPr>
    <w:rPr>
      <w:rFonts w:cs="宋体"/>
      <w:kern w:val="0"/>
      <w:sz w:val="28"/>
      <w:szCs w:val="28"/>
    </w:rPr>
  </w:style>
  <w:style w:type="paragraph" w:customStyle="1" w:styleId="3314">
    <w:name w:val="烟厂正文"/>
    <w:basedOn w:val="1"/>
    <w:qFormat/>
    <w:uiPriority w:val="0"/>
    <w:pPr>
      <w:tabs>
        <w:tab w:val="clear" w:pos="480"/>
      </w:tabs>
      <w:spacing w:beforeLines="20" w:afterLines="20" w:line="500" w:lineRule="exact"/>
    </w:pPr>
    <w:rPr>
      <w:kern w:val="10"/>
      <w:sz w:val="28"/>
      <w:szCs w:val="20"/>
    </w:rPr>
  </w:style>
  <w:style w:type="paragraph" w:customStyle="1" w:styleId="3315">
    <w:name w:val="表中文字1"/>
    <w:qFormat/>
    <w:uiPriority w:val="0"/>
    <w:pPr>
      <w:widowControl w:val="0"/>
      <w:adjustRightInd w:val="0"/>
      <w:snapToGrid w:val="0"/>
      <w:jc w:val="center"/>
    </w:pPr>
    <w:rPr>
      <w:rFonts w:ascii="仿宋_GB2312" w:hAnsi="Times New Roman" w:eastAsia="仿宋_GB2312" w:cs="Times New Roman"/>
      <w:kern w:val="2"/>
      <w:sz w:val="24"/>
      <w:szCs w:val="24"/>
      <w:lang w:val="en-US" w:eastAsia="zh-CN" w:bidi="ar-SA"/>
    </w:rPr>
  </w:style>
  <w:style w:type="paragraph" w:customStyle="1" w:styleId="3316">
    <w:name w:val="样式 标题 1 + (符号) 宋体 居中"/>
    <w:basedOn w:val="2"/>
    <w:qFormat/>
    <w:uiPriority w:val="0"/>
    <w:pPr>
      <w:numPr>
        <w:numId w:val="0"/>
      </w:numPr>
      <w:tabs>
        <w:tab w:val="left" w:pos="0"/>
        <w:tab w:val="clear" w:pos="480"/>
      </w:tabs>
      <w:spacing w:before="0" w:after="0"/>
      <w:jc w:val="center"/>
    </w:pPr>
    <w:rPr>
      <w:rFonts w:ascii="Times New Roman" w:eastAsia="宋体" w:cs="宋体"/>
      <w:kern w:val="10"/>
      <w:sz w:val="24"/>
      <w:szCs w:val="20"/>
    </w:rPr>
  </w:style>
  <w:style w:type="paragraph" w:customStyle="1" w:styleId="3317">
    <w:name w:val="样式 标题 1-*+章标题 11.标题 1h11st levelSection Headl1b1H1Head..."/>
    <w:basedOn w:val="2"/>
    <w:qFormat/>
    <w:uiPriority w:val="0"/>
    <w:pPr>
      <w:numPr>
        <w:numId w:val="36"/>
      </w:numPr>
      <w:tabs>
        <w:tab w:val="left" w:pos="432"/>
        <w:tab w:val="left" w:pos="720"/>
        <w:tab w:val="clear" w:pos="480"/>
      </w:tabs>
      <w:spacing w:before="0" w:after="0"/>
      <w:jc w:val="left"/>
    </w:pPr>
    <w:rPr>
      <w:rFonts w:ascii="Times New Roman" w:eastAsia="宋体" w:cs="宋体"/>
      <w:kern w:val="10"/>
      <w:sz w:val="32"/>
      <w:szCs w:val="20"/>
    </w:rPr>
  </w:style>
  <w:style w:type="paragraph" w:customStyle="1" w:styleId="3318">
    <w:name w:val="标准文本 首行缩进:2 字符 行距1倍"/>
    <w:basedOn w:val="1"/>
    <w:qFormat/>
    <w:uiPriority w:val="0"/>
    <w:pPr>
      <w:tabs>
        <w:tab w:val="clear" w:pos="480"/>
      </w:tabs>
      <w:adjustRightInd w:val="0"/>
      <w:snapToGrid w:val="0"/>
      <w:spacing w:line="480" w:lineRule="exact"/>
      <w:ind w:firstLine="540" w:firstLineChars="225"/>
      <w:textAlignment w:val="center"/>
    </w:pPr>
    <w:rPr>
      <w:rFonts w:cs="宋体"/>
      <w:kern w:val="10"/>
      <w:sz w:val="28"/>
      <w:szCs w:val="20"/>
    </w:rPr>
  </w:style>
  <w:style w:type="paragraph" w:customStyle="1" w:styleId="3319">
    <w:name w:val="表头文字"/>
    <w:basedOn w:val="1"/>
    <w:qFormat/>
    <w:uiPriority w:val="0"/>
    <w:pPr>
      <w:widowControl/>
      <w:tabs>
        <w:tab w:val="clear" w:pos="480"/>
      </w:tabs>
      <w:adjustRightInd w:val="0"/>
      <w:snapToGrid w:val="0"/>
      <w:spacing w:line="300" w:lineRule="auto"/>
      <w:jc w:val="center"/>
      <w:textAlignment w:val="baseline"/>
    </w:pPr>
    <w:rPr>
      <w:b/>
      <w:kern w:val="0"/>
      <w:sz w:val="21"/>
      <w:szCs w:val="20"/>
    </w:rPr>
  </w:style>
  <w:style w:type="paragraph" w:customStyle="1" w:styleId="3320">
    <w:name w:val="标准符号 行距1倍"/>
    <w:basedOn w:val="1"/>
    <w:qFormat/>
    <w:uiPriority w:val="0"/>
    <w:pPr>
      <w:tabs>
        <w:tab w:val="clear" w:pos="480"/>
      </w:tabs>
      <w:adjustRightInd w:val="0"/>
      <w:snapToGrid w:val="0"/>
      <w:spacing w:line="460" w:lineRule="exact"/>
      <w:ind w:left="480"/>
      <w:textAlignment w:val="center"/>
    </w:pPr>
    <w:rPr>
      <w:rFonts w:cs="宋体"/>
      <w:kern w:val="0"/>
      <w:sz w:val="28"/>
    </w:rPr>
  </w:style>
  <w:style w:type="paragraph" w:customStyle="1" w:styleId="3321">
    <w:name w:val="ZW Char Char Char"/>
    <w:basedOn w:val="1"/>
    <w:qFormat/>
    <w:uiPriority w:val="0"/>
    <w:pPr>
      <w:tabs>
        <w:tab w:val="clear" w:pos="480"/>
      </w:tabs>
      <w:spacing w:beforeLines="20" w:line="240" w:lineRule="auto"/>
    </w:pPr>
    <w:rPr>
      <w:kern w:val="10"/>
      <w:sz w:val="28"/>
    </w:rPr>
  </w:style>
  <w:style w:type="paragraph" w:customStyle="1" w:styleId="3322">
    <w:name w:val="MFS正文 Char"/>
    <w:basedOn w:val="86"/>
    <w:qFormat/>
    <w:uiPriority w:val="0"/>
    <w:pPr>
      <w:adjustRightInd w:val="0"/>
      <w:snapToGrid w:val="0"/>
      <w:spacing w:before="93" w:line="360" w:lineRule="auto"/>
      <w:ind w:firstLine="200" w:firstLineChars="200"/>
    </w:pPr>
    <w:rPr>
      <w:rFonts w:eastAsia="楷体_GB2312"/>
      <w:sz w:val="24"/>
    </w:rPr>
  </w:style>
  <w:style w:type="paragraph" w:customStyle="1" w:styleId="3323">
    <w:name w:val="BGWZ1"/>
    <w:basedOn w:val="1"/>
    <w:qFormat/>
    <w:uiPriority w:val="0"/>
    <w:pPr>
      <w:tabs>
        <w:tab w:val="clear" w:pos="480"/>
      </w:tabs>
      <w:snapToGrid w:val="0"/>
      <w:spacing w:line="300" w:lineRule="exact"/>
      <w:jc w:val="center"/>
    </w:pPr>
    <w:rPr>
      <w:snapToGrid w:val="0"/>
      <w:kern w:val="0"/>
      <w:sz w:val="21"/>
      <w:szCs w:val="20"/>
      <w:lang w:eastAsia="zh-TW"/>
    </w:rPr>
  </w:style>
  <w:style w:type="paragraph" w:customStyle="1" w:styleId="3324">
    <w:name w:val="字元1"/>
    <w:basedOn w:val="1"/>
    <w:qFormat/>
    <w:uiPriority w:val="0"/>
    <w:pPr>
      <w:tabs>
        <w:tab w:val="clear" w:pos="480"/>
      </w:tabs>
      <w:spacing w:line="240" w:lineRule="auto"/>
    </w:pPr>
    <w:rPr>
      <w:kern w:val="10"/>
      <w:sz w:val="28"/>
    </w:rPr>
  </w:style>
  <w:style w:type="paragraph" w:customStyle="1" w:styleId="3325">
    <w:name w:val="p16"/>
    <w:basedOn w:val="1"/>
    <w:qFormat/>
    <w:uiPriority w:val="0"/>
    <w:pPr>
      <w:widowControl/>
      <w:tabs>
        <w:tab w:val="clear" w:pos="480"/>
      </w:tabs>
      <w:snapToGrid w:val="0"/>
      <w:spacing w:line="240" w:lineRule="auto"/>
      <w:jc w:val="center"/>
    </w:pPr>
    <w:rPr>
      <w:kern w:val="0"/>
      <w:sz w:val="21"/>
      <w:szCs w:val="21"/>
    </w:rPr>
  </w:style>
  <w:style w:type="paragraph" w:customStyle="1" w:styleId="3326">
    <w:name w:val="样式 正文 首行缩进:  2 字符 + (中文) 楷体_GB2312"/>
    <w:basedOn w:val="2105"/>
    <w:link w:val="3327"/>
    <w:qFormat/>
    <w:uiPriority w:val="0"/>
    <w:pPr>
      <w:adjustRightInd w:val="0"/>
      <w:snapToGrid w:val="0"/>
      <w:spacing w:line="500" w:lineRule="exact"/>
      <w:ind w:firstLine="200"/>
    </w:pPr>
    <w:rPr>
      <w:rFonts w:eastAsia="楷体_GB2312"/>
      <w:kern w:val="2"/>
      <w:szCs w:val="24"/>
      <w:lang w:val="zh-CN"/>
    </w:rPr>
  </w:style>
  <w:style w:type="character" w:customStyle="1" w:styleId="3327">
    <w:name w:val="样式 正文 首行缩进:  2 字符 + (中文) 楷体_GB2312 Char"/>
    <w:link w:val="3326"/>
    <w:qFormat/>
    <w:uiPriority w:val="0"/>
    <w:rPr>
      <w:rFonts w:eastAsia="楷体_GB2312" w:cs="宋体"/>
      <w:kern w:val="2"/>
      <w:sz w:val="24"/>
      <w:szCs w:val="24"/>
    </w:rPr>
  </w:style>
  <w:style w:type="character" w:customStyle="1" w:styleId="3328">
    <w:name w:val="无间隔 Char1"/>
    <w:qFormat/>
    <w:uiPriority w:val="0"/>
    <w:rPr>
      <w:rFonts w:ascii="Times New Roman" w:hAnsi="Times New Roman"/>
      <w:kern w:val="2"/>
      <w:sz w:val="21"/>
      <w:szCs w:val="22"/>
    </w:rPr>
  </w:style>
  <w:style w:type="paragraph" w:customStyle="1" w:styleId="3329">
    <w:name w:val="Table Paragraph"/>
    <w:basedOn w:val="1"/>
    <w:qFormat/>
    <w:uiPriority w:val="1"/>
    <w:pPr>
      <w:tabs>
        <w:tab w:val="clear" w:pos="480"/>
      </w:tabs>
      <w:spacing w:line="240" w:lineRule="auto"/>
      <w:jc w:val="left"/>
    </w:pPr>
    <w:rPr>
      <w:rFonts w:ascii="Calibri" w:hAnsi="Calibri"/>
      <w:kern w:val="0"/>
      <w:sz w:val="22"/>
      <w:szCs w:val="22"/>
      <w:lang w:eastAsia="en-US"/>
    </w:rPr>
  </w:style>
  <w:style w:type="paragraph" w:customStyle="1" w:styleId="3330">
    <w:name w:val="K2"/>
    <w:basedOn w:val="3"/>
    <w:qFormat/>
    <w:uiPriority w:val="0"/>
    <w:pPr>
      <w:numPr>
        <w:ilvl w:val="0"/>
        <w:numId w:val="0"/>
      </w:numPr>
      <w:tabs>
        <w:tab w:val="left" w:pos="680"/>
        <w:tab w:val="clear" w:pos="480"/>
        <w:tab w:val="clear" w:pos="630"/>
      </w:tabs>
      <w:spacing w:before="0" w:after="0"/>
      <w:jc w:val="left"/>
    </w:pPr>
    <w:rPr>
      <w:bCs w:val="0"/>
      <w:kern w:val="0"/>
    </w:rPr>
  </w:style>
  <w:style w:type="paragraph" w:customStyle="1" w:styleId="3331">
    <w:name w:val="K3"/>
    <w:basedOn w:val="4"/>
    <w:link w:val="3332"/>
    <w:qFormat/>
    <w:uiPriority w:val="0"/>
    <w:pPr>
      <w:tabs>
        <w:tab w:val="left" w:pos="720"/>
        <w:tab w:val="clear" w:pos="480"/>
        <w:tab w:val="clear" w:pos="840"/>
      </w:tabs>
      <w:spacing w:before="0" w:after="0" w:line="360" w:lineRule="auto"/>
      <w:jc w:val="left"/>
    </w:pPr>
    <w:rPr>
      <w:rFonts w:ascii="Times New Roman" w:eastAsia="宋体"/>
      <w:kern w:val="0"/>
      <w:szCs w:val="30"/>
    </w:rPr>
  </w:style>
  <w:style w:type="character" w:customStyle="1" w:styleId="3332">
    <w:name w:val="K3 Char"/>
    <w:link w:val="3331"/>
    <w:qFormat/>
    <w:uiPriority w:val="0"/>
    <w:rPr>
      <w:b/>
      <w:bCs/>
      <w:sz w:val="30"/>
      <w:szCs w:val="30"/>
      <w:lang w:val="zh-CN"/>
    </w:rPr>
  </w:style>
  <w:style w:type="character" w:customStyle="1" w:styleId="3333">
    <w:name w:val="fontstyle31"/>
    <w:qFormat/>
    <w:uiPriority w:val="0"/>
    <w:rPr>
      <w:rFonts w:hint="default" w:ascii="TimesNewRomanPSMT" w:hAnsi="TimesNewRomanPSMT"/>
      <w:color w:val="000000"/>
      <w:sz w:val="24"/>
      <w:szCs w:val="24"/>
    </w:rPr>
  </w:style>
  <w:style w:type="character" w:customStyle="1" w:styleId="3334">
    <w:name w:val="样式 (西文) 华文仿宋 (中文) 华文仿宋1"/>
    <w:qFormat/>
    <w:uiPriority w:val="0"/>
    <w:rPr>
      <w:rFonts w:ascii="Times New Roman" w:hAnsi="Times New Roman" w:eastAsia="仿宋_GB2312"/>
      <w:kern w:val="0"/>
      <w:sz w:val="32"/>
    </w:rPr>
  </w:style>
  <w:style w:type="character" w:customStyle="1" w:styleId="3335">
    <w:name w:val="样式 (西文) 华文仿宋 (中文) 华文仿宋"/>
    <w:qFormat/>
    <w:uiPriority w:val="0"/>
    <w:rPr>
      <w:rFonts w:ascii="Times New Roman" w:hAnsi="Times New Roman" w:eastAsia="仿宋_GB2312"/>
    </w:rPr>
  </w:style>
  <w:style w:type="paragraph" w:customStyle="1" w:styleId="3336">
    <w:name w:val="样式 标题 2 + 行距: 1.5 倍行距2"/>
    <w:basedOn w:val="3"/>
    <w:qFormat/>
    <w:uiPriority w:val="0"/>
    <w:pPr>
      <w:tabs>
        <w:tab w:val="left" w:pos="2835"/>
        <w:tab w:val="clear" w:pos="480"/>
        <w:tab w:val="clear" w:pos="630"/>
      </w:tabs>
      <w:snapToGrid w:val="0"/>
      <w:spacing w:before="0" w:after="0"/>
      <w:ind w:left="1985" w:hanging="1985"/>
      <w:jc w:val="left"/>
    </w:pPr>
    <w:rPr>
      <w:rFonts w:eastAsia="黑体"/>
      <w:sz w:val="30"/>
      <w:szCs w:val="20"/>
    </w:rPr>
  </w:style>
  <w:style w:type="character" w:customStyle="1" w:styleId="3337">
    <w:name w:val="fontstyle41"/>
    <w:qFormat/>
    <w:uiPriority w:val="0"/>
    <w:rPr>
      <w:rFonts w:hint="default" w:ascii="TimesNewRomanPSMT" w:hAnsi="TimesNewRomanPSMT"/>
      <w:color w:val="000000"/>
      <w:sz w:val="18"/>
      <w:szCs w:val="18"/>
    </w:rPr>
  </w:style>
  <w:style w:type="paragraph" w:customStyle="1" w:styleId="3338">
    <w:name w:val="样式 样式 标题 4 + 宋体 行距: 1.5 倍行距 + 段前: 0.5 行"/>
    <w:basedOn w:val="1"/>
    <w:qFormat/>
    <w:uiPriority w:val="0"/>
    <w:pPr>
      <w:keepNext/>
      <w:keepLines/>
      <w:tabs>
        <w:tab w:val="left" w:pos="1680"/>
        <w:tab w:val="clear" w:pos="480"/>
      </w:tabs>
      <w:snapToGrid w:val="0"/>
      <w:ind w:left="1985" w:hanging="1985"/>
      <w:jc w:val="left"/>
    </w:pPr>
    <w:rPr>
      <w:rFonts w:ascii="宋体" w:hAnsi="宋体" w:eastAsia="黑体" w:cs="宋体"/>
      <w:b/>
      <w:bCs/>
      <w:szCs w:val="20"/>
    </w:rPr>
  </w:style>
  <w:style w:type="paragraph" w:customStyle="1" w:styleId="3339">
    <w:name w:val="样式 正文 行距: 固定值 25 磅"/>
    <w:basedOn w:val="1"/>
    <w:link w:val="3340"/>
    <w:qFormat/>
    <w:uiPriority w:val="0"/>
    <w:pPr>
      <w:tabs>
        <w:tab w:val="clear" w:pos="480"/>
      </w:tabs>
      <w:adjustRightInd w:val="0"/>
      <w:spacing w:line="500" w:lineRule="exact"/>
    </w:pPr>
    <w:rPr>
      <w:lang w:val="zh-CN"/>
    </w:rPr>
  </w:style>
  <w:style w:type="character" w:customStyle="1" w:styleId="3340">
    <w:name w:val="样式 正文 行距: 固定值 25 磅 Char"/>
    <w:link w:val="3339"/>
    <w:qFormat/>
    <w:uiPriority w:val="0"/>
    <w:rPr>
      <w:rFonts w:cs="宋体"/>
      <w:kern w:val="2"/>
      <w:sz w:val="24"/>
      <w:szCs w:val="24"/>
    </w:rPr>
  </w:style>
  <w:style w:type="paragraph" w:customStyle="1" w:styleId="3341">
    <w:name w:val="样式 样式 正文 行距: 固定值 25 磅 + 首行缩进:  2 字符"/>
    <w:basedOn w:val="1"/>
    <w:link w:val="3342"/>
    <w:qFormat/>
    <w:uiPriority w:val="0"/>
    <w:pPr>
      <w:tabs>
        <w:tab w:val="clear" w:pos="480"/>
      </w:tabs>
      <w:adjustRightInd w:val="0"/>
      <w:snapToGrid w:val="0"/>
      <w:spacing w:line="500" w:lineRule="exact"/>
    </w:pPr>
    <w:rPr>
      <w:rFonts w:cs="宋体"/>
    </w:rPr>
  </w:style>
  <w:style w:type="character" w:customStyle="1" w:styleId="3342">
    <w:name w:val="样式 样式 正文 行距: 固定值 25 磅 + 首行缩进:  2 字符 Char"/>
    <w:link w:val="3341"/>
    <w:qFormat/>
    <w:uiPriority w:val="0"/>
  </w:style>
  <w:style w:type="paragraph" w:customStyle="1" w:styleId="3343">
    <w:name w:val="样式 标题 4 + 行距: 1.5 倍行距"/>
    <w:basedOn w:val="5"/>
    <w:qFormat/>
    <w:uiPriority w:val="0"/>
    <w:pPr>
      <w:numPr>
        <w:ilvl w:val="0"/>
        <w:numId w:val="0"/>
      </w:numPr>
      <w:tabs>
        <w:tab w:val="left" w:pos="1680"/>
        <w:tab w:val="clear" w:pos="480"/>
      </w:tabs>
      <w:snapToGrid w:val="0"/>
      <w:spacing w:before="0" w:after="0"/>
      <w:ind w:left="1985" w:hanging="1985"/>
      <w:jc w:val="left"/>
      <w:outlineLvl w:val="9"/>
    </w:pPr>
    <w:rPr>
      <w:rFonts w:ascii="Times New Roman" w:hAnsi="Times New Roman" w:eastAsia="黑体" w:cs="宋体"/>
      <w:sz w:val="24"/>
      <w:szCs w:val="20"/>
    </w:rPr>
  </w:style>
  <w:style w:type="character" w:customStyle="1" w:styleId="3344">
    <w:name w:val="fontstyle51"/>
    <w:qFormat/>
    <w:uiPriority w:val="0"/>
    <w:rPr>
      <w:rFonts w:hint="default" w:ascii="TimesNewRomanPSMT" w:hAnsi="TimesNewRomanPSMT"/>
      <w:color w:val="000000"/>
      <w:sz w:val="24"/>
      <w:szCs w:val="24"/>
    </w:rPr>
  </w:style>
  <w:style w:type="character" w:customStyle="1" w:styleId="3345">
    <w:name w:val="fontstyle61"/>
    <w:qFormat/>
    <w:uiPriority w:val="0"/>
    <w:rPr>
      <w:rFonts w:hint="default" w:ascii="ArialMT" w:hAnsi="ArialMT"/>
      <w:color w:val="000000"/>
      <w:sz w:val="24"/>
      <w:szCs w:val="24"/>
    </w:rPr>
  </w:style>
  <w:style w:type="character" w:customStyle="1" w:styleId="3346">
    <w:name w:val="fontstyle71"/>
    <w:qFormat/>
    <w:uiPriority w:val="0"/>
    <w:rPr>
      <w:rFonts w:hint="eastAsia" w:ascii="楷体_GB2312" w:eastAsia="楷体_GB2312"/>
      <w:color w:val="000000"/>
      <w:sz w:val="22"/>
      <w:szCs w:val="22"/>
    </w:rPr>
  </w:style>
  <w:style w:type="paragraph" w:customStyle="1" w:styleId="3347">
    <w:name w:val="表格抬头"/>
    <w:basedOn w:val="1"/>
    <w:qFormat/>
    <w:uiPriority w:val="0"/>
    <w:pPr>
      <w:tabs>
        <w:tab w:val="clear" w:pos="480"/>
      </w:tabs>
      <w:spacing w:line="240" w:lineRule="atLeast"/>
      <w:jc w:val="center"/>
    </w:pPr>
    <w:rPr>
      <w:rFonts w:eastAsia="黑体"/>
      <w:sz w:val="21"/>
    </w:rPr>
  </w:style>
  <w:style w:type="character" w:customStyle="1" w:styleId="3348">
    <w:name w:val="段 Char"/>
    <w:link w:val="754"/>
    <w:qFormat/>
    <w:locked/>
    <w:uiPriority w:val="0"/>
    <w:rPr>
      <w:rFonts w:ascii="宋体"/>
      <w:sz w:val="21"/>
    </w:rPr>
  </w:style>
  <w:style w:type="character" w:customStyle="1" w:styleId="3349">
    <w:name w:val="正文段落 Char Char Char Char"/>
    <w:link w:val="1252"/>
    <w:qFormat/>
    <w:uiPriority w:val="0"/>
    <w:rPr>
      <w:rFonts w:ascii="宋体" w:hAnsi="宋体" w:cs="宋体"/>
      <w:sz w:val="24"/>
      <w:szCs w:val="24"/>
    </w:rPr>
  </w:style>
  <w:style w:type="paragraph" w:customStyle="1" w:styleId="3350">
    <w:name w:val="报告标题1"/>
    <w:basedOn w:val="4"/>
    <w:qFormat/>
    <w:uiPriority w:val="0"/>
    <w:pPr>
      <w:keepNext w:val="0"/>
      <w:keepLines w:val="0"/>
      <w:numPr>
        <w:ilvl w:val="0"/>
        <w:numId w:val="38"/>
      </w:numPr>
      <w:tabs>
        <w:tab w:val="clear" w:pos="480"/>
        <w:tab w:val="clear" w:pos="840"/>
      </w:tabs>
      <w:spacing w:before="0" w:beforeLines="100" w:after="0" w:line="360" w:lineRule="auto"/>
      <w:ind w:firstLine="200"/>
      <w:outlineLvl w:val="0"/>
    </w:pPr>
    <w:rPr>
      <w:rFonts w:ascii="Times New Roman" w:eastAsia="宋体"/>
      <w:sz w:val="32"/>
      <w:lang w:val="en-US"/>
    </w:rPr>
  </w:style>
  <w:style w:type="character" w:customStyle="1" w:styleId="3351">
    <w:name w:val="上海LNG4 Char Char"/>
    <w:link w:val="3352"/>
    <w:qFormat/>
    <w:uiPriority w:val="0"/>
    <w:rPr>
      <w:b/>
      <w:kern w:val="28"/>
      <w:sz w:val="24"/>
      <w:szCs w:val="24"/>
    </w:rPr>
  </w:style>
  <w:style w:type="paragraph" w:customStyle="1" w:styleId="3352">
    <w:name w:val="上海LNG4"/>
    <w:basedOn w:val="3353"/>
    <w:link w:val="3351"/>
    <w:qFormat/>
    <w:uiPriority w:val="0"/>
    <w:pPr>
      <w:numPr>
        <w:ilvl w:val="3"/>
      </w:numPr>
      <w:tabs>
        <w:tab w:val="left" w:pos="851"/>
        <w:tab w:val="left" w:pos="1984"/>
      </w:tabs>
      <w:ind w:left="1984" w:hanging="708"/>
      <w:outlineLvl w:val="3"/>
    </w:pPr>
    <w:rPr>
      <w:rFonts w:ascii="Times New Roman" w:hAnsi="Times New Roman"/>
    </w:rPr>
  </w:style>
  <w:style w:type="paragraph" w:customStyle="1" w:styleId="3353">
    <w:name w:val="上海LNG3"/>
    <w:basedOn w:val="1"/>
    <w:link w:val="3403"/>
    <w:qFormat/>
    <w:uiPriority w:val="0"/>
    <w:pPr>
      <w:numPr>
        <w:ilvl w:val="2"/>
        <w:numId w:val="39"/>
      </w:numPr>
      <w:tabs>
        <w:tab w:val="clear" w:pos="480"/>
      </w:tabs>
      <w:ind w:right="403" w:firstLine="200"/>
      <w:outlineLvl w:val="2"/>
    </w:pPr>
    <w:rPr>
      <w:rFonts w:ascii="Calibri" w:hAnsi="Calibri"/>
      <w:b/>
      <w:kern w:val="28"/>
    </w:rPr>
  </w:style>
  <w:style w:type="paragraph" w:customStyle="1" w:styleId="3354">
    <w:name w:val="上海LNG1"/>
    <w:basedOn w:val="1"/>
    <w:link w:val="3453"/>
    <w:qFormat/>
    <w:uiPriority w:val="0"/>
    <w:pPr>
      <w:numPr>
        <w:ilvl w:val="0"/>
        <w:numId w:val="39"/>
      </w:numPr>
      <w:tabs>
        <w:tab w:val="clear" w:pos="480"/>
      </w:tabs>
      <w:ind w:firstLine="200"/>
      <w:outlineLvl w:val="0"/>
    </w:pPr>
    <w:rPr>
      <w:rFonts w:ascii="Calibri" w:hAnsi="Calibri"/>
      <w:b/>
    </w:rPr>
  </w:style>
  <w:style w:type="paragraph" w:customStyle="1" w:styleId="3355">
    <w:name w:val="上海LNG2"/>
    <w:basedOn w:val="1"/>
    <w:link w:val="3416"/>
    <w:qFormat/>
    <w:uiPriority w:val="0"/>
    <w:pPr>
      <w:numPr>
        <w:ilvl w:val="1"/>
        <w:numId w:val="39"/>
      </w:numPr>
      <w:tabs>
        <w:tab w:val="clear" w:pos="480"/>
      </w:tabs>
      <w:ind w:firstLine="200"/>
      <w:outlineLvl w:val="1"/>
    </w:pPr>
    <w:rPr>
      <w:rFonts w:ascii="Calibri" w:hAnsi="Calibri"/>
      <w:b/>
    </w:rPr>
  </w:style>
  <w:style w:type="paragraph" w:customStyle="1" w:styleId="3356">
    <w:name w:val="Char Char3 Char Char Char Char Char Char"/>
    <w:basedOn w:val="1"/>
    <w:qFormat/>
    <w:uiPriority w:val="0"/>
    <w:pPr>
      <w:tabs>
        <w:tab w:val="clear" w:pos="480"/>
      </w:tabs>
      <w:spacing w:line="240" w:lineRule="auto"/>
    </w:pPr>
    <w:rPr>
      <w:sz w:val="21"/>
    </w:rPr>
  </w:style>
  <w:style w:type="paragraph" w:customStyle="1" w:styleId="3357">
    <w:name w:val="样式 正文（首行缩进两字） + 行距: 固定值 20 磅"/>
    <w:basedOn w:val="20"/>
    <w:qFormat/>
    <w:uiPriority w:val="0"/>
    <w:pPr>
      <w:tabs>
        <w:tab w:val="clear" w:pos="480"/>
      </w:tabs>
      <w:spacing w:afterLines="20" w:line="400" w:lineRule="exact"/>
      <w:ind w:firstLine="480"/>
    </w:pPr>
  </w:style>
  <w:style w:type="character" w:customStyle="1" w:styleId="3358">
    <w:name w:val="样式 正文缩进 + 首行缩进:  2 字符 Char"/>
    <w:link w:val="663"/>
    <w:qFormat/>
    <w:uiPriority w:val="0"/>
    <w:rPr>
      <w:rFonts w:ascii="宋体" w:hAnsi="宋体"/>
      <w:sz w:val="24"/>
    </w:rPr>
  </w:style>
  <w:style w:type="character" w:customStyle="1" w:styleId="3359">
    <w:name w:val="样式1 Char Char Char"/>
    <w:qFormat/>
    <w:uiPriority w:val="0"/>
    <w:rPr>
      <w:rFonts w:ascii="宋体"/>
      <w:sz w:val="28"/>
    </w:rPr>
  </w:style>
  <w:style w:type="character" w:customStyle="1" w:styleId="3360">
    <w:name w:val="black0001"/>
    <w:qFormat/>
    <w:uiPriority w:val="0"/>
    <w:rPr>
      <w:b/>
      <w:bCs/>
      <w:color w:val="000000"/>
      <w:sz w:val="16"/>
      <w:szCs w:val="16"/>
      <w:shd w:val="clear" w:color="auto" w:fill="FFFFFF"/>
    </w:rPr>
  </w:style>
  <w:style w:type="character" w:customStyle="1" w:styleId="3361">
    <w:name w:val="明显参考1"/>
    <w:qFormat/>
    <w:uiPriority w:val="0"/>
    <w:rPr>
      <w:b/>
      <w:bCs/>
      <w:smallCaps/>
      <w:color w:val="C0504D"/>
      <w:spacing w:val="5"/>
      <w:u w:val="single"/>
    </w:rPr>
  </w:style>
  <w:style w:type="character" w:customStyle="1" w:styleId="3362">
    <w:name w:val="附件 Char Char"/>
    <w:link w:val="901"/>
    <w:qFormat/>
    <w:uiPriority w:val="0"/>
    <w:rPr>
      <w:rFonts w:eastAsia="黑体"/>
      <w:kern w:val="44"/>
      <w:sz w:val="30"/>
      <w:lang w:val="zh-CN" w:eastAsia="zh-CN"/>
    </w:rPr>
  </w:style>
  <w:style w:type="character" w:customStyle="1" w:styleId="3363">
    <w:name w:val="标题节 Char"/>
    <w:qFormat/>
    <w:uiPriority w:val="0"/>
    <w:rPr>
      <w:rFonts w:ascii="Arial" w:hAnsi="Arial" w:eastAsia="黑体"/>
      <w:b/>
      <w:bCs/>
      <w:kern w:val="2"/>
      <w:sz w:val="32"/>
      <w:szCs w:val="32"/>
      <w:lang w:val="en-US" w:eastAsia="zh-CN"/>
    </w:rPr>
  </w:style>
  <w:style w:type="character" w:customStyle="1" w:styleId="3364">
    <w:name w:val="表 头 Char Char"/>
    <w:link w:val="3365"/>
    <w:qFormat/>
    <w:uiPriority w:val="0"/>
    <w:rPr>
      <w:rFonts w:eastAsia="黑体"/>
      <w:color w:val="0000FF"/>
      <w:sz w:val="24"/>
      <w:szCs w:val="24"/>
    </w:rPr>
  </w:style>
  <w:style w:type="paragraph" w:customStyle="1" w:styleId="3365">
    <w:name w:val="表 头"/>
    <w:basedOn w:val="1"/>
    <w:link w:val="3364"/>
    <w:qFormat/>
    <w:uiPriority w:val="0"/>
    <w:pPr>
      <w:tabs>
        <w:tab w:val="left" w:pos="1418"/>
        <w:tab w:val="clear" w:pos="480"/>
      </w:tabs>
      <w:adjustRightInd w:val="0"/>
      <w:spacing w:before="120" w:after="120" w:line="360" w:lineRule="atLeast"/>
      <w:ind w:right="-120" w:firstLine="2040" w:firstLineChars="850"/>
    </w:pPr>
    <w:rPr>
      <w:rFonts w:eastAsia="黑体"/>
      <w:color w:val="0000FF"/>
      <w:kern w:val="0"/>
    </w:rPr>
  </w:style>
  <w:style w:type="character" w:customStyle="1" w:styleId="3366">
    <w:name w:val="样式 正文缩进 + 首行缩进:  2 字符 Char Char"/>
    <w:qFormat/>
    <w:uiPriority w:val="0"/>
    <w:rPr>
      <w:rFonts w:ascii="仿宋_GB2312" w:hAnsi="宋体" w:eastAsia="仿宋_GB2312" w:cs="宋体"/>
      <w:sz w:val="24"/>
      <w:szCs w:val="24"/>
    </w:rPr>
  </w:style>
  <w:style w:type="character" w:customStyle="1" w:styleId="3367">
    <w:name w:val="样式 正文 Char Char"/>
    <w:qFormat/>
    <w:uiPriority w:val="0"/>
    <w:rPr>
      <w:sz w:val="24"/>
    </w:rPr>
  </w:style>
  <w:style w:type="character" w:customStyle="1" w:styleId="3368">
    <w:name w:val="样式1 Char Char"/>
    <w:qFormat/>
    <w:uiPriority w:val="0"/>
    <w:rPr>
      <w:rFonts w:ascii="Arial" w:hAnsi="Arial" w:eastAsia="宋体" w:cs="Arial"/>
      <w:sz w:val="24"/>
      <w:szCs w:val="24"/>
    </w:rPr>
  </w:style>
  <w:style w:type="character" w:customStyle="1" w:styleId="3369">
    <w:name w:val="HTML 预设格式 Char"/>
    <w:link w:val="3370"/>
    <w:qFormat/>
    <w:uiPriority w:val="0"/>
    <w:rPr>
      <w:rFonts w:ascii="Arial" w:hAnsi="Arial" w:cs="Arial"/>
      <w:sz w:val="14"/>
      <w:szCs w:val="14"/>
    </w:rPr>
  </w:style>
  <w:style w:type="paragraph" w:customStyle="1" w:styleId="3370">
    <w:name w:val="HTML 预设格式1"/>
    <w:basedOn w:val="1"/>
    <w:link w:val="3369"/>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clear" w:pos="480"/>
      </w:tabs>
      <w:spacing w:line="220" w:lineRule="atLeast"/>
      <w:jc w:val="left"/>
    </w:pPr>
    <w:rPr>
      <w:rFonts w:ascii="Arial" w:hAnsi="Arial" w:cs="Arial"/>
      <w:kern w:val="0"/>
      <w:sz w:val="14"/>
      <w:szCs w:val="14"/>
    </w:rPr>
  </w:style>
  <w:style w:type="character" w:customStyle="1" w:styleId="3371">
    <w:name w:val="条标题1.1.1 + (西文) Bookman Old Style Char"/>
    <w:qFormat/>
    <w:uiPriority w:val="0"/>
    <w:rPr>
      <w:rFonts w:ascii="Arial" w:hAnsi="Arial" w:eastAsia="黑体"/>
      <w:b/>
      <w:bCs/>
      <w:kern w:val="2"/>
      <w:sz w:val="32"/>
      <w:szCs w:val="32"/>
    </w:rPr>
  </w:style>
  <w:style w:type="character" w:customStyle="1" w:styleId="3372">
    <w:name w:val="文档结构图 Char Char"/>
    <w:link w:val="3373"/>
    <w:qFormat/>
    <w:uiPriority w:val="0"/>
    <w:rPr>
      <w:sz w:val="24"/>
      <w:shd w:val="clear" w:color="auto" w:fill="000080"/>
    </w:rPr>
  </w:style>
  <w:style w:type="paragraph" w:customStyle="1" w:styleId="3373">
    <w:name w:val="文档结构图1"/>
    <w:basedOn w:val="1"/>
    <w:link w:val="3372"/>
    <w:qFormat/>
    <w:uiPriority w:val="0"/>
    <w:pPr>
      <w:shd w:val="clear" w:color="auto" w:fill="000080"/>
      <w:tabs>
        <w:tab w:val="clear" w:pos="480"/>
      </w:tabs>
      <w:spacing w:line="240" w:lineRule="auto"/>
    </w:pPr>
    <w:rPr>
      <w:kern w:val="0"/>
      <w:szCs w:val="20"/>
      <w:shd w:val="clear" w:color="auto" w:fill="000080"/>
    </w:rPr>
  </w:style>
  <w:style w:type="paragraph" w:customStyle="1" w:styleId="3374">
    <w:name w:val="批注主题1"/>
    <w:basedOn w:val="27"/>
    <w:next w:val="27"/>
    <w:qFormat/>
    <w:uiPriority w:val="0"/>
    <w:pPr>
      <w:adjustRightInd/>
      <w:spacing w:line="240" w:lineRule="auto"/>
      <w:textAlignment w:val="auto"/>
    </w:pPr>
    <w:rPr>
      <w:b/>
      <w:bCs/>
      <w:kern w:val="2"/>
      <w:sz w:val="21"/>
    </w:rPr>
  </w:style>
  <w:style w:type="paragraph" w:customStyle="1" w:styleId="3375">
    <w:name w:val="首行缩进:  2 字符1"/>
    <w:basedOn w:val="1"/>
    <w:qFormat/>
    <w:uiPriority w:val="0"/>
    <w:pPr>
      <w:tabs>
        <w:tab w:val="clear" w:pos="480"/>
      </w:tabs>
      <w:ind w:right="31" w:rightChars="13" w:firstLine="560"/>
      <w:jc w:val="left"/>
    </w:pPr>
    <w:rPr>
      <w:rFonts w:ascii="仿宋_GB2312" w:hAnsi="宋体" w:eastAsia="仿宋_GB2312" w:cs="宋体"/>
      <w:sz w:val="28"/>
      <w:szCs w:val="28"/>
    </w:rPr>
  </w:style>
  <w:style w:type="paragraph" w:customStyle="1" w:styleId="3376">
    <w:name w:val="样式jxy"/>
    <w:basedOn w:val="1"/>
    <w:qFormat/>
    <w:uiPriority w:val="0"/>
    <w:pPr>
      <w:tabs>
        <w:tab w:val="clear" w:pos="480"/>
      </w:tabs>
      <w:spacing w:line="500" w:lineRule="exact"/>
      <w:jc w:val="left"/>
    </w:pPr>
    <w:rPr>
      <w:rFonts w:cs="宋体"/>
      <w:kern w:val="0"/>
      <w:szCs w:val="20"/>
    </w:rPr>
  </w:style>
  <w:style w:type="paragraph" w:customStyle="1" w:styleId="3377">
    <w:name w:val="表格小五"/>
    <w:basedOn w:val="1"/>
    <w:qFormat/>
    <w:uiPriority w:val="0"/>
    <w:pPr>
      <w:tabs>
        <w:tab w:val="clear" w:pos="480"/>
      </w:tabs>
      <w:adjustRightInd w:val="0"/>
      <w:snapToGrid w:val="0"/>
      <w:spacing w:line="240" w:lineRule="exact"/>
      <w:ind w:right="-42" w:rightChars="-20"/>
      <w:jc w:val="center"/>
      <w:textAlignment w:val="baseline"/>
    </w:pPr>
    <w:rPr>
      <w:rFonts w:ascii="宋体" w:hAnsi="宋体"/>
      <w:snapToGrid w:val="0"/>
      <w:color w:val="FF0000"/>
      <w:kern w:val="40"/>
      <w:sz w:val="18"/>
      <w:szCs w:val="18"/>
    </w:rPr>
  </w:style>
  <w:style w:type="paragraph" w:customStyle="1" w:styleId="3378">
    <w:name w:val="修订11"/>
    <w:qFormat/>
    <w:uiPriority w:val="0"/>
    <w:rPr>
      <w:rFonts w:ascii="Times New Roman" w:hAnsi="Times New Roman" w:eastAsia="宋体" w:cs="Times New Roman"/>
      <w:kern w:val="2"/>
      <w:sz w:val="21"/>
      <w:szCs w:val="24"/>
      <w:lang w:val="en-US" w:eastAsia="zh-CN" w:bidi="ar-SA"/>
    </w:rPr>
  </w:style>
  <w:style w:type="paragraph" w:customStyle="1" w:styleId="3379">
    <w:name w:val="图表目录1"/>
    <w:basedOn w:val="1"/>
    <w:next w:val="1"/>
    <w:qFormat/>
    <w:uiPriority w:val="0"/>
    <w:pPr>
      <w:tabs>
        <w:tab w:val="clear" w:pos="480"/>
      </w:tabs>
      <w:spacing w:line="240" w:lineRule="auto"/>
      <w:ind w:left="840" w:leftChars="200" w:hanging="420" w:hangingChars="200"/>
    </w:pPr>
    <w:rPr>
      <w:szCs w:val="20"/>
    </w:rPr>
  </w:style>
  <w:style w:type="paragraph" w:customStyle="1" w:styleId="3380">
    <w:name w:val="正文文本缩进1"/>
    <w:basedOn w:val="1"/>
    <w:qFormat/>
    <w:uiPriority w:val="0"/>
    <w:pPr>
      <w:tabs>
        <w:tab w:val="clear" w:pos="480"/>
      </w:tabs>
      <w:spacing w:line="240" w:lineRule="auto"/>
      <w:ind w:firstLine="570"/>
    </w:pPr>
    <w:rPr>
      <w:sz w:val="28"/>
    </w:rPr>
  </w:style>
  <w:style w:type="paragraph" w:customStyle="1" w:styleId="3381">
    <w:name w:val="列出段落4"/>
    <w:basedOn w:val="1"/>
    <w:qFormat/>
    <w:uiPriority w:val="0"/>
    <w:pPr>
      <w:tabs>
        <w:tab w:val="clear" w:pos="480"/>
      </w:tabs>
      <w:spacing w:afterLines="20"/>
      <w:ind w:firstLine="420"/>
    </w:pPr>
  </w:style>
  <w:style w:type="paragraph" w:customStyle="1" w:styleId="3382">
    <w:name w:val="正文+字体"/>
    <w:basedOn w:val="1"/>
    <w:next w:val="1"/>
    <w:semiHidden/>
    <w:qFormat/>
    <w:uiPriority w:val="0"/>
    <w:pPr>
      <w:tabs>
        <w:tab w:val="clear" w:pos="480"/>
      </w:tabs>
    </w:pPr>
    <w:rPr>
      <w:rFonts w:ascii="宋体" w:hAnsi="宋体" w:cs="宋体"/>
    </w:rPr>
  </w:style>
  <w:style w:type="character" w:customStyle="1" w:styleId="3383">
    <w:name w:val="labeltitle1"/>
    <w:qFormat/>
    <w:uiPriority w:val="0"/>
    <w:rPr>
      <w:b/>
      <w:bCs/>
      <w:sz w:val="39"/>
      <w:szCs w:val="39"/>
    </w:rPr>
  </w:style>
  <w:style w:type="character" w:customStyle="1" w:styleId="3384">
    <w:name w:val="样式 宋体 小四 黑色 Char Char"/>
    <w:qFormat/>
    <w:uiPriority w:val="0"/>
    <w:rPr>
      <w:rFonts w:eastAsia="宋体"/>
      <w:kern w:val="2"/>
      <w:sz w:val="18"/>
      <w:szCs w:val="18"/>
      <w:lang w:val="en-US" w:eastAsia="zh-CN" w:bidi="ar-SA"/>
    </w:rPr>
  </w:style>
  <w:style w:type="character" w:customStyle="1" w:styleId="3385">
    <w:name w:val="ps251"/>
    <w:basedOn w:val="133"/>
    <w:qFormat/>
    <w:uiPriority w:val="0"/>
  </w:style>
  <w:style w:type="character" w:customStyle="1" w:styleId="3386">
    <w:name w:val="newstxt"/>
    <w:basedOn w:val="133"/>
    <w:qFormat/>
    <w:uiPriority w:val="0"/>
  </w:style>
  <w:style w:type="character" w:customStyle="1" w:styleId="3387">
    <w:name w:val="font14px"/>
    <w:basedOn w:val="133"/>
    <w:qFormat/>
    <w:uiPriority w:val="0"/>
  </w:style>
  <w:style w:type="character" w:customStyle="1" w:styleId="3388">
    <w:name w:val="表格题 Char Char"/>
    <w:link w:val="3389"/>
    <w:qFormat/>
    <w:uiPriority w:val="0"/>
    <w:rPr>
      <w:rFonts w:ascii="宋体" w:hAnsi="Courier New" w:eastAsia="黑体"/>
      <w:sz w:val="24"/>
    </w:rPr>
  </w:style>
  <w:style w:type="paragraph" w:customStyle="1" w:styleId="3389">
    <w:name w:val="表格题"/>
    <w:basedOn w:val="45"/>
    <w:link w:val="3388"/>
    <w:qFormat/>
    <w:uiPriority w:val="0"/>
    <w:pPr>
      <w:spacing w:line="360" w:lineRule="auto"/>
    </w:pPr>
    <w:rPr>
      <w:rFonts w:eastAsia="黑体"/>
      <w:kern w:val="0"/>
      <w:sz w:val="24"/>
    </w:rPr>
  </w:style>
  <w:style w:type="character" w:customStyle="1" w:styleId="3390">
    <w:name w:val="Char5 Char Char"/>
    <w:qFormat/>
    <w:uiPriority w:val="0"/>
    <w:rPr>
      <w:rFonts w:eastAsia="宋体"/>
      <w:kern w:val="2"/>
      <w:sz w:val="21"/>
      <w:lang w:val="en-US" w:eastAsia="zh-CN" w:bidi="ar-SA"/>
    </w:rPr>
  </w:style>
  <w:style w:type="character" w:customStyle="1" w:styleId="3391">
    <w:name w:val="Char Char7"/>
    <w:qFormat/>
    <w:uiPriority w:val="0"/>
    <w:rPr>
      <w:rFonts w:eastAsia="宋体"/>
      <w:kern w:val="2"/>
      <w:sz w:val="18"/>
      <w:szCs w:val="18"/>
      <w:lang w:val="en-US" w:eastAsia="zh-CN" w:bidi="ar-SA"/>
    </w:rPr>
  </w:style>
  <w:style w:type="character" w:customStyle="1" w:styleId="3392">
    <w:name w:val="样式 宋体 黑色 加宽量  1 磅"/>
    <w:qFormat/>
    <w:uiPriority w:val="0"/>
    <w:rPr>
      <w:rFonts w:ascii="宋体" w:hAnsi="宋体"/>
      <w:color w:val="000000"/>
      <w:spacing w:val="0"/>
    </w:rPr>
  </w:style>
  <w:style w:type="character" w:customStyle="1" w:styleId="3393">
    <w:name w:val="公标题1 Char Char"/>
    <w:link w:val="3394"/>
    <w:qFormat/>
    <w:uiPriority w:val="0"/>
    <w:rPr>
      <w:rFonts w:ascii="Arial" w:hAnsi="Arial" w:eastAsia="黑体"/>
      <w:sz w:val="36"/>
      <w:szCs w:val="24"/>
    </w:rPr>
  </w:style>
  <w:style w:type="paragraph" w:customStyle="1" w:styleId="3394">
    <w:name w:val="公标题1"/>
    <w:basedOn w:val="1"/>
    <w:link w:val="3393"/>
    <w:qFormat/>
    <w:uiPriority w:val="0"/>
    <w:pPr>
      <w:tabs>
        <w:tab w:val="clear" w:pos="480"/>
      </w:tabs>
      <w:adjustRightInd w:val="0"/>
      <w:snapToGrid w:val="0"/>
      <w:spacing w:before="240" w:after="240" w:line="560" w:lineRule="exact"/>
      <w:outlineLvl w:val="0"/>
    </w:pPr>
    <w:rPr>
      <w:rFonts w:ascii="Arial" w:hAnsi="Arial" w:eastAsia="黑体"/>
      <w:kern w:val="0"/>
      <w:sz w:val="36"/>
    </w:rPr>
  </w:style>
  <w:style w:type="character" w:customStyle="1" w:styleId="3395">
    <w:name w:val="longtext"/>
    <w:basedOn w:val="133"/>
    <w:qFormat/>
    <w:uiPriority w:val="0"/>
  </w:style>
  <w:style w:type="character" w:customStyle="1" w:styleId="3396">
    <w:name w:val="fn org1"/>
    <w:basedOn w:val="133"/>
    <w:qFormat/>
    <w:uiPriority w:val="0"/>
  </w:style>
  <w:style w:type="character" w:customStyle="1" w:styleId="3397">
    <w:name w:val="tj望江正文 Char Char"/>
    <w:link w:val="3398"/>
    <w:qFormat/>
    <w:uiPriority w:val="0"/>
    <w:rPr>
      <w:rFonts w:ascii="华文细黑" w:hAnsi="华文细黑" w:eastAsia="华文细黑"/>
    </w:rPr>
  </w:style>
  <w:style w:type="paragraph" w:customStyle="1" w:styleId="3398">
    <w:name w:val="tj望江正文"/>
    <w:basedOn w:val="1"/>
    <w:link w:val="3397"/>
    <w:qFormat/>
    <w:uiPriority w:val="0"/>
    <w:pPr>
      <w:tabs>
        <w:tab w:val="clear" w:pos="480"/>
      </w:tabs>
      <w:spacing w:line="440" w:lineRule="exact"/>
      <w:ind w:firstLine="420"/>
    </w:pPr>
    <w:rPr>
      <w:rFonts w:ascii="华文细黑" w:hAnsi="华文细黑" w:eastAsia="华文细黑"/>
      <w:kern w:val="0"/>
      <w:sz w:val="20"/>
      <w:szCs w:val="20"/>
    </w:rPr>
  </w:style>
  <w:style w:type="character" w:customStyle="1" w:styleId="3399">
    <w:name w:val="Char3 Char Char"/>
    <w:qFormat/>
    <w:uiPriority w:val="0"/>
    <w:rPr>
      <w:rFonts w:eastAsia="宋体"/>
      <w:kern w:val="2"/>
      <w:sz w:val="21"/>
      <w:lang w:val="en-US" w:eastAsia="zh-CN" w:bidi="ar-SA"/>
    </w:rPr>
  </w:style>
  <w:style w:type="character" w:customStyle="1" w:styleId="3400">
    <w:name w:val="附图和附表等 Char Char"/>
    <w:link w:val="3401"/>
    <w:qFormat/>
    <w:uiPriority w:val="0"/>
    <w:rPr>
      <w:rFonts w:ascii="宋体" w:hAnsi="宋体"/>
      <w:b/>
      <w:sz w:val="18"/>
      <w:szCs w:val="21"/>
    </w:rPr>
  </w:style>
  <w:style w:type="paragraph" w:customStyle="1" w:styleId="3401">
    <w:name w:val="附图和附表等"/>
    <w:basedOn w:val="3402"/>
    <w:link w:val="3400"/>
    <w:qFormat/>
    <w:uiPriority w:val="0"/>
    <w:pPr>
      <w:tabs>
        <w:tab w:val="left" w:pos="44"/>
      </w:tabs>
      <w:spacing w:line="240" w:lineRule="auto"/>
      <w:ind w:right="0" w:rightChars="0"/>
      <w:outlineLvl w:val="0"/>
    </w:pPr>
    <w:rPr>
      <w:szCs w:val="21"/>
    </w:rPr>
  </w:style>
  <w:style w:type="paragraph" w:customStyle="1" w:styleId="3402">
    <w:name w:val="cccccccccc"/>
    <w:basedOn w:val="1"/>
    <w:link w:val="3424"/>
    <w:qFormat/>
    <w:uiPriority w:val="0"/>
    <w:pPr>
      <w:tabs>
        <w:tab w:val="left" w:pos="44"/>
        <w:tab w:val="clear" w:pos="480"/>
      </w:tabs>
      <w:ind w:right="210" w:rightChars="100"/>
      <w:jc w:val="center"/>
      <w:outlineLvl w:val="2"/>
    </w:pPr>
    <w:rPr>
      <w:rFonts w:ascii="宋体" w:hAnsi="宋体"/>
      <w:b/>
      <w:kern w:val="0"/>
      <w:sz w:val="18"/>
      <w:szCs w:val="18"/>
    </w:rPr>
  </w:style>
  <w:style w:type="character" w:customStyle="1" w:styleId="3403">
    <w:name w:val="上海LNG3 Char Char"/>
    <w:link w:val="3353"/>
    <w:qFormat/>
    <w:uiPriority w:val="0"/>
    <w:rPr>
      <w:rFonts w:ascii="Calibri" w:hAnsi="Calibri"/>
      <w:b/>
      <w:kern w:val="28"/>
      <w:sz w:val="24"/>
      <w:szCs w:val="24"/>
    </w:rPr>
  </w:style>
  <w:style w:type="character" w:customStyle="1" w:styleId="3404">
    <w:name w:val="小四 1.5倍行距 首行缩进 Char Char"/>
    <w:link w:val="3405"/>
    <w:qFormat/>
    <w:uiPriority w:val="0"/>
    <w:rPr>
      <w:sz w:val="24"/>
      <w:szCs w:val="24"/>
    </w:rPr>
  </w:style>
  <w:style w:type="paragraph" w:customStyle="1" w:styleId="3405">
    <w:name w:val="小四 1.5倍行距 首行缩进"/>
    <w:basedOn w:val="1"/>
    <w:next w:val="1"/>
    <w:link w:val="3404"/>
    <w:qFormat/>
    <w:uiPriority w:val="0"/>
    <w:pPr>
      <w:tabs>
        <w:tab w:val="clear" w:pos="480"/>
      </w:tabs>
      <w:ind w:firstLine="420"/>
    </w:pPr>
    <w:rPr>
      <w:kern w:val="0"/>
    </w:rPr>
  </w:style>
  <w:style w:type="character" w:customStyle="1" w:styleId="3406">
    <w:name w:val="Char Char18"/>
    <w:qFormat/>
    <w:uiPriority w:val="0"/>
    <w:rPr>
      <w:kern w:val="2"/>
      <w:sz w:val="21"/>
    </w:rPr>
  </w:style>
  <w:style w:type="character" w:customStyle="1" w:styleId="3407">
    <w:name w:val="表名 Char Char"/>
    <w:qFormat/>
    <w:uiPriority w:val="0"/>
    <w:rPr>
      <w:rFonts w:ascii="黑体" w:hAnsi="宋体" w:eastAsia="黑体"/>
      <w:sz w:val="24"/>
      <w:szCs w:val="28"/>
    </w:rPr>
  </w:style>
  <w:style w:type="character" w:customStyle="1" w:styleId="3408">
    <w:name w:val="标题 Char Char"/>
    <w:qFormat/>
    <w:uiPriority w:val="0"/>
    <w:rPr>
      <w:rFonts w:ascii="Arial" w:hAnsi="Arial" w:eastAsia="宋体" w:cs="Arial"/>
      <w:b/>
      <w:bCs/>
      <w:sz w:val="32"/>
      <w:szCs w:val="32"/>
      <w:lang w:val="en-US" w:eastAsia="zh-CN" w:bidi="ar-SA"/>
    </w:rPr>
  </w:style>
  <w:style w:type="character" w:customStyle="1" w:styleId="3409">
    <w:name w:val="haydonli Char Char"/>
    <w:link w:val="3410"/>
    <w:qFormat/>
    <w:uiPriority w:val="0"/>
    <w:rPr>
      <w:snapToGrid w:val="0"/>
      <w:sz w:val="24"/>
      <w:szCs w:val="24"/>
    </w:rPr>
  </w:style>
  <w:style w:type="paragraph" w:customStyle="1" w:styleId="3410">
    <w:name w:val="haydonli"/>
    <w:basedOn w:val="1"/>
    <w:link w:val="3409"/>
    <w:qFormat/>
    <w:uiPriority w:val="0"/>
    <w:pPr>
      <w:tabs>
        <w:tab w:val="clear" w:pos="480"/>
      </w:tabs>
      <w:snapToGrid w:val="0"/>
    </w:pPr>
    <w:rPr>
      <w:snapToGrid w:val="0"/>
      <w:kern w:val="0"/>
    </w:rPr>
  </w:style>
  <w:style w:type="character" w:customStyle="1" w:styleId="3411">
    <w:name w:val="Sottoparagrafo Char Char"/>
    <w:qFormat/>
    <w:uiPriority w:val="0"/>
    <w:rPr>
      <w:rFonts w:ascii="黑体" w:eastAsia="黑体"/>
      <w:snapToGrid w:val="0"/>
      <w:sz w:val="24"/>
      <w:szCs w:val="32"/>
      <w:lang w:val="en-US" w:eastAsia="zh-CN" w:bidi="ar-SA"/>
    </w:rPr>
  </w:style>
  <w:style w:type="character" w:customStyle="1" w:styleId="3412">
    <w:name w:val="Char2 Char Char"/>
    <w:qFormat/>
    <w:uiPriority w:val="0"/>
    <w:rPr>
      <w:rFonts w:ascii="Arial" w:hAnsi="Arial" w:eastAsia="宋体" w:cs="Arial"/>
      <w:vanish/>
      <w:kern w:val="2"/>
      <w:sz w:val="16"/>
      <w:szCs w:val="16"/>
      <w:lang w:val="en-US" w:eastAsia="zh-CN" w:bidi="ar-SA"/>
    </w:rPr>
  </w:style>
  <w:style w:type="character" w:customStyle="1" w:styleId="3413">
    <w:name w:val="花3 Char Char"/>
    <w:link w:val="3414"/>
    <w:qFormat/>
    <w:uiPriority w:val="0"/>
    <w:rPr>
      <w:b/>
      <w:sz w:val="24"/>
      <w:szCs w:val="24"/>
    </w:rPr>
  </w:style>
  <w:style w:type="paragraph" w:customStyle="1" w:styleId="3414">
    <w:name w:val="花3"/>
    <w:basedOn w:val="1"/>
    <w:link w:val="3413"/>
    <w:qFormat/>
    <w:uiPriority w:val="0"/>
    <w:pPr>
      <w:tabs>
        <w:tab w:val="left" w:pos="720"/>
        <w:tab w:val="clear" w:pos="480"/>
      </w:tabs>
      <w:outlineLvl w:val="2"/>
    </w:pPr>
    <w:rPr>
      <w:b/>
      <w:kern w:val="0"/>
    </w:rPr>
  </w:style>
  <w:style w:type="character" w:customStyle="1" w:styleId="3415">
    <w:name w:val="z-窗体底端 Char"/>
    <w:link w:val="544"/>
    <w:qFormat/>
    <w:uiPriority w:val="0"/>
    <w:rPr>
      <w:rFonts w:ascii="Arial" w:hAnsi="Arial" w:cs="Arial"/>
      <w:vanish/>
      <w:sz w:val="16"/>
      <w:szCs w:val="16"/>
    </w:rPr>
  </w:style>
  <w:style w:type="character" w:customStyle="1" w:styleId="3416">
    <w:name w:val="上海LNG2 Char Char"/>
    <w:link w:val="3355"/>
    <w:qFormat/>
    <w:uiPriority w:val="0"/>
    <w:rPr>
      <w:rFonts w:ascii="Calibri" w:hAnsi="Calibri"/>
      <w:b/>
      <w:kern w:val="2"/>
      <w:sz w:val="24"/>
      <w:szCs w:val="24"/>
    </w:rPr>
  </w:style>
  <w:style w:type="character" w:customStyle="1" w:styleId="3417">
    <w:name w:val="i3"/>
    <w:qFormat/>
    <w:uiPriority w:val="0"/>
    <w:rPr>
      <w:i/>
      <w:iCs/>
    </w:rPr>
  </w:style>
  <w:style w:type="character" w:customStyle="1" w:styleId="3418">
    <w:name w:val="ourfont2"/>
    <w:basedOn w:val="133"/>
    <w:qFormat/>
    <w:uiPriority w:val="0"/>
  </w:style>
  <w:style w:type="character" w:customStyle="1" w:styleId="3419">
    <w:name w:val="表内字 Char Char"/>
    <w:link w:val="243"/>
    <w:qFormat/>
    <w:uiPriority w:val="0"/>
    <w:rPr>
      <w:sz w:val="24"/>
    </w:rPr>
  </w:style>
  <w:style w:type="character" w:customStyle="1" w:styleId="3420">
    <w:name w:val="列表 Char1"/>
    <w:link w:val="66"/>
    <w:qFormat/>
    <w:uiPriority w:val="0"/>
    <w:rPr>
      <w:kern w:val="2"/>
      <w:sz w:val="21"/>
      <w:szCs w:val="24"/>
    </w:rPr>
  </w:style>
  <w:style w:type="character" w:customStyle="1" w:styleId="3421">
    <w:name w:val="Char7 Char Char"/>
    <w:qFormat/>
    <w:uiPriority w:val="0"/>
    <w:rPr>
      <w:rFonts w:eastAsia="宋体"/>
      <w:kern w:val="2"/>
      <w:sz w:val="24"/>
      <w:szCs w:val="24"/>
      <w:lang w:val="en-US" w:eastAsia="zh-CN" w:bidi="ar-SA"/>
    </w:rPr>
  </w:style>
  <w:style w:type="character" w:customStyle="1" w:styleId="3422">
    <w:name w:val="报告标题2 Char Char"/>
    <w:link w:val="3423"/>
    <w:qFormat/>
    <w:uiPriority w:val="0"/>
    <w:rPr>
      <w:b/>
      <w:bCs/>
      <w:kern w:val="2"/>
      <w:sz w:val="28"/>
      <w:szCs w:val="28"/>
    </w:rPr>
  </w:style>
  <w:style w:type="paragraph" w:customStyle="1" w:styleId="3423">
    <w:name w:val="报告标题2"/>
    <w:basedOn w:val="4"/>
    <w:link w:val="3422"/>
    <w:qFormat/>
    <w:uiPriority w:val="0"/>
    <w:pPr>
      <w:keepNext w:val="0"/>
      <w:keepLines w:val="0"/>
      <w:numPr>
        <w:ilvl w:val="0"/>
        <w:numId w:val="0"/>
      </w:numPr>
      <w:tabs>
        <w:tab w:val="clear" w:pos="480"/>
        <w:tab w:val="clear" w:pos="840"/>
      </w:tabs>
      <w:spacing w:before="0" w:beforeLines="100" w:after="0" w:line="240" w:lineRule="auto"/>
      <w:ind w:firstLine="200" w:firstLineChars="200"/>
      <w:outlineLvl w:val="1"/>
    </w:pPr>
    <w:rPr>
      <w:rFonts w:ascii="Times New Roman" w:eastAsia="宋体"/>
      <w:sz w:val="28"/>
      <w:szCs w:val="28"/>
      <w:lang w:val="en-US"/>
    </w:rPr>
  </w:style>
  <w:style w:type="character" w:customStyle="1" w:styleId="3424">
    <w:name w:val="cccccccccc Char Char"/>
    <w:link w:val="3402"/>
    <w:qFormat/>
    <w:uiPriority w:val="0"/>
    <w:rPr>
      <w:rFonts w:ascii="宋体" w:hAnsi="宋体"/>
      <w:b/>
      <w:sz w:val="18"/>
      <w:szCs w:val="18"/>
    </w:rPr>
  </w:style>
  <w:style w:type="character" w:customStyle="1" w:styleId="3425">
    <w:name w:val="正文QQ Char Char"/>
    <w:link w:val="3426"/>
    <w:qFormat/>
    <w:uiPriority w:val="0"/>
    <w:rPr>
      <w:rFonts w:hAnsi="宋体" w:cs="宋体"/>
      <w:color w:val="000000"/>
      <w:sz w:val="28"/>
    </w:rPr>
  </w:style>
  <w:style w:type="paragraph" w:customStyle="1" w:styleId="3426">
    <w:name w:val="正文QQ"/>
    <w:basedOn w:val="1"/>
    <w:link w:val="3425"/>
    <w:qFormat/>
    <w:uiPriority w:val="0"/>
    <w:pPr>
      <w:tabs>
        <w:tab w:val="clear" w:pos="480"/>
      </w:tabs>
      <w:spacing w:line="520" w:lineRule="exact"/>
      <w:ind w:firstLine="560"/>
    </w:pPr>
    <w:rPr>
      <w:rFonts w:hAnsi="宋体" w:cs="宋体"/>
      <w:color w:val="000000"/>
      <w:kern w:val="0"/>
      <w:sz w:val="28"/>
      <w:szCs w:val="20"/>
    </w:rPr>
  </w:style>
  <w:style w:type="character" w:customStyle="1" w:styleId="3427">
    <w:name w:val="正文，zg Char Char"/>
    <w:link w:val="3428"/>
    <w:qFormat/>
    <w:uiPriority w:val="0"/>
    <w:rPr>
      <w:rFonts w:ascii="宋体" w:hAnsi="宋体"/>
      <w:sz w:val="28"/>
      <w:szCs w:val="28"/>
    </w:rPr>
  </w:style>
  <w:style w:type="paragraph" w:customStyle="1" w:styleId="3428">
    <w:name w:val="正文，zg"/>
    <w:link w:val="3427"/>
    <w:qFormat/>
    <w:uiPriority w:val="0"/>
    <w:pPr>
      <w:adjustRightInd w:val="0"/>
      <w:snapToGrid w:val="0"/>
      <w:spacing w:line="360" w:lineRule="auto"/>
      <w:ind w:firstLine="549" w:firstLineChars="196"/>
      <w:jc w:val="both"/>
    </w:pPr>
    <w:rPr>
      <w:rFonts w:ascii="宋体" w:hAnsi="宋体" w:eastAsia="宋体" w:cs="Times New Roman"/>
      <w:kern w:val="2"/>
      <w:sz w:val="28"/>
      <w:szCs w:val="28"/>
      <w:lang w:val="en-US" w:eastAsia="zh-CN" w:bidi="ar-SA"/>
    </w:rPr>
  </w:style>
  <w:style w:type="character" w:customStyle="1" w:styleId="3429">
    <w:name w:val="text-14"/>
    <w:basedOn w:val="133"/>
    <w:qFormat/>
    <w:uiPriority w:val="0"/>
  </w:style>
  <w:style w:type="character" w:customStyle="1" w:styleId="3430">
    <w:name w:val="Char8 Char Char"/>
    <w:qFormat/>
    <w:uiPriority w:val="0"/>
    <w:rPr>
      <w:rFonts w:eastAsia="宋体"/>
      <w:kern w:val="2"/>
      <w:sz w:val="21"/>
      <w:lang w:val="en-US" w:eastAsia="zh-CN" w:bidi="ar-SA"/>
    </w:rPr>
  </w:style>
  <w:style w:type="character" w:customStyle="1" w:styleId="3431">
    <w:name w:val="标题 1 Char2 Char"/>
    <w:qFormat/>
    <w:uiPriority w:val="0"/>
    <w:rPr>
      <w:rFonts w:ascii="黑体" w:eastAsia="黑体"/>
      <w:snapToGrid w:val="0"/>
      <w:kern w:val="2"/>
      <w:sz w:val="44"/>
      <w:szCs w:val="44"/>
      <w:lang w:val="en-US" w:eastAsia="zh-CN" w:bidi="ar-SA"/>
    </w:rPr>
  </w:style>
  <w:style w:type="character" w:customStyle="1" w:styleId="3432">
    <w:name w:val="hb1 Char Char"/>
    <w:link w:val="3433"/>
    <w:qFormat/>
    <w:uiPriority w:val="0"/>
    <w:rPr>
      <w:rFonts w:eastAsia="楷体_GB2312"/>
      <w:color w:val="000000"/>
      <w:sz w:val="24"/>
    </w:rPr>
  </w:style>
  <w:style w:type="paragraph" w:customStyle="1" w:styleId="3433">
    <w:name w:val="hb1"/>
    <w:basedOn w:val="1"/>
    <w:link w:val="3432"/>
    <w:qFormat/>
    <w:uiPriority w:val="0"/>
    <w:pPr>
      <w:tabs>
        <w:tab w:val="clear" w:pos="480"/>
      </w:tabs>
      <w:spacing w:line="460" w:lineRule="exact"/>
      <w:ind w:firstLine="482"/>
    </w:pPr>
    <w:rPr>
      <w:rFonts w:eastAsia="楷体_GB2312"/>
      <w:color w:val="000000"/>
      <w:kern w:val="0"/>
      <w:szCs w:val="20"/>
    </w:rPr>
  </w:style>
  <w:style w:type="character" w:customStyle="1" w:styleId="3434">
    <w:name w:val="xl24 Char Char"/>
    <w:link w:val="188"/>
    <w:qFormat/>
    <w:uiPriority w:val="0"/>
    <w:rPr>
      <w:rFonts w:ascii="仿宋_GB2312" w:hAnsi="Arial Unicode MS" w:eastAsia="仿宋_GB2312" w:cs="Arial Unicode MS"/>
      <w:sz w:val="21"/>
      <w:szCs w:val="21"/>
    </w:rPr>
  </w:style>
  <w:style w:type="character" w:customStyle="1" w:styleId="3435">
    <w:name w:val="样式 报告正文 + 首行缩进:  2 字符 Char Char"/>
    <w:link w:val="3436"/>
    <w:qFormat/>
    <w:uiPriority w:val="0"/>
    <w:rPr>
      <w:rFonts w:cs="宋体"/>
      <w:sz w:val="24"/>
    </w:rPr>
  </w:style>
  <w:style w:type="paragraph" w:customStyle="1" w:styleId="3436">
    <w:name w:val="样式 报告正文 + 首行缩进:  2 字符"/>
    <w:basedOn w:val="1"/>
    <w:link w:val="3435"/>
    <w:qFormat/>
    <w:uiPriority w:val="0"/>
    <w:pPr>
      <w:tabs>
        <w:tab w:val="clear" w:pos="480"/>
      </w:tabs>
      <w:autoSpaceDE w:val="0"/>
      <w:autoSpaceDN w:val="0"/>
    </w:pPr>
    <w:rPr>
      <w:rFonts w:cs="宋体"/>
      <w:kern w:val="0"/>
      <w:szCs w:val="20"/>
    </w:rPr>
  </w:style>
  <w:style w:type="character" w:customStyle="1" w:styleId="3437">
    <w:name w:val="wxx3"/>
    <w:qFormat/>
    <w:uiPriority w:val="0"/>
    <w:rPr>
      <w:rFonts w:ascii="黑体" w:eastAsia="黑体"/>
      <w:b/>
      <w:bCs/>
      <w:sz w:val="28"/>
      <w:szCs w:val="30"/>
    </w:rPr>
  </w:style>
  <w:style w:type="character" w:customStyle="1" w:styleId="3438">
    <w:name w:val="datatitle"/>
    <w:basedOn w:val="133"/>
    <w:qFormat/>
    <w:uiPriority w:val="0"/>
  </w:style>
  <w:style w:type="character" w:customStyle="1" w:styleId="3439">
    <w:name w:val="Char4 Char Char"/>
    <w:qFormat/>
    <w:uiPriority w:val="0"/>
    <w:rPr>
      <w:rFonts w:eastAsia="宋体"/>
      <w:kern w:val="2"/>
      <w:sz w:val="21"/>
      <w:lang w:val="en-US" w:eastAsia="zh-CN" w:bidi="ar-SA"/>
    </w:rPr>
  </w:style>
  <w:style w:type="character" w:customStyle="1" w:styleId="3440">
    <w:name w:val="报告标题3 Char Char"/>
    <w:link w:val="3441"/>
    <w:qFormat/>
    <w:uiPriority w:val="0"/>
    <w:rPr>
      <w:b/>
      <w:bCs/>
      <w:kern w:val="2"/>
      <w:sz w:val="24"/>
      <w:szCs w:val="24"/>
    </w:rPr>
  </w:style>
  <w:style w:type="paragraph" w:customStyle="1" w:styleId="3441">
    <w:name w:val="报告标题3"/>
    <w:basedOn w:val="3423"/>
    <w:link w:val="3440"/>
    <w:qFormat/>
    <w:uiPriority w:val="0"/>
    <w:pPr>
      <w:outlineLvl w:val="2"/>
    </w:pPr>
    <w:rPr>
      <w:sz w:val="24"/>
      <w:szCs w:val="24"/>
    </w:rPr>
  </w:style>
  <w:style w:type="character" w:customStyle="1" w:styleId="3442">
    <w:name w:val="列表 Char"/>
    <w:qFormat/>
    <w:uiPriority w:val="0"/>
    <w:rPr>
      <w:rFonts w:eastAsia="黑体"/>
      <w:kern w:val="2"/>
      <w:sz w:val="22"/>
      <w:lang w:val="en-US" w:eastAsia="zh-CN"/>
    </w:rPr>
  </w:style>
  <w:style w:type="character" w:customStyle="1" w:styleId="3443">
    <w:name w:val="标题1居中 Char Char"/>
    <w:link w:val="3444"/>
    <w:qFormat/>
    <w:uiPriority w:val="0"/>
    <w:rPr>
      <w:rFonts w:ascii="黑体" w:eastAsia="黑体"/>
      <w:bCs/>
      <w:sz w:val="44"/>
    </w:rPr>
  </w:style>
  <w:style w:type="paragraph" w:customStyle="1" w:styleId="3444">
    <w:name w:val="标题1居中"/>
    <w:basedOn w:val="2"/>
    <w:link w:val="3443"/>
    <w:qFormat/>
    <w:uiPriority w:val="0"/>
    <w:pPr>
      <w:pageBreakBefore/>
      <w:numPr>
        <w:numId w:val="0"/>
      </w:numPr>
      <w:tabs>
        <w:tab w:val="left" w:pos="4144"/>
        <w:tab w:val="clear" w:pos="480"/>
      </w:tabs>
      <w:adjustRightInd w:val="0"/>
      <w:snapToGrid w:val="0"/>
      <w:spacing w:before="0" w:beforeLines="200" w:after="0" w:afterLines="100"/>
      <w:ind w:firstLine="480" w:firstLineChars="200"/>
      <w:jc w:val="center"/>
    </w:pPr>
    <w:rPr>
      <w:rFonts w:ascii="黑体" w:eastAsia="黑体"/>
      <w:b w:val="0"/>
      <w:kern w:val="0"/>
      <w:sz w:val="44"/>
      <w:szCs w:val="20"/>
      <w:lang w:val="en-US"/>
    </w:rPr>
  </w:style>
  <w:style w:type="character" w:customStyle="1" w:styleId="3445">
    <w:name w:val="text Char Char Char Char Char Char"/>
    <w:link w:val="3446"/>
    <w:qFormat/>
    <w:uiPriority w:val="0"/>
    <w:rPr>
      <w:rFonts w:ascii="黑体"/>
      <w:sz w:val="28"/>
      <w:szCs w:val="24"/>
    </w:rPr>
  </w:style>
  <w:style w:type="paragraph" w:customStyle="1" w:styleId="3446">
    <w:name w:val="text Char Char Char Char"/>
    <w:basedOn w:val="1"/>
    <w:link w:val="3445"/>
    <w:qFormat/>
    <w:uiPriority w:val="0"/>
    <w:pPr>
      <w:tabs>
        <w:tab w:val="clear" w:pos="480"/>
      </w:tabs>
      <w:ind w:firstLine="563"/>
    </w:pPr>
    <w:rPr>
      <w:rFonts w:ascii="黑体"/>
      <w:kern w:val="0"/>
      <w:sz w:val="28"/>
    </w:rPr>
  </w:style>
  <w:style w:type="character" w:customStyle="1" w:styleId="3447">
    <w:name w:val="正文样式 Char Char Char Char"/>
    <w:link w:val="3448"/>
    <w:qFormat/>
    <w:uiPriority w:val="0"/>
    <w:rPr>
      <w:rFonts w:cs="宋体"/>
      <w:sz w:val="24"/>
      <w:szCs w:val="24"/>
    </w:rPr>
  </w:style>
  <w:style w:type="paragraph" w:customStyle="1" w:styleId="3448">
    <w:name w:val="正文样式 Char Char"/>
    <w:basedOn w:val="86"/>
    <w:link w:val="3447"/>
    <w:qFormat/>
    <w:uiPriority w:val="0"/>
    <w:pPr>
      <w:topLinePunct/>
      <w:spacing w:after="0" w:line="300" w:lineRule="auto"/>
      <w:ind w:firstLine="200" w:firstLineChars="200"/>
    </w:pPr>
    <w:rPr>
      <w:rFonts w:cs="宋体"/>
      <w:kern w:val="0"/>
      <w:sz w:val="24"/>
    </w:rPr>
  </w:style>
  <w:style w:type="character" w:customStyle="1" w:styleId="3449">
    <w:name w:val="surname"/>
    <w:basedOn w:val="133"/>
    <w:qFormat/>
    <w:uiPriority w:val="0"/>
  </w:style>
  <w:style w:type="character" w:customStyle="1" w:styleId="3450">
    <w:name w:val="hj"/>
    <w:basedOn w:val="133"/>
    <w:qFormat/>
    <w:uiPriority w:val="0"/>
  </w:style>
  <w:style w:type="character" w:customStyle="1" w:styleId="3451">
    <w:name w:val="Char6 Char Char"/>
    <w:qFormat/>
    <w:uiPriority w:val="0"/>
    <w:rPr>
      <w:rFonts w:eastAsia="宋体"/>
      <w:kern w:val="2"/>
      <w:sz w:val="18"/>
      <w:szCs w:val="18"/>
      <w:lang w:val="en-US" w:eastAsia="zh-CN" w:bidi="ar-SA"/>
    </w:rPr>
  </w:style>
  <w:style w:type="character" w:customStyle="1" w:styleId="3452">
    <w:name w:val="Char9 Char Char"/>
    <w:qFormat/>
    <w:uiPriority w:val="0"/>
    <w:rPr>
      <w:rFonts w:eastAsia="宋体"/>
      <w:kern w:val="2"/>
      <w:sz w:val="18"/>
      <w:lang w:val="en-US" w:eastAsia="zh-CN" w:bidi="ar-SA"/>
    </w:rPr>
  </w:style>
  <w:style w:type="character" w:customStyle="1" w:styleId="3453">
    <w:name w:val="上海LNG1 Char Char"/>
    <w:link w:val="3354"/>
    <w:qFormat/>
    <w:uiPriority w:val="0"/>
    <w:rPr>
      <w:rFonts w:ascii="Calibri" w:hAnsi="Calibri"/>
      <w:b/>
      <w:kern w:val="2"/>
      <w:sz w:val="24"/>
      <w:szCs w:val="24"/>
    </w:rPr>
  </w:style>
  <w:style w:type="character" w:customStyle="1" w:styleId="3454">
    <w:name w:val="正文1 Char1"/>
    <w:qFormat/>
    <w:uiPriority w:val="0"/>
    <w:rPr>
      <w:rFonts w:ascii="Times New Roman" w:hAnsi="Times New Roman" w:eastAsia="仿宋_GB2312" w:cs="Times New Roman"/>
      <w:sz w:val="28"/>
      <w:szCs w:val="28"/>
    </w:rPr>
  </w:style>
  <w:style w:type="character" w:customStyle="1" w:styleId="3455">
    <w:name w:val="样式 首行缩进:  2 字符2 Char Char"/>
    <w:link w:val="1101"/>
    <w:qFormat/>
    <w:uiPriority w:val="0"/>
    <w:rPr>
      <w:rFonts w:ascii="宋体" w:hAnsi="宋体" w:cs="宋体"/>
      <w:sz w:val="24"/>
      <w:szCs w:val="28"/>
    </w:rPr>
  </w:style>
  <w:style w:type="character" w:customStyle="1" w:styleId="3456">
    <w:name w:val="样式 标题 2 + 红色 Char Char"/>
    <w:qFormat/>
    <w:uiPriority w:val="0"/>
    <w:rPr>
      <w:rFonts w:ascii="Arial" w:hAnsi="Arial" w:eastAsia="黑体"/>
      <w:b/>
      <w:bCs/>
      <w:color w:val="FF0000"/>
      <w:spacing w:val="20"/>
      <w:kern w:val="2"/>
      <w:sz w:val="30"/>
      <w:lang w:val="en-US" w:eastAsia="zh-CN" w:bidi="ar-SA"/>
    </w:rPr>
  </w:style>
  <w:style w:type="character" w:customStyle="1" w:styleId="3457">
    <w:name w:val="c11"/>
    <w:qFormat/>
    <w:uiPriority w:val="0"/>
    <w:rPr>
      <w:rFonts w:hint="default" w:ascii="Arial" w:hAnsi="Arial" w:cs="Arial"/>
      <w:color w:val="000000"/>
      <w:sz w:val="21"/>
      <w:szCs w:val="21"/>
      <w:u w:val="none"/>
    </w:rPr>
  </w:style>
  <w:style w:type="character" w:customStyle="1" w:styleId="3458">
    <w:name w:val="样式 正文缩进文本条款表格标题正文（首行缩进两字） Char Char Char Char Char Char Char... Char Char"/>
    <w:link w:val="3459"/>
    <w:qFormat/>
    <w:uiPriority w:val="0"/>
    <w:rPr>
      <w:rFonts w:cs="宋体"/>
      <w:bCs/>
      <w:sz w:val="28"/>
    </w:rPr>
  </w:style>
  <w:style w:type="paragraph" w:customStyle="1" w:styleId="3459">
    <w:name w:val="样式 正文缩进文本条款表格标题正文（首行缩进两字） Char Char Char Char Char Char Char..."/>
    <w:basedOn w:val="20"/>
    <w:link w:val="3458"/>
    <w:qFormat/>
    <w:uiPriority w:val="0"/>
    <w:pPr>
      <w:tabs>
        <w:tab w:val="left" w:pos="283"/>
        <w:tab w:val="clear" w:pos="480"/>
      </w:tabs>
      <w:adjustRightInd w:val="0"/>
      <w:snapToGrid w:val="0"/>
      <w:spacing w:line="520" w:lineRule="atLeast"/>
      <w:ind w:firstLine="200"/>
    </w:pPr>
    <w:rPr>
      <w:rFonts w:cs="宋体"/>
      <w:bCs/>
      <w:kern w:val="0"/>
      <w:sz w:val="28"/>
      <w:szCs w:val="20"/>
    </w:rPr>
  </w:style>
  <w:style w:type="character" w:customStyle="1" w:styleId="3460">
    <w:name w:val="样式 宋体 小四 Char"/>
    <w:qFormat/>
    <w:uiPriority w:val="0"/>
    <w:rPr>
      <w:rFonts w:ascii="宋体" w:hAnsi="宋体" w:eastAsia="宋体"/>
      <w:kern w:val="2"/>
      <w:sz w:val="24"/>
      <w:szCs w:val="24"/>
      <w:lang w:val="en-US" w:eastAsia="zh-CN" w:bidi="ar-SA"/>
    </w:rPr>
  </w:style>
  <w:style w:type="character" w:customStyle="1" w:styleId="3461">
    <w:name w:val="表中文字 Char1"/>
    <w:link w:val="816"/>
    <w:qFormat/>
    <w:uiPriority w:val="0"/>
    <w:rPr>
      <w:kern w:val="2"/>
      <w:sz w:val="21"/>
      <w:szCs w:val="24"/>
    </w:rPr>
  </w:style>
  <w:style w:type="character" w:customStyle="1" w:styleId="3462">
    <w:name w:val="Char11 Char Char"/>
    <w:qFormat/>
    <w:uiPriority w:val="0"/>
    <w:rPr>
      <w:rFonts w:eastAsia="宋体"/>
      <w:kern w:val="2"/>
      <w:sz w:val="21"/>
      <w:lang w:val="en-US" w:eastAsia="zh-CN" w:bidi="ar-SA"/>
    </w:rPr>
  </w:style>
  <w:style w:type="character" w:customStyle="1" w:styleId="3463">
    <w:name w:val="Char10 Char Char"/>
    <w:qFormat/>
    <w:uiPriority w:val="0"/>
    <w:rPr>
      <w:rFonts w:eastAsia="宋体"/>
      <w:kern w:val="2"/>
      <w:sz w:val="18"/>
      <w:lang w:val="en-US" w:eastAsia="zh-CN" w:bidi="ar-SA"/>
    </w:rPr>
  </w:style>
  <w:style w:type="character" w:customStyle="1" w:styleId="3464">
    <w:name w:val="正文new Char Char"/>
    <w:link w:val="3465"/>
    <w:qFormat/>
    <w:uiPriority w:val="0"/>
    <w:rPr>
      <w:color w:val="000000"/>
      <w:sz w:val="24"/>
      <w:szCs w:val="24"/>
    </w:rPr>
  </w:style>
  <w:style w:type="paragraph" w:customStyle="1" w:styleId="3465">
    <w:name w:val="正文new"/>
    <w:basedOn w:val="1"/>
    <w:next w:val="1"/>
    <w:link w:val="3464"/>
    <w:qFormat/>
    <w:uiPriority w:val="0"/>
    <w:pPr>
      <w:tabs>
        <w:tab w:val="clear" w:pos="480"/>
      </w:tabs>
      <w:adjustRightInd w:val="0"/>
      <w:snapToGrid w:val="0"/>
      <w:ind w:firstLine="480"/>
    </w:pPr>
    <w:rPr>
      <w:color w:val="000000"/>
      <w:kern w:val="0"/>
    </w:rPr>
  </w:style>
  <w:style w:type="paragraph" w:customStyle="1" w:styleId="3466">
    <w:name w:val="首行缩进:  5 字符"/>
    <w:basedOn w:val="1"/>
    <w:qFormat/>
    <w:uiPriority w:val="0"/>
    <w:pPr>
      <w:tabs>
        <w:tab w:val="clear" w:pos="480"/>
      </w:tabs>
      <w:ind w:firstLine="1200" w:firstLineChars="500"/>
    </w:pPr>
    <w:rPr>
      <w:rFonts w:cs="宋体"/>
      <w:kern w:val="0"/>
      <w:szCs w:val="20"/>
    </w:rPr>
  </w:style>
  <w:style w:type="character" w:customStyle="1" w:styleId="3467">
    <w:name w:val="HTML 预设格式 Char1"/>
    <w:link w:val="80"/>
    <w:qFormat/>
    <w:uiPriority w:val="0"/>
    <w:rPr>
      <w:rFonts w:ascii="宋体" w:hAnsi="宋体" w:cs="宋体"/>
      <w:sz w:val="24"/>
      <w:szCs w:val="24"/>
    </w:rPr>
  </w:style>
  <w:style w:type="paragraph" w:customStyle="1" w:styleId="3468">
    <w:name w:val="责任表"/>
    <w:basedOn w:val="1"/>
    <w:qFormat/>
    <w:uiPriority w:val="0"/>
    <w:pPr>
      <w:tabs>
        <w:tab w:val="clear" w:pos="480"/>
      </w:tabs>
      <w:ind w:firstLine="480"/>
      <w:jc w:val="center"/>
    </w:pPr>
    <w:rPr>
      <w:b/>
      <w:bCs/>
      <w:caps/>
      <w:snapToGrid w:val="0"/>
      <w:kern w:val="10"/>
      <w:sz w:val="36"/>
      <w:szCs w:val="20"/>
    </w:rPr>
  </w:style>
  <w:style w:type="paragraph" w:customStyle="1" w:styleId="3469">
    <w:name w:val="样式 样式1 + 首行缩进:  2 字符"/>
    <w:basedOn w:val="1"/>
    <w:qFormat/>
    <w:uiPriority w:val="0"/>
    <w:pPr>
      <w:tabs>
        <w:tab w:val="clear" w:pos="480"/>
      </w:tabs>
      <w:spacing w:line="440" w:lineRule="atLeast"/>
      <w:ind w:firstLine="480"/>
    </w:pPr>
    <w:rPr>
      <w:szCs w:val="20"/>
    </w:rPr>
  </w:style>
  <w:style w:type="paragraph" w:customStyle="1" w:styleId="3470">
    <w:name w:val="样式 单位 + 首行缩进:  2 字符 右侧:  0.63 厘米"/>
    <w:basedOn w:val="3471"/>
    <w:qFormat/>
    <w:uiPriority w:val="0"/>
    <w:pPr>
      <w:tabs>
        <w:tab w:val="left" w:pos="4144"/>
      </w:tabs>
      <w:ind w:right="360" w:firstLine="480"/>
    </w:pPr>
    <w:rPr>
      <w:rFonts w:cs="宋体"/>
      <w:sz w:val="21"/>
      <w:szCs w:val="21"/>
    </w:rPr>
  </w:style>
  <w:style w:type="paragraph" w:customStyle="1" w:styleId="3471">
    <w:name w:val="单位"/>
    <w:basedOn w:val="1"/>
    <w:qFormat/>
    <w:uiPriority w:val="0"/>
    <w:pPr>
      <w:tabs>
        <w:tab w:val="left" w:pos="4144"/>
        <w:tab w:val="clear" w:pos="480"/>
      </w:tabs>
      <w:adjustRightInd w:val="0"/>
      <w:snapToGrid w:val="0"/>
      <w:spacing w:beforeLines="50" w:afterLines="50" w:line="0" w:lineRule="atLeast"/>
      <w:ind w:firstLine="595"/>
      <w:jc w:val="right"/>
    </w:pPr>
    <w:rPr>
      <w:rFonts w:eastAsia="黑体"/>
      <w:color w:val="000000"/>
      <w:kern w:val="0"/>
      <w:szCs w:val="20"/>
    </w:rPr>
  </w:style>
  <w:style w:type="paragraph" w:customStyle="1" w:styleId="3472">
    <w:name w:val="样式 宋体 加宽量  1 磅 首行缩进:  6 字符"/>
    <w:basedOn w:val="1"/>
    <w:qFormat/>
    <w:uiPriority w:val="0"/>
    <w:pPr>
      <w:tabs>
        <w:tab w:val="clear" w:pos="480"/>
      </w:tabs>
      <w:ind w:firstLine="1680" w:firstLineChars="600"/>
    </w:pPr>
    <w:rPr>
      <w:rFonts w:ascii="宋体" w:hAnsi="宋体" w:cs="宋体"/>
      <w:kern w:val="0"/>
    </w:rPr>
  </w:style>
  <w:style w:type="paragraph" w:customStyle="1" w:styleId="3473">
    <w:name w:val="表格五号"/>
    <w:basedOn w:val="1"/>
    <w:qFormat/>
    <w:uiPriority w:val="0"/>
    <w:pPr>
      <w:tabs>
        <w:tab w:val="clear" w:pos="480"/>
      </w:tabs>
      <w:adjustRightInd w:val="0"/>
      <w:snapToGrid w:val="0"/>
    </w:pPr>
    <w:rPr>
      <w:rFonts w:ascii="宋体" w:hAnsi="宋体"/>
      <w:szCs w:val="21"/>
    </w:rPr>
  </w:style>
  <w:style w:type="paragraph" w:customStyle="1" w:styleId="3474">
    <w:name w:val="Char Char Char2 Char"/>
    <w:basedOn w:val="1"/>
    <w:qFormat/>
    <w:uiPriority w:val="0"/>
    <w:pPr>
      <w:tabs>
        <w:tab w:val="clear" w:pos="480"/>
      </w:tabs>
    </w:pPr>
  </w:style>
  <w:style w:type="paragraph" w:customStyle="1" w:styleId="3475">
    <w:name w:val="默认段落字体 Para Char Char Char1 Char"/>
    <w:basedOn w:val="1"/>
    <w:qFormat/>
    <w:uiPriority w:val="0"/>
    <w:pPr>
      <w:tabs>
        <w:tab w:val="clear" w:pos="480"/>
      </w:tabs>
    </w:pPr>
  </w:style>
  <w:style w:type="paragraph" w:customStyle="1" w:styleId="3476">
    <w:name w:val="标题 41"/>
    <w:basedOn w:val="1"/>
    <w:next w:val="1"/>
    <w:qFormat/>
    <w:uiPriority w:val="0"/>
    <w:pPr>
      <w:keepNext/>
      <w:keepLines/>
      <w:tabs>
        <w:tab w:val="left" w:pos="864"/>
        <w:tab w:val="clear" w:pos="480"/>
      </w:tabs>
      <w:adjustRightInd w:val="0"/>
      <w:snapToGrid w:val="0"/>
      <w:spacing w:before="50" w:after="50" w:line="312" w:lineRule="auto"/>
      <w:ind w:left="864" w:right="238" w:hanging="864"/>
      <w:jc w:val="left"/>
      <w:outlineLvl w:val="3"/>
    </w:pPr>
    <w:rPr>
      <w:rFonts w:hint="eastAsia" w:ascii="Arial" w:hAnsi="Arial"/>
      <w:szCs w:val="20"/>
    </w:rPr>
  </w:style>
  <w:style w:type="paragraph" w:customStyle="1" w:styleId="3477">
    <w:name w:val="样式7表名"/>
    <w:next w:val="3478"/>
    <w:qFormat/>
    <w:uiPriority w:val="0"/>
    <w:pPr>
      <w:spacing w:before="120" w:line="360" w:lineRule="auto"/>
      <w:jc w:val="center"/>
    </w:pPr>
    <w:rPr>
      <w:rFonts w:ascii="黑体" w:hAnsi="Times New Roman" w:eastAsia="黑体" w:cs="Times New Roman"/>
      <w:spacing w:val="60"/>
      <w:kern w:val="2"/>
      <w:sz w:val="24"/>
      <w:szCs w:val="24"/>
      <w:lang w:val="en-US" w:eastAsia="zh-CN" w:bidi="ar-SA"/>
    </w:rPr>
  </w:style>
  <w:style w:type="paragraph" w:customStyle="1" w:styleId="3478">
    <w:name w:val="样式8表号"/>
    <w:next w:val="3479"/>
    <w:qFormat/>
    <w:uiPriority w:val="0"/>
    <w:pPr>
      <w:spacing w:line="360" w:lineRule="auto"/>
      <w:ind w:firstLine="510"/>
      <w:jc w:val="both"/>
    </w:pPr>
    <w:rPr>
      <w:rFonts w:ascii="Times New Roman" w:hAnsi="Times New Roman" w:eastAsia="宋体" w:cs="Times New Roman"/>
      <w:kern w:val="2"/>
      <w:sz w:val="24"/>
      <w:szCs w:val="24"/>
      <w:lang w:val="en-US" w:eastAsia="zh-CN" w:bidi="ar-SA"/>
    </w:rPr>
  </w:style>
  <w:style w:type="paragraph" w:customStyle="1" w:styleId="3479">
    <w:name w:val="样式9表格"/>
    <w:next w:val="1"/>
    <w:qFormat/>
    <w:uiPriority w:val="0"/>
    <w:pPr>
      <w:spacing w:before="120" w:line="300" w:lineRule="auto"/>
      <w:jc w:val="center"/>
    </w:pPr>
    <w:rPr>
      <w:rFonts w:ascii="Times New Roman" w:hAnsi="Times New Roman" w:eastAsia="宋体" w:cs="Times New Roman"/>
      <w:kern w:val="2"/>
      <w:sz w:val="24"/>
      <w:szCs w:val="24"/>
      <w:lang w:val="en-US" w:eastAsia="zh-CN" w:bidi="ar-SA"/>
    </w:rPr>
  </w:style>
  <w:style w:type="paragraph" w:customStyle="1" w:styleId="3480">
    <w:name w:val="Char Char Char Char Char Char Char Char1 Char Char Char Char Char Char Char"/>
    <w:basedOn w:val="1"/>
    <w:qFormat/>
    <w:uiPriority w:val="0"/>
    <w:pPr>
      <w:tabs>
        <w:tab w:val="clear" w:pos="480"/>
      </w:tabs>
    </w:pPr>
  </w:style>
  <w:style w:type="paragraph" w:customStyle="1" w:styleId="3481">
    <w:name w:val="单元格"/>
    <w:basedOn w:val="1"/>
    <w:qFormat/>
    <w:uiPriority w:val="0"/>
    <w:pPr>
      <w:widowControl/>
      <w:tabs>
        <w:tab w:val="clear" w:pos="480"/>
      </w:tabs>
      <w:adjustRightInd w:val="0"/>
      <w:snapToGrid w:val="0"/>
      <w:spacing w:line="320" w:lineRule="exact"/>
      <w:jc w:val="center"/>
    </w:pPr>
    <w:rPr>
      <w:rFonts w:ascii="宋体" w:hAnsi="宋体"/>
      <w:kern w:val="0"/>
      <w:szCs w:val="20"/>
    </w:rPr>
  </w:style>
  <w:style w:type="paragraph" w:customStyle="1" w:styleId="3482">
    <w:name w:val="正文居中"/>
    <w:basedOn w:val="1"/>
    <w:qFormat/>
    <w:uiPriority w:val="0"/>
    <w:pPr>
      <w:tabs>
        <w:tab w:val="clear" w:pos="480"/>
      </w:tabs>
      <w:adjustRightInd w:val="0"/>
      <w:snapToGrid w:val="0"/>
      <w:spacing w:beforeLines="50" w:afterLines="50" w:line="300" w:lineRule="auto"/>
      <w:jc w:val="center"/>
    </w:pPr>
    <w:rPr>
      <w:rFonts w:cs="宋体"/>
      <w:sz w:val="28"/>
      <w:szCs w:val="20"/>
    </w:rPr>
  </w:style>
  <w:style w:type="paragraph" w:customStyle="1" w:styleId="3483">
    <w:name w:val="封面表格"/>
    <w:basedOn w:val="1"/>
    <w:qFormat/>
    <w:uiPriority w:val="0"/>
    <w:pPr>
      <w:tabs>
        <w:tab w:val="clear" w:pos="480"/>
      </w:tabs>
      <w:adjustRightInd w:val="0"/>
      <w:snapToGrid w:val="0"/>
      <w:spacing w:beforeLines="50" w:afterLines="50" w:line="300" w:lineRule="auto"/>
      <w:jc w:val="center"/>
    </w:pPr>
    <w:rPr>
      <w:b/>
      <w:bCs/>
      <w:sz w:val="32"/>
      <w:szCs w:val="28"/>
    </w:rPr>
  </w:style>
  <w:style w:type="paragraph" w:customStyle="1" w:styleId="3484">
    <w:name w:val="页眉头"/>
    <w:basedOn w:val="57"/>
    <w:qFormat/>
    <w:uiPriority w:val="0"/>
    <w:pPr>
      <w:pBdr>
        <w:bottom w:val="none" w:color="auto" w:sz="0" w:space="0"/>
      </w:pBdr>
      <w:tabs>
        <w:tab w:val="clear" w:pos="480"/>
      </w:tabs>
      <w:adjustRightInd w:val="0"/>
      <w:spacing w:beforeLines="50" w:afterLines="50"/>
      <w:ind w:left="238" w:right="238" w:firstLine="454"/>
    </w:pPr>
    <w:rPr>
      <w:color w:val="000000"/>
      <w:kern w:val="0"/>
    </w:rPr>
  </w:style>
  <w:style w:type="paragraph" w:customStyle="1" w:styleId="3485">
    <w:name w:val="样式 表头居中 + 小四"/>
    <w:basedOn w:val="1"/>
    <w:qFormat/>
    <w:uiPriority w:val="0"/>
    <w:pPr>
      <w:tabs>
        <w:tab w:val="left" w:pos="4144"/>
        <w:tab w:val="clear" w:pos="480"/>
      </w:tabs>
      <w:overflowPunct w:val="0"/>
      <w:ind w:left="-1" w:leftChars="-1" w:hanging="2" w:hangingChars="1"/>
      <w:jc w:val="center"/>
    </w:pPr>
    <w:rPr>
      <w:rFonts w:hAnsi="宋体"/>
      <w:color w:val="000000"/>
      <w:kern w:val="0"/>
      <w:szCs w:val="21"/>
    </w:rPr>
  </w:style>
  <w:style w:type="paragraph" w:customStyle="1" w:styleId="3486">
    <w:name w:val="CM5"/>
    <w:basedOn w:val="151"/>
    <w:next w:val="151"/>
    <w:qFormat/>
    <w:uiPriority w:val="0"/>
    <w:pPr>
      <w:jc w:val="left"/>
    </w:pPr>
    <w:rPr>
      <w:rFonts w:ascii="宋体" w:eastAsia="宋体" w:cs="Times New Roman"/>
      <w:color w:val="auto"/>
    </w:rPr>
  </w:style>
  <w:style w:type="paragraph" w:customStyle="1" w:styleId="3487">
    <w:name w:val="样式 样式 样式 标题 4款标题1.1.1.1 + 段前: 0.25 行 段后: 0.25 行 + 段前: 0.25 行 段后:...3"/>
    <w:basedOn w:val="1"/>
    <w:qFormat/>
    <w:uiPriority w:val="0"/>
    <w:pPr>
      <w:tabs>
        <w:tab w:val="left" w:pos="283"/>
        <w:tab w:val="left" w:pos="5404"/>
        <w:tab w:val="clear" w:pos="480"/>
      </w:tabs>
      <w:snapToGrid w:val="0"/>
      <w:spacing w:beforeLines="25" w:afterLines="25" w:line="520" w:lineRule="atLeast"/>
      <w:ind w:left="5404" w:hanging="708"/>
      <w:outlineLvl w:val="3"/>
    </w:pPr>
    <w:rPr>
      <w:rFonts w:cs="宋体"/>
      <w:b/>
      <w:bCs/>
      <w:sz w:val="28"/>
      <w:szCs w:val="20"/>
    </w:rPr>
  </w:style>
  <w:style w:type="paragraph" w:customStyle="1" w:styleId="3488">
    <w:name w:val="默认段落字体 Para Char Char Char1 Char Char Char1 Char"/>
    <w:basedOn w:val="1"/>
    <w:qFormat/>
    <w:uiPriority w:val="0"/>
    <w:pPr>
      <w:tabs>
        <w:tab w:val="clear" w:pos="480"/>
      </w:tabs>
    </w:pPr>
  </w:style>
  <w:style w:type="paragraph" w:customStyle="1" w:styleId="3489">
    <w:name w:val="e"/>
    <w:basedOn w:val="1"/>
    <w:qFormat/>
    <w:uiPriority w:val="0"/>
    <w:pPr>
      <w:tabs>
        <w:tab w:val="clear" w:pos="480"/>
      </w:tabs>
      <w:jc w:val="center"/>
    </w:pPr>
    <w:rPr>
      <w:szCs w:val="20"/>
    </w:rPr>
  </w:style>
  <w:style w:type="paragraph" w:customStyle="1" w:styleId="3490">
    <w:name w:val="样式2－表格"/>
    <w:basedOn w:val="1"/>
    <w:next w:val="1"/>
    <w:qFormat/>
    <w:uiPriority w:val="0"/>
    <w:pPr>
      <w:tabs>
        <w:tab w:val="left" w:pos="427"/>
        <w:tab w:val="clear" w:pos="480"/>
      </w:tabs>
      <w:spacing w:line="360" w:lineRule="exact"/>
      <w:jc w:val="center"/>
    </w:pPr>
    <w:rPr>
      <w:kern w:val="28"/>
    </w:rPr>
  </w:style>
  <w:style w:type="paragraph" w:customStyle="1" w:styleId="3491">
    <w:name w:val="aaaaaaaaaa"/>
    <w:basedOn w:val="3492"/>
    <w:qFormat/>
    <w:uiPriority w:val="0"/>
    <w:pPr>
      <w:jc w:val="center"/>
    </w:pPr>
    <w:rPr>
      <w:rFonts w:cs="Times New Roman"/>
      <w:bCs w:val="0"/>
      <w:kern w:val="2"/>
      <w:sz w:val="36"/>
      <w:szCs w:val="36"/>
    </w:rPr>
  </w:style>
  <w:style w:type="paragraph" w:customStyle="1" w:styleId="3492">
    <w:name w:val="花1"/>
    <w:basedOn w:val="3493"/>
    <w:qFormat/>
    <w:uiPriority w:val="0"/>
    <w:pPr>
      <w:spacing w:beforeLines="0" w:afterLines="0"/>
    </w:pPr>
    <w:rPr>
      <w:rFonts w:cs="宋体"/>
      <w:bCs/>
      <w:szCs w:val="20"/>
    </w:rPr>
  </w:style>
  <w:style w:type="paragraph" w:customStyle="1" w:styleId="3493">
    <w:name w:val="LNG－标题1"/>
    <w:basedOn w:val="1"/>
    <w:qFormat/>
    <w:uiPriority w:val="0"/>
    <w:pPr>
      <w:tabs>
        <w:tab w:val="clear" w:pos="480"/>
      </w:tabs>
      <w:spacing w:beforeLines="50" w:afterLines="50"/>
      <w:textAlignment w:val="center"/>
    </w:pPr>
    <w:rPr>
      <w:b/>
      <w:kern w:val="0"/>
      <w:sz w:val="32"/>
      <w:szCs w:val="32"/>
    </w:rPr>
  </w:style>
  <w:style w:type="paragraph" w:customStyle="1" w:styleId="3494">
    <w:name w:val="样式 表头 + (中文) 黑体"/>
    <w:basedOn w:val="170"/>
    <w:qFormat/>
    <w:uiPriority w:val="0"/>
    <w:pPr>
      <w:widowControl w:val="0"/>
      <w:adjustRightInd w:val="0"/>
      <w:snapToGrid w:val="0"/>
    </w:pPr>
    <w:rPr>
      <w:rFonts w:eastAsia="黑体"/>
      <w:snapToGrid/>
      <w:color w:val="auto"/>
      <w:spacing w:val="6"/>
      <w:position w:val="10"/>
      <w:sz w:val="24"/>
      <w:szCs w:val="24"/>
    </w:rPr>
  </w:style>
  <w:style w:type="paragraph" w:customStyle="1" w:styleId="3495">
    <w:name w:val="Char Char Char Char Char Char Char Char Char Char Char Char Char Char Char Char Char Char1 Char Char Char Char"/>
    <w:basedOn w:val="1"/>
    <w:qFormat/>
    <w:uiPriority w:val="0"/>
    <w:pPr>
      <w:tabs>
        <w:tab w:val="clear" w:pos="480"/>
      </w:tabs>
    </w:pPr>
  </w:style>
  <w:style w:type="paragraph" w:customStyle="1" w:styleId="3496">
    <w:name w:val="样式 标题 2 + 左侧:  0 厘米 首行缩进:  0 厘米"/>
    <w:basedOn w:val="1"/>
    <w:qFormat/>
    <w:uiPriority w:val="0"/>
    <w:pPr>
      <w:tabs>
        <w:tab w:val="clear" w:pos="480"/>
      </w:tabs>
    </w:pPr>
  </w:style>
  <w:style w:type="paragraph" w:customStyle="1" w:styleId="3497">
    <w:name w:val="规划正文"/>
    <w:basedOn w:val="1"/>
    <w:qFormat/>
    <w:uiPriority w:val="0"/>
    <w:pPr>
      <w:widowControl/>
      <w:tabs>
        <w:tab w:val="clear" w:pos="480"/>
      </w:tabs>
      <w:jc w:val="left"/>
    </w:pPr>
    <w:rPr>
      <w:kern w:val="0"/>
      <w:sz w:val="28"/>
      <w:szCs w:val="28"/>
    </w:rPr>
  </w:style>
  <w:style w:type="paragraph" w:customStyle="1" w:styleId="3498">
    <w:name w:val="观音岩正文段落"/>
    <w:basedOn w:val="1252"/>
    <w:qFormat/>
    <w:uiPriority w:val="0"/>
    <w:pPr>
      <w:widowControl w:val="0"/>
      <w:adjustRightInd w:val="0"/>
      <w:snapToGrid w:val="0"/>
      <w:spacing w:beforeLines="50" w:afterLines="50" w:line="360" w:lineRule="auto"/>
      <w:ind w:firstLine="200"/>
      <w:jc w:val="both"/>
    </w:pPr>
    <w:rPr>
      <w:rFonts w:hAnsi="Calibri"/>
      <w:kern w:val="2"/>
      <w:szCs w:val="20"/>
    </w:rPr>
  </w:style>
  <w:style w:type="paragraph" w:customStyle="1" w:styleId="3499">
    <w:name w:val="正文3号"/>
    <w:basedOn w:val="1"/>
    <w:qFormat/>
    <w:uiPriority w:val="0"/>
    <w:pPr>
      <w:tabs>
        <w:tab w:val="clear" w:pos="480"/>
      </w:tabs>
      <w:adjustRightInd w:val="0"/>
      <w:snapToGrid w:val="0"/>
      <w:spacing w:beforeLines="50" w:afterLines="50"/>
      <w:jc w:val="center"/>
    </w:pPr>
    <w:rPr>
      <w:bCs/>
      <w:sz w:val="32"/>
      <w:szCs w:val="28"/>
    </w:rPr>
  </w:style>
  <w:style w:type="paragraph" w:customStyle="1" w:styleId="3500">
    <w:name w:val="封面大标题"/>
    <w:basedOn w:val="1"/>
    <w:qFormat/>
    <w:uiPriority w:val="0"/>
    <w:pPr>
      <w:tabs>
        <w:tab w:val="clear" w:pos="480"/>
      </w:tabs>
      <w:adjustRightInd w:val="0"/>
      <w:snapToGrid w:val="0"/>
      <w:spacing w:beforeLines="50" w:afterLines="50" w:line="300" w:lineRule="auto"/>
      <w:jc w:val="center"/>
    </w:pPr>
    <w:rPr>
      <w:b/>
      <w:bCs/>
      <w:sz w:val="44"/>
      <w:szCs w:val="28"/>
    </w:rPr>
  </w:style>
  <w:style w:type="paragraph" w:customStyle="1" w:styleId="3501">
    <w:name w:val="封面6"/>
    <w:basedOn w:val="192"/>
    <w:next w:val="1"/>
    <w:qFormat/>
    <w:uiPriority w:val="0"/>
    <w:pPr>
      <w:tabs>
        <w:tab w:val="left" w:pos="4144"/>
        <w:tab w:val="clear" w:pos="432"/>
      </w:tabs>
      <w:adjustRightInd w:val="0"/>
      <w:snapToGrid w:val="0"/>
      <w:spacing w:beforeLines="50" w:afterLines="50" w:line="360" w:lineRule="auto"/>
      <w:ind w:firstLine="480" w:firstLineChars="200"/>
    </w:pPr>
    <w:rPr>
      <w:rFonts w:ascii="华文新魏" w:hAnsi="Times New Roman" w:eastAsia="华文新魏"/>
      <w:kern w:val="0"/>
      <w:sz w:val="32"/>
      <w:lang w:val="en-US"/>
      <w14:shadow w14:blurRad="0" w14:dist="0" w14:dir="0" w14:sx="0" w14:sy="0" w14:kx="0" w14:ky="0" w14:algn="none">
        <w14:srgbClr w14:val="000000"/>
      </w14:shadow>
    </w:rPr>
  </w:style>
  <w:style w:type="paragraph" w:customStyle="1" w:styleId="3502">
    <w:name w:val="样式 报告插图 + 首行缩进:  0 字符"/>
    <w:basedOn w:val="3503"/>
    <w:qFormat/>
    <w:uiPriority w:val="0"/>
    <w:pPr>
      <w:tabs>
        <w:tab w:val="left" w:pos="4144"/>
      </w:tabs>
      <w:ind w:firstLine="0"/>
    </w:pPr>
    <w:rPr>
      <w:rFonts w:cs="宋体"/>
      <w:bCs/>
      <w:szCs w:val="20"/>
    </w:rPr>
  </w:style>
  <w:style w:type="paragraph" w:customStyle="1" w:styleId="3503">
    <w:name w:val="报告插图"/>
    <w:basedOn w:val="214"/>
    <w:next w:val="214"/>
    <w:qFormat/>
    <w:uiPriority w:val="0"/>
    <w:pPr>
      <w:tabs>
        <w:tab w:val="left" w:pos="4144"/>
      </w:tabs>
      <w:spacing w:before="120" w:after="120"/>
      <w:ind w:firstLine="617"/>
      <w:jc w:val="center"/>
    </w:pPr>
    <w:rPr>
      <w:rFonts w:ascii="Times New Roman"/>
      <w:b/>
      <w:kern w:val="0"/>
      <w:szCs w:val="24"/>
    </w:rPr>
  </w:style>
  <w:style w:type="paragraph" w:customStyle="1" w:styleId="3504">
    <w:name w:val="样式 观音岩正文段落 + 段前: 0.5 行 段后: 0.5 行"/>
    <w:basedOn w:val="1"/>
    <w:qFormat/>
    <w:uiPriority w:val="0"/>
    <w:pPr>
      <w:tabs>
        <w:tab w:val="clear" w:pos="480"/>
      </w:tabs>
      <w:adjustRightInd w:val="0"/>
      <w:snapToGrid w:val="0"/>
      <w:ind w:firstLine="482"/>
    </w:pPr>
    <w:rPr>
      <w:rFonts w:ascii="Arial" w:hAnsi="Arial" w:cs="宋体"/>
      <w:szCs w:val="20"/>
    </w:rPr>
  </w:style>
  <w:style w:type="paragraph" w:customStyle="1" w:styleId="3505">
    <w:name w:val="默认段落字体 Para Char Char Char Char Char Char Char Char Char Char Char Char Char Char Char Char1 Char Char Char"/>
    <w:basedOn w:val="1"/>
    <w:qFormat/>
    <w:uiPriority w:val="0"/>
    <w:pPr>
      <w:tabs>
        <w:tab w:val="clear" w:pos="480"/>
      </w:tabs>
    </w:pPr>
  </w:style>
  <w:style w:type="paragraph" w:customStyle="1" w:styleId="3506">
    <w:name w:val="Char Char Char Char Char2 Char Char Char1 Char Char Char Char Char Char Char Char Char Char Char Char Char"/>
    <w:basedOn w:val="1"/>
    <w:qFormat/>
    <w:uiPriority w:val="0"/>
    <w:pPr>
      <w:tabs>
        <w:tab w:val="clear" w:pos="480"/>
      </w:tabs>
    </w:pPr>
  </w:style>
  <w:style w:type="paragraph" w:customStyle="1" w:styleId="3507">
    <w:name w:val="LNG-标题3"/>
    <w:basedOn w:val="1"/>
    <w:qFormat/>
    <w:uiPriority w:val="0"/>
    <w:pPr>
      <w:tabs>
        <w:tab w:val="left" w:pos="0"/>
        <w:tab w:val="clear" w:pos="480"/>
      </w:tabs>
      <w:outlineLvl w:val="2"/>
    </w:pPr>
    <w:rPr>
      <w:b/>
    </w:rPr>
  </w:style>
  <w:style w:type="paragraph" w:customStyle="1" w:styleId="3508">
    <w:name w:val="正文缩进3"/>
    <w:basedOn w:val="1"/>
    <w:qFormat/>
    <w:uiPriority w:val="0"/>
    <w:pPr>
      <w:tabs>
        <w:tab w:val="clear" w:pos="480"/>
      </w:tabs>
      <w:ind w:firstLine="420"/>
    </w:pPr>
  </w:style>
  <w:style w:type="paragraph" w:customStyle="1" w:styleId="3509">
    <w:name w:val="LNG－标题2"/>
    <w:basedOn w:val="1"/>
    <w:qFormat/>
    <w:uiPriority w:val="0"/>
    <w:pPr>
      <w:tabs>
        <w:tab w:val="clear" w:pos="480"/>
      </w:tabs>
    </w:pPr>
    <w:rPr>
      <w:b/>
      <w:kern w:val="0"/>
      <w:sz w:val="28"/>
      <w:szCs w:val="28"/>
    </w:rPr>
  </w:style>
  <w:style w:type="paragraph" w:customStyle="1" w:styleId="3510">
    <w:name w:val="Char Char1 Char Char Char Char Char Char Char Char Char Char Char Char Char Char Char Char"/>
    <w:basedOn w:val="1"/>
    <w:qFormat/>
    <w:uiPriority w:val="0"/>
    <w:pPr>
      <w:tabs>
        <w:tab w:val="clear" w:pos="480"/>
      </w:tabs>
    </w:pPr>
  </w:style>
  <w:style w:type="paragraph" w:customStyle="1" w:styleId="3511">
    <w:name w:val="Char Char Char Char Char Char Char Char Char Char Char Char Char Char Char1 Char Char Char Char Char Char Char Char Char Char Char Char Char Char Char Char Char Char Char Char Char Char Char"/>
    <w:basedOn w:val="1"/>
    <w:qFormat/>
    <w:uiPriority w:val="0"/>
    <w:pPr>
      <w:tabs>
        <w:tab w:val="clear" w:pos="480"/>
      </w:tabs>
    </w:pPr>
  </w:style>
  <w:style w:type="paragraph" w:customStyle="1" w:styleId="3512">
    <w:name w:val="送审样式"/>
    <w:basedOn w:val="3513"/>
    <w:next w:val="1"/>
    <w:qFormat/>
    <w:uiPriority w:val="0"/>
    <w:pPr/>
  </w:style>
  <w:style w:type="paragraph" w:customStyle="1" w:styleId="3513">
    <w:name w:val="报告题目1"/>
    <w:basedOn w:val="1"/>
    <w:next w:val="1"/>
    <w:qFormat/>
    <w:uiPriority w:val="0"/>
    <w:pPr>
      <w:tabs>
        <w:tab w:val="clear" w:pos="480"/>
      </w:tabs>
      <w:spacing w:before="1200" w:line="240" w:lineRule="atLeast"/>
      <w:ind w:firstLine="480"/>
      <w:jc w:val="center"/>
    </w:pPr>
    <w:rPr>
      <w:rFonts w:eastAsia="黑体"/>
      <w:bCs/>
      <w:caps/>
      <w:snapToGrid w:val="0"/>
      <w:kern w:val="10"/>
      <w:sz w:val="50"/>
      <w:szCs w:val="20"/>
    </w:rPr>
  </w:style>
  <w:style w:type="paragraph" w:customStyle="1" w:styleId="3514">
    <w:name w:val="样式 段前: 2.4 磅 段后: 2.4 磅"/>
    <w:basedOn w:val="1"/>
    <w:qFormat/>
    <w:uiPriority w:val="0"/>
    <w:pPr>
      <w:tabs>
        <w:tab w:val="clear" w:pos="480"/>
      </w:tabs>
      <w:adjustRightInd w:val="0"/>
      <w:snapToGrid w:val="0"/>
      <w:spacing w:before="168" w:afterLines="20"/>
      <w:ind w:firstLine="510"/>
    </w:pPr>
    <w:rPr>
      <w:spacing w:val="6"/>
      <w:kern w:val="0"/>
      <w:szCs w:val="20"/>
    </w:rPr>
  </w:style>
  <w:style w:type="paragraph" w:customStyle="1" w:styleId="3515">
    <w:name w:val="表文居中"/>
    <w:basedOn w:val="575"/>
    <w:qFormat/>
    <w:uiPriority w:val="0"/>
    <w:pPr>
      <w:tabs>
        <w:tab w:val="left" w:pos="840"/>
        <w:tab w:val="clear" w:pos="1021"/>
      </w:tabs>
      <w:snapToGrid/>
      <w:spacing w:line="240" w:lineRule="atLeast"/>
      <w:textAlignment w:val="baseline"/>
    </w:pPr>
    <w:rPr>
      <w:spacing w:val="0"/>
    </w:rPr>
  </w:style>
  <w:style w:type="paragraph" w:customStyle="1" w:styleId="3516">
    <w:name w:val="Char1 Char Char Char Char Char Char Char Char Char1 Char Char Char"/>
    <w:basedOn w:val="1"/>
    <w:qFormat/>
    <w:uiPriority w:val="0"/>
    <w:pPr>
      <w:tabs>
        <w:tab w:val="clear" w:pos="480"/>
      </w:tabs>
    </w:pPr>
  </w:style>
  <w:style w:type="paragraph" w:customStyle="1" w:styleId="3517">
    <w:name w:val="Char Char Char Char Char Char Char Char Char Char Char Char Char Char Char1 Char Char Char Char Char Char Char"/>
    <w:basedOn w:val="1"/>
    <w:qFormat/>
    <w:uiPriority w:val="0"/>
    <w:pPr>
      <w:tabs>
        <w:tab w:val="clear" w:pos="480"/>
      </w:tabs>
    </w:pPr>
  </w:style>
  <w:style w:type="paragraph" w:customStyle="1" w:styleId="3518">
    <w:name w:val="表格左齐"/>
    <w:basedOn w:val="1"/>
    <w:qFormat/>
    <w:uiPriority w:val="0"/>
    <w:pPr>
      <w:tabs>
        <w:tab w:val="left" w:pos="4144"/>
        <w:tab w:val="clear" w:pos="480"/>
      </w:tabs>
      <w:overflowPunct w:val="0"/>
      <w:spacing w:beforeLines="50" w:afterLines="50" w:line="240" w:lineRule="exact"/>
      <w:ind w:firstLine="480"/>
      <w:jc w:val="center"/>
    </w:pPr>
    <w:rPr>
      <w:kern w:val="0"/>
      <w:szCs w:val="21"/>
    </w:rPr>
  </w:style>
  <w:style w:type="paragraph" w:customStyle="1" w:styleId="3519">
    <w:name w:val="样式 标题 4款标题1.1.1.1 + 段前: 0.25 行 段后: 0.25 行"/>
    <w:basedOn w:val="5"/>
    <w:qFormat/>
    <w:uiPriority w:val="0"/>
    <w:pPr>
      <w:keepNext w:val="0"/>
      <w:keepLines w:val="0"/>
      <w:numPr>
        <w:ilvl w:val="0"/>
        <w:numId w:val="0"/>
      </w:numPr>
      <w:tabs>
        <w:tab w:val="left" w:pos="283"/>
        <w:tab w:val="clear" w:pos="480"/>
      </w:tabs>
      <w:spacing w:before="0" w:beforeLines="25" w:after="0" w:afterLines="25" w:line="520" w:lineRule="atLeast"/>
      <w:ind w:firstLine="200" w:firstLineChars="200"/>
    </w:pPr>
    <w:rPr>
      <w:rFonts w:ascii="Times New Roman" w:hAnsi="Times New Roman" w:cs="宋体"/>
      <w:b w:val="0"/>
      <w:sz w:val="24"/>
      <w:szCs w:val="20"/>
      <w:lang w:val="en-US"/>
    </w:rPr>
  </w:style>
  <w:style w:type="paragraph" w:customStyle="1" w:styleId="3520">
    <w:name w:val="Char Char Char Char Char Char1 Char1 Char Char Char Char Char Char"/>
    <w:basedOn w:val="1"/>
    <w:qFormat/>
    <w:uiPriority w:val="0"/>
    <w:pPr>
      <w:tabs>
        <w:tab w:val="clear" w:pos="480"/>
      </w:tabs>
    </w:pPr>
  </w:style>
  <w:style w:type="paragraph" w:customStyle="1" w:styleId="3521">
    <w:name w:val="样式 样式 宋体 小五 + 左侧:  1.5 字符"/>
    <w:basedOn w:val="1"/>
    <w:qFormat/>
    <w:uiPriority w:val="0"/>
    <w:pPr>
      <w:tabs>
        <w:tab w:val="clear" w:pos="480"/>
      </w:tabs>
      <w:ind w:firstLine="150" w:firstLineChars="150"/>
    </w:pPr>
    <w:rPr>
      <w:rFonts w:ascii="宋体" w:hAnsi="宋体" w:cs="宋体"/>
      <w:sz w:val="18"/>
      <w:szCs w:val="20"/>
    </w:rPr>
  </w:style>
  <w:style w:type="paragraph" w:customStyle="1" w:styleId="3522">
    <w:name w:val="Char Char1 Char Char Char Char Char Char Char Char Char Char Char Char Char Char Char Char Char Char Char Char Char Char Char Char Char Char Char Char"/>
    <w:basedOn w:val="1"/>
    <w:qFormat/>
    <w:uiPriority w:val="0"/>
    <w:pPr>
      <w:tabs>
        <w:tab w:val="clear" w:pos="480"/>
      </w:tabs>
    </w:pPr>
  </w:style>
  <w:style w:type="paragraph" w:customStyle="1" w:styleId="3523">
    <w:name w:val="Char Char Char Char Char Char Char Char Char Char Char Char Char Char Char1 Char Char Char Char Char Char Char Char Char Char Char Char Char Char Char Char Char Char Char Char"/>
    <w:basedOn w:val="1"/>
    <w:qFormat/>
    <w:uiPriority w:val="0"/>
    <w:pPr>
      <w:tabs>
        <w:tab w:val="clear" w:pos="480"/>
      </w:tabs>
    </w:pPr>
  </w:style>
  <w:style w:type="paragraph" w:customStyle="1" w:styleId="3524">
    <w:name w:val="Char Char Char Char1 Char"/>
    <w:basedOn w:val="1"/>
    <w:qFormat/>
    <w:uiPriority w:val="0"/>
    <w:pPr>
      <w:tabs>
        <w:tab w:val="clear" w:pos="480"/>
      </w:tabs>
    </w:pPr>
  </w:style>
  <w:style w:type="character" w:customStyle="1" w:styleId="3525">
    <w:name w:val="z-窗体底端 Char1"/>
    <w:semiHidden/>
    <w:qFormat/>
    <w:uiPriority w:val="99"/>
    <w:rPr>
      <w:rFonts w:ascii="Arial" w:hAnsi="Arial" w:cs="Arial"/>
      <w:vanish/>
      <w:sz w:val="16"/>
      <w:szCs w:val="16"/>
    </w:rPr>
  </w:style>
  <w:style w:type="paragraph" w:customStyle="1" w:styleId="3526">
    <w:name w:val="环评样式"/>
    <w:basedOn w:val="1"/>
    <w:qFormat/>
    <w:uiPriority w:val="0"/>
    <w:pPr>
      <w:tabs>
        <w:tab w:val="clear" w:pos="480"/>
      </w:tabs>
      <w:adjustRightInd w:val="0"/>
      <w:snapToGrid w:val="0"/>
      <w:outlineLvl w:val="0"/>
    </w:pPr>
    <w:rPr>
      <w:rFonts w:ascii="仿宋_GB2312" w:hAnsi="Alaska" w:eastAsia="仿宋_GB2312"/>
      <w:kern w:val="0"/>
      <w:sz w:val="30"/>
      <w:szCs w:val="20"/>
    </w:rPr>
  </w:style>
  <w:style w:type="paragraph" w:customStyle="1" w:styleId="3527">
    <w:name w:val="Char Char11 Char Char"/>
    <w:basedOn w:val="1"/>
    <w:qFormat/>
    <w:uiPriority w:val="0"/>
    <w:pPr>
      <w:tabs>
        <w:tab w:val="clear" w:pos="480"/>
      </w:tabs>
    </w:pPr>
  </w:style>
  <w:style w:type="paragraph" w:customStyle="1" w:styleId="3528">
    <w:name w:val="目录名"/>
    <w:basedOn w:val="1"/>
    <w:next w:val="59"/>
    <w:qFormat/>
    <w:uiPriority w:val="0"/>
    <w:pPr>
      <w:tabs>
        <w:tab w:val="clear" w:pos="480"/>
      </w:tabs>
      <w:topLinePunct/>
      <w:ind w:firstLine="480"/>
      <w:jc w:val="center"/>
    </w:pPr>
    <w:rPr>
      <w:rFonts w:eastAsia="黑体"/>
      <w:caps/>
      <w:snapToGrid w:val="0"/>
      <w:kern w:val="10"/>
      <w:sz w:val="32"/>
      <w:szCs w:val="20"/>
    </w:rPr>
  </w:style>
  <w:style w:type="paragraph" w:customStyle="1" w:styleId="3529">
    <w:name w:val="小表文"/>
    <w:basedOn w:val="1"/>
    <w:qFormat/>
    <w:uiPriority w:val="0"/>
    <w:pPr>
      <w:tabs>
        <w:tab w:val="clear" w:pos="480"/>
      </w:tabs>
      <w:autoSpaceDE w:val="0"/>
      <w:autoSpaceDN w:val="0"/>
      <w:adjustRightInd w:val="0"/>
      <w:textAlignment w:val="baseline"/>
    </w:pPr>
    <w:rPr>
      <w:kern w:val="0"/>
      <w:szCs w:val="21"/>
    </w:rPr>
  </w:style>
  <w:style w:type="paragraph" w:customStyle="1" w:styleId="3530">
    <w:name w:val="Char Char Char Char Char Char Char Char Char1 Char Char Char Char Char Char Char Char Char Char"/>
    <w:basedOn w:val="1"/>
    <w:qFormat/>
    <w:uiPriority w:val="0"/>
    <w:pPr>
      <w:tabs>
        <w:tab w:val="clear" w:pos="480"/>
      </w:tabs>
    </w:pPr>
    <w:rPr>
      <w:sz w:val="28"/>
      <w:szCs w:val="28"/>
    </w:rPr>
  </w:style>
  <w:style w:type="paragraph" w:customStyle="1" w:styleId="3531">
    <w:name w:val="BT2"/>
    <w:basedOn w:val="3"/>
    <w:next w:val="1"/>
    <w:qFormat/>
    <w:uiPriority w:val="0"/>
    <w:pPr>
      <w:numPr>
        <w:ilvl w:val="0"/>
        <w:numId w:val="0"/>
      </w:numPr>
      <w:tabs>
        <w:tab w:val="clear" w:pos="480"/>
        <w:tab w:val="clear" w:pos="630"/>
      </w:tabs>
      <w:spacing w:before="120" w:line="240" w:lineRule="auto"/>
      <w:ind w:firstLine="200" w:firstLineChars="200"/>
      <w:jc w:val="center"/>
    </w:pPr>
    <w:rPr>
      <w:rFonts w:ascii="黑体"/>
      <w:bCs w:val="0"/>
      <w:sz w:val="28"/>
      <w:lang w:val="en-US"/>
    </w:rPr>
  </w:style>
  <w:style w:type="paragraph" w:customStyle="1" w:styleId="3532">
    <w:name w:val="第三级"/>
    <w:basedOn w:val="1"/>
    <w:next w:val="1"/>
    <w:qFormat/>
    <w:uiPriority w:val="0"/>
    <w:pPr>
      <w:widowControl/>
      <w:tabs>
        <w:tab w:val="clear" w:pos="480"/>
      </w:tabs>
      <w:spacing w:beforeLines="500" w:after="100"/>
      <w:jc w:val="left"/>
    </w:pPr>
    <w:rPr>
      <w:rFonts w:ascii="Verdana" w:hAnsi="Verdana" w:eastAsia="黑体"/>
      <w:kern w:val="0"/>
      <w:szCs w:val="20"/>
      <w:lang w:eastAsia="en-US"/>
    </w:rPr>
  </w:style>
  <w:style w:type="paragraph" w:customStyle="1" w:styleId="3533">
    <w:name w:val="样式 标题 2 + 红色"/>
    <w:basedOn w:val="3"/>
    <w:qFormat/>
    <w:uiPriority w:val="0"/>
    <w:pPr>
      <w:keepNext w:val="0"/>
      <w:numPr>
        <w:ilvl w:val="0"/>
        <w:numId w:val="0"/>
      </w:numPr>
      <w:tabs>
        <w:tab w:val="left" w:pos="4144"/>
        <w:tab w:val="clear" w:pos="480"/>
        <w:tab w:val="clear" w:pos="630"/>
      </w:tabs>
      <w:adjustRightInd w:val="0"/>
      <w:spacing w:before="0" w:beforeLines="200" w:after="0" w:afterLines="50"/>
      <w:ind w:firstLine="480" w:firstLineChars="200"/>
      <w:contextualSpacing/>
      <w:jc w:val="center"/>
    </w:pPr>
    <w:rPr>
      <w:rFonts w:ascii="Arial" w:hAnsi="Arial" w:eastAsia="黑体"/>
      <w:b w:val="0"/>
      <w:color w:val="FF0000"/>
      <w:spacing w:val="20"/>
      <w:sz w:val="30"/>
      <w:szCs w:val="28"/>
      <w:lang w:val="en-US"/>
    </w:rPr>
  </w:style>
  <w:style w:type="paragraph" w:customStyle="1" w:styleId="3534">
    <w:name w:val="表头居中"/>
    <w:basedOn w:val="1"/>
    <w:qFormat/>
    <w:uiPriority w:val="0"/>
    <w:pPr>
      <w:tabs>
        <w:tab w:val="left" w:pos="4144"/>
        <w:tab w:val="clear" w:pos="480"/>
      </w:tabs>
      <w:overflowPunct w:val="0"/>
      <w:spacing w:beforeLines="50" w:afterLines="50" w:line="240" w:lineRule="exact"/>
      <w:ind w:left="-1" w:leftChars="-1" w:hanging="2" w:hangingChars="1"/>
      <w:jc w:val="center"/>
    </w:pPr>
    <w:rPr>
      <w:rFonts w:eastAsia="楷体_GB2312"/>
      <w:kern w:val="0"/>
      <w:sz w:val="18"/>
      <w:szCs w:val="18"/>
    </w:rPr>
  </w:style>
  <w:style w:type="paragraph" w:customStyle="1" w:styleId="3535">
    <w:name w:val="样式 目录 4 +"/>
    <w:basedOn w:val="1"/>
    <w:qFormat/>
    <w:uiPriority w:val="0"/>
    <w:pPr>
      <w:tabs>
        <w:tab w:val="left" w:pos="2415"/>
        <w:tab w:val="left" w:pos="4144"/>
        <w:tab w:val="right" w:leader="dot" w:pos="9060"/>
        <w:tab w:val="clear" w:pos="480"/>
      </w:tabs>
      <w:spacing w:beforeLines="50" w:afterLines="50"/>
      <w:ind w:left="300" w:leftChars="300" w:firstLine="480"/>
      <w:jc w:val="center"/>
    </w:pPr>
    <w:rPr>
      <w:kern w:val="0"/>
      <w:sz w:val="28"/>
      <w:szCs w:val="20"/>
    </w:rPr>
  </w:style>
  <w:style w:type="paragraph" w:customStyle="1" w:styleId="3536">
    <w:name w:val="正文段落 Char Char"/>
    <w:basedOn w:val="1"/>
    <w:qFormat/>
    <w:uiPriority w:val="0"/>
    <w:pPr>
      <w:tabs>
        <w:tab w:val="clear" w:pos="480"/>
      </w:tabs>
      <w:adjustRightInd w:val="0"/>
      <w:snapToGrid w:val="0"/>
      <w:spacing w:before="156" w:after="156" w:line="336" w:lineRule="auto"/>
      <w:ind w:firstLine="420"/>
      <w:jc w:val="center"/>
    </w:pPr>
    <w:rPr>
      <w:rFonts w:ascii="宋体" w:hAnsi="宋体"/>
      <w:bCs/>
      <w:szCs w:val="21"/>
    </w:rPr>
  </w:style>
  <w:style w:type="paragraph" w:customStyle="1" w:styleId="3537">
    <w:name w:val="Char1 Char Char Char Char Char Char Char Char Char Char Char Char Char Char Char Char Char Char Char Char Char"/>
    <w:basedOn w:val="1"/>
    <w:qFormat/>
    <w:uiPriority w:val="0"/>
    <w:pPr>
      <w:tabs>
        <w:tab w:val="clear" w:pos="480"/>
      </w:tabs>
    </w:pPr>
  </w:style>
  <w:style w:type="paragraph" w:customStyle="1" w:styleId="3538">
    <w:name w:val="BT3"/>
    <w:basedOn w:val="4"/>
    <w:next w:val="1"/>
    <w:qFormat/>
    <w:uiPriority w:val="0"/>
    <w:pPr>
      <w:keepNext w:val="0"/>
      <w:keepLines w:val="0"/>
      <w:numPr>
        <w:ilvl w:val="0"/>
        <w:numId w:val="0"/>
      </w:numPr>
      <w:tabs>
        <w:tab w:val="clear" w:pos="480"/>
        <w:tab w:val="clear" w:pos="840"/>
      </w:tabs>
      <w:spacing w:before="0" w:after="0" w:line="520" w:lineRule="exact"/>
      <w:ind w:firstLine="480" w:firstLineChars="200"/>
      <w:outlineLvl w:val="9"/>
    </w:pPr>
    <w:rPr>
      <w:rFonts w:ascii="宋体" w:hAnsi="宋体" w:eastAsia="宋体"/>
      <w:b w:val="0"/>
      <w:color w:val="000000"/>
      <w:sz w:val="24"/>
      <w:szCs w:val="24"/>
      <w:lang w:val="en-US"/>
    </w:rPr>
  </w:style>
  <w:style w:type="paragraph" w:customStyle="1" w:styleId="3539">
    <w:name w:val="通用正文1"/>
    <w:basedOn w:val="1"/>
    <w:qFormat/>
    <w:uiPriority w:val="0"/>
    <w:pPr>
      <w:tabs>
        <w:tab w:val="clear" w:pos="480"/>
      </w:tabs>
      <w:autoSpaceDE w:val="0"/>
      <w:autoSpaceDN w:val="0"/>
      <w:adjustRightInd w:val="0"/>
      <w:spacing w:line="500" w:lineRule="exact"/>
      <w:ind w:firstLine="480"/>
    </w:pPr>
  </w:style>
  <w:style w:type="paragraph" w:customStyle="1" w:styleId="3540">
    <w:name w:val="文1"/>
    <w:basedOn w:val="1"/>
    <w:qFormat/>
    <w:uiPriority w:val="0"/>
    <w:pPr>
      <w:tabs>
        <w:tab w:val="clear" w:pos="480"/>
      </w:tabs>
      <w:adjustRightInd w:val="0"/>
      <w:snapToGrid w:val="0"/>
      <w:spacing w:line="312" w:lineRule="auto"/>
      <w:ind w:firstLine="567"/>
    </w:pPr>
    <w:rPr>
      <w:rFonts w:hint="eastAsia" w:ascii="宋体" w:hAnsi="宋体"/>
      <w:bCs/>
      <w:spacing w:val="6"/>
      <w:sz w:val="28"/>
      <w:szCs w:val="28"/>
    </w:rPr>
  </w:style>
  <w:style w:type="paragraph" w:customStyle="1" w:styleId="3541">
    <w:name w:val="Char Char Char Char Char Char Char Char Char Char Char Char Char Char Char Char Char1"/>
    <w:basedOn w:val="1"/>
    <w:qFormat/>
    <w:uiPriority w:val="0"/>
    <w:pPr>
      <w:tabs>
        <w:tab w:val="clear" w:pos="480"/>
      </w:tabs>
    </w:pPr>
    <w:rPr>
      <w:szCs w:val="21"/>
    </w:rPr>
  </w:style>
  <w:style w:type="paragraph" w:customStyle="1" w:styleId="3542">
    <w:name w:val="Char Char Char Char Char Char Char Char1 Char Char Char Char"/>
    <w:basedOn w:val="1"/>
    <w:qFormat/>
    <w:uiPriority w:val="0"/>
    <w:pPr>
      <w:tabs>
        <w:tab w:val="clear" w:pos="480"/>
      </w:tabs>
    </w:pPr>
  </w:style>
  <w:style w:type="paragraph" w:customStyle="1" w:styleId="3543">
    <w:name w:val="封面-1"/>
    <w:basedOn w:val="1"/>
    <w:qFormat/>
    <w:uiPriority w:val="0"/>
    <w:pPr>
      <w:tabs>
        <w:tab w:val="clear" w:pos="480"/>
      </w:tabs>
      <w:adjustRightInd w:val="0"/>
      <w:snapToGrid w:val="0"/>
      <w:jc w:val="center"/>
    </w:pPr>
    <w:rPr>
      <w:rFonts w:eastAsia="隶书"/>
      <w:b/>
      <w:sz w:val="44"/>
    </w:rPr>
  </w:style>
  <w:style w:type="character" w:customStyle="1" w:styleId="3544">
    <w:name w:val="z-窗体顶端 Char1"/>
    <w:semiHidden/>
    <w:qFormat/>
    <w:uiPriority w:val="99"/>
    <w:rPr>
      <w:rFonts w:ascii="Arial" w:hAnsi="Arial" w:cs="Arial"/>
      <w:vanish/>
      <w:sz w:val="16"/>
      <w:szCs w:val="16"/>
    </w:rPr>
  </w:style>
  <w:style w:type="paragraph" w:customStyle="1" w:styleId="3545">
    <w:name w:val="样式 样式 LNG－标题1 + 段前: 0.5 行 段后: 0.5 行 + 段前: 0.5 行 段后: 0.5 行"/>
    <w:basedOn w:val="1"/>
    <w:qFormat/>
    <w:uiPriority w:val="0"/>
    <w:pPr>
      <w:numPr>
        <w:ilvl w:val="0"/>
        <w:numId w:val="40"/>
      </w:numPr>
      <w:tabs>
        <w:tab w:val="left" w:pos="425"/>
        <w:tab w:val="clear" w:pos="480"/>
      </w:tabs>
      <w:adjustRightInd w:val="0"/>
      <w:spacing w:beforeLines="50" w:afterLines="50"/>
      <w:ind w:firstLine="200"/>
      <w:jc w:val="center"/>
      <w:textAlignment w:val="center"/>
      <w:outlineLvl w:val="0"/>
    </w:pPr>
    <w:rPr>
      <w:rFonts w:cs="宋体"/>
      <w:b/>
      <w:bCs/>
      <w:kern w:val="0"/>
      <w:sz w:val="32"/>
      <w:szCs w:val="20"/>
    </w:rPr>
  </w:style>
  <w:style w:type="paragraph" w:customStyle="1" w:styleId="3546">
    <w:name w:val="样式 bbbbbbbbbb + 段前: 0.5 行 段后: 0.5 行"/>
    <w:basedOn w:val="1"/>
    <w:qFormat/>
    <w:uiPriority w:val="0"/>
    <w:pPr>
      <w:tabs>
        <w:tab w:val="left" w:pos="1050"/>
        <w:tab w:val="clear" w:pos="480"/>
      </w:tabs>
      <w:spacing w:beforeLines="50" w:afterLines="50"/>
      <w:ind w:right="105" w:rightChars="50" w:firstLine="422"/>
      <w:jc w:val="center"/>
      <w:textAlignment w:val="center"/>
      <w:outlineLvl w:val="1"/>
    </w:pPr>
    <w:rPr>
      <w:rFonts w:hAnsi="宋体"/>
      <w:b/>
      <w:bCs/>
      <w:snapToGrid w:val="0"/>
      <w:color w:val="000000"/>
      <w:kern w:val="0"/>
      <w:szCs w:val="21"/>
    </w:rPr>
  </w:style>
  <w:style w:type="paragraph" w:customStyle="1" w:styleId="3547">
    <w:name w:val="报告格式-表格内容"/>
    <w:basedOn w:val="1"/>
    <w:qFormat/>
    <w:uiPriority w:val="0"/>
    <w:pPr>
      <w:tabs>
        <w:tab w:val="clear" w:pos="480"/>
      </w:tabs>
      <w:jc w:val="center"/>
    </w:pPr>
    <w:rPr>
      <w:rFonts w:eastAsia="楷体"/>
      <w:szCs w:val="21"/>
    </w:rPr>
  </w:style>
  <w:style w:type="paragraph" w:customStyle="1" w:styleId="3548">
    <w:name w:val="Char1 Char Char Char Char Char Char Char Char Char Char Char Char Char Char Char Char Char Char"/>
    <w:basedOn w:val="1"/>
    <w:qFormat/>
    <w:uiPriority w:val="0"/>
    <w:pPr>
      <w:tabs>
        <w:tab w:val="clear" w:pos="480"/>
      </w:tabs>
    </w:pPr>
  </w:style>
  <w:style w:type="paragraph" w:customStyle="1" w:styleId="3549">
    <w:name w:val="条"/>
    <w:basedOn w:val="4"/>
    <w:next w:val="1"/>
    <w:qFormat/>
    <w:uiPriority w:val="0"/>
    <w:pPr>
      <w:keepNext w:val="0"/>
      <w:keepLines w:val="0"/>
      <w:numPr>
        <w:ilvl w:val="0"/>
        <w:numId w:val="0"/>
      </w:numPr>
      <w:tabs>
        <w:tab w:val="clear" w:pos="480"/>
        <w:tab w:val="clear" w:pos="840"/>
      </w:tabs>
      <w:topLinePunct/>
      <w:autoSpaceDE w:val="0"/>
      <w:autoSpaceDN w:val="0"/>
      <w:adjustRightInd w:val="0"/>
      <w:snapToGrid w:val="0"/>
      <w:spacing w:before="0" w:after="0" w:line="520" w:lineRule="exact"/>
      <w:ind w:firstLine="200" w:firstLineChars="200"/>
      <w:jc w:val="left"/>
    </w:pPr>
    <w:rPr>
      <w:rFonts w:ascii="Times New Roman" w:eastAsia="宋体" w:cs="宋体"/>
      <w:spacing w:val="1"/>
      <w:sz w:val="28"/>
      <w:szCs w:val="28"/>
      <w:lang w:val="en-US"/>
    </w:rPr>
  </w:style>
  <w:style w:type="paragraph" w:customStyle="1" w:styleId="3550">
    <w:name w:val="表题使用"/>
    <w:basedOn w:val="1"/>
    <w:qFormat/>
    <w:uiPriority w:val="0"/>
    <w:pPr>
      <w:tabs>
        <w:tab w:val="clear" w:pos="480"/>
      </w:tabs>
      <w:jc w:val="center"/>
    </w:pPr>
    <w:rPr>
      <w:rFonts w:cs="宋体"/>
      <w:b/>
      <w:bCs/>
      <w:color w:val="000000"/>
      <w:szCs w:val="20"/>
    </w:rPr>
  </w:style>
  <w:style w:type="paragraph" w:customStyle="1" w:styleId="3551">
    <w:name w:val="编制人员表"/>
    <w:basedOn w:val="1"/>
    <w:qFormat/>
    <w:uiPriority w:val="0"/>
    <w:pPr>
      <w:tabs>
        <w:tab w:val="clear" w:pos="480"/>
      </w:tabs>
      <w:jc w:val="center"/>
    </w:pPr>
    <w:rPr>
      <w:caps/>
      <w:snapToGrid w:val="0"/>
      <w:kern w:val="10"/>
      <w:sz w:val="28"/>
      <w:szCs w:val="20"/>
    </w:rPr>
  </w:style>
  <w:style w:type="paragraph" w:customStyle="1" w:styleId="3552">
    <w:name w:val="编制单位英文"/>
    <w:basedOn w:val="1"/>
    <w:next w:val="1"/>
    <w:qFormat/>
    <w:uiPriority w:val="0"/>
    <w:pPr>
      <w:tabs>
        <w:tab w:val="clear" w:pos="480"/>
      </w:tabs>
      <w:adjustRightInd w:val="0"/>
      <w:snapToGrid w:val="0"/>
      <w:spacing w:line="20" w:lineRule="atLeast"/>
    </w:pPr>
    <w:rPr>
      <w:rFonts w:ascii="黑体" w:eastAsia="黑体"/>
      <w:caps/>
      <w:snapToGrid w:val="0"/>
      <w:kern w:val="10"/>
      <w:sz w:val="26"/>
      <w:szCs w:val="20"/>
    </w:rPr>
  </w:style>
  <w:style w:type="paragraph" w:customStyle="1" w:styleId="3553">
    <w:name w:val="样式 单位 + 首行缩进:  2 字符"/>
    <w:basedOn w:val="3471"/>
    <w:qFormat/>
    <w:uiPriority w:val="0"/>
    <w:pPr>
      <w:ind w:firstLine="480"/>
    </w:pPr>
    <w:rPr>
      <w:rFonts w:cs="宋体"/>
      <w:sz w:val="21"/>
      <w:szCs w:val="21"/>
    </w:rPr>
  </w:style>
  <w:style w:type="paragraph" w:customStyle="1" w:styleId="3554">
    <w:name w:val="协作单位"/>
    <w:basedOn w:val="1"/>
    <w:qFormat/>
    <w:uiPriority w:val="0"/>
    <w:pPr>
      <w:tabs>
        <w:tab w:val="clear" w:pos="480"/>
      </w:tabs>
      <w:spacing w:beforeLines="50" w:afterLines="50" w:line="312" w:lineRule="auto"/>
      <w:ind w:firstLine="1260"/>
      <w:jc w:val="center"/>
    </w:pPr>
    <w:rPr>
      <w:rFonts w:eastAsia="黑体"/>
      <w:color w:val="000000"/>
      <w:kern w:val="0"/>
      <w:sz w:val="28"/>
      <w:szCs w:val="20"/>
    </w:rPr>
  </w:style>
  <w:style w:type="paragraph" w:customStyle="1" w:styleId="3555">
    <w:name w:val="样式 样式 目录 4 + + 左侧:  3 字符"/>
    <w:basedOn w:val="3535"/>
    <w:qFormat/>
    <w:uiPriority w:val="0"/>
    <w:pPr>
      <w:ind w:left="714"/>
    </w:pPr>
  </w:style>
  <w:style w:type="paragraph" w:customStyle="1" w:styleId="3556">
    <w:name w:val="报告题目11"/>
    <w:basedOn w:val="1"/>
    <w:next w:val="3557"/>
    <w:qFormat/>
    <w:uiPriority w:val="0"/>
    <w:pPr>
      <w:tabs>
        <w:tab w:val="clear" w:pos="480"/>
      </w:tabs>
      <w:spacing w:line="240" w:lineRule="atLeast"/>
      <w:ind w:firstLine="480"/>
      <w:jc w:val="center"/>
    </w:pPr>
    <w:rPr>
      <w:rFonts w:eastAsia="黑体"/>
      <w:bCs/>
      <w:snapToGrid w:val="0"/>
      <w:kern w:val="10"/>
      <w:sz w:val="50"/>
      <w:szCs w:val="20"/>
    </w:rPr>
  </w:style>
  <w:style w:type="paragraph" w:customStyle="1" w:styleId="3557">
    <w:name w:val="报告题目2"/>
    <w:basedOn w:val="1"/>
    <w:next w:val="1"/>
    <w:qFormat/>
    <w:uiPriority w:val="0"/>
    <w:pPr>
      <w:tabs>
        <w:tab w:val="clear" w:pos="480"/>
      </w:tabs>
      <w:spacing w:before="120"/>
      <w:ind w:firstLine="480"/>
      <w:jc w:val="center"/>
    </w:pPr>
    <w:rPr>
      <w:rFonts w:eastAsia="黑体"/>
      <w:bCs/>
      <w:caps/>
      <w:snapToGrid w:val="0"/>
      <w:kern w:val="10"/>
      <w:sz w:val="58"/>
      <w:szCs w:val="20"/>
    </w:rPr>
  </w:style>
  <w:style w:type="paragraph" w:customStyle="1" w:styleId="3558">
    <w:name w:val="N节＋2 Char Char Char"/>
    <w:basedOn w:val="1"/>
    <w:next w:val="1"/>
    <w:qFormat/>
    <w:uiPriority w:val="0"/>
    <w:pPr>
      <w:tabs>
        <w:tab w:val="clear" w:pos="480"/>
      </w:tabs>
      <w:outlineLvl w:val="3"/>
    </w:pPr>
    <w:rPr>
      <w:rFonts w:eastAsia="黑体"/>
    </w:rPr>
  </w:style>
  <w:style w:type="paragraph" w:customStyle="1" w:styleId="3559">
    <w:name w:val="表内首行"/>
    <w:basedOn w:val="1"/>
    <w:qFormat/>
    <w:uiPriority w:val="0"/>
    <w:pPr>
      <w:widowControl/>
      <w:tabs>
        <w:tab w:val="clear" w:pos="480"/>
      </w:tabs>
      <w:spacing w:beforeLines="50" w:afterLines="50"/>
      <w:jc w:val="center"/>
    </w:pPr>
    <w:rPr>
      <w:b/>
      <w:bCs/>
      <w:kern w:val="0"/>
      <w:szCs w:val="28"/>
    </w:rPr>
  </w:style>
  <w:style w:type="paragraph" w:customStyle="1" w:styleId="3560">
    <w:name w:val="样式 样式 普通文字 + 首行缩进:  0.85 厘米 + 首行缩进:  2 字符"/>
    <w:basedOn w:val="1"/>
    <w:qFormat/>
    <w:uiPriority w:val="0"/>
    <w:pPr>
      <w:tabs>
        <w:tab w:val="clear" w:pos="480"/>
      </w:tabs>
      <w:spacing w:line="400" w:lineRule="exact"/>
    </w:pPr>
    <w:rPr>
      <w:rFonts w:ascii="宋体" w:hAnsi="Courier New"/>
    </w:rPr>
  </w:style>
  <w:style w:type="paragraph" w:customStyle="1" w:styleId="3561">
    <w:name w:val="LNG－表格"/>
    <w:basedOn w:val="1"/>
    <w:qFormat/>
    <w:uiPriority w:val="0"/>
    <w:pPr>
      <w:tabs>
        <w:tab w:val="clear" w:pos="480"/>
      </w:tabs>
      <w:jc w:val="center"/>
    </w:pPr>
    <w:rPr>
      <w:kern w:val="0"/>
      <w:szCs w:val="21"/>
    </w:rPr>
  </w:style>
  <w:style w:type="paragraph" w:customStyle="1" w:styleId="3562">
    <w:name w:val="文本jl"/>
    <w:basedOn w:val="1"/>
    <w:next w:val="33"/>
    <w:qFormat/>
    <w:uiPriority w:val="0"/>
    <w:pPr>
      <w:tabs>
        <w:tab w:val="clear" w:pos="480"/>
      </w:tabs>
      <w:spacing w:line="560" w:lineRule="exact"/>
      <w:ind w:firstLine="480"/>
    </w:pPr>
    <w:rPr>
      <w:rFonts w:ascii="宋体" w:hAnsi="宋体" w:cs="宋体"/>
      <w:color w:val="FF0000"/>
      <w:kern w:val="0"/>
    </w:rPr>
  </w:style>
  <w:style w:type="paragraph" w:customStyle="1" w:styleId="3563">
    <w:name w:val="表格文字小"/>
    <w:basedOn w:val="1"/>
    <w:qFormat/>
    <w:uiPriority w:val="0"/>
    <w:pPr>
      <w:tabs>
        <w:tab w:val="clear" w:pos="480"/>
      </w:tabs>
      <w:spacing w:line="320" w:lineRule="exact"/>
      <w:jc w:val="center"/>
    </w:pPr>
    <w:rPr>
      <w:kern w:val="0"/>
      <w:szCs w:val="21"/>
    </w:rPr>
  </w:style>
  <w:style w:type="paragraph" w:customStyle="1" w:styleId="3564">
    <w:name w:val="样式 正文文本缩进 2 + 首行缩进:  2 字符"/>
    <w:basedOn w:val="51"/>
    <w:next w:val="51"/>
    <w:qFormat/>
    <w:uiPriority w:val="0"/>
    <w:pPr>
      <w:spacing w:before="60" w:line="360" w:lineRule="auto"/>
      <w:ind w:left="0" w:firstLine="480" w:firstLineChars="200"/>
      <w:jc w:val="left"/>
    </w:pPr>
    <w:rPr>
      <w:rFonts w:cs="宋体"/>
      <w:spacing w:val="0"/>
      <w:kern w:val="2"/>
      <w:sz w:val="24"/>
      <w:szCs w:val="20"/>
    </w:rPr>
  </w:style>
  <w:style w:type="paragraph" w:customStyle="1" w:styleId="3565">
    <w:name w:val="样式 LNG－标题1 + 居中 段前: 0.5 行 段后: 0.5 行1"/>
    <w:qFormat/>
    <w:uiPriority w:val="0"/>
    <w:pPr>
      <w:tabs>
        <w:tab w:val="left" w:pos="425"/>
      </w:tabs>
      <w:spacing w:before="156" w:after="156"/>
      <w:ind w:left="425" w:hanging="425"/>
      <w:jc w:val="center"/>
    </w:pPr>
    <w:rPr>
      <w:rFonts w:ascii="Times New Roman" w:hAnsi="Times New Roman" w:eastAsia="宋体" w:cs="宋体"/>
      <w:b/>
      <w:bCs/>
      <w:kern w:val="2"/>
      <w:sz w:val="32"/>
      <w:szCs w:val="24"/>
      <w:lang w:val="en-US" w:eastAsia="zh-CN" w:bidi="ar-SA"/>
    </w:rPr>
  </w:style>
  <w:style w:type="paragraph" w:customStyle="1" w:styleId="3566">
    <w:name w:val="Char Char1 Char Char Char Char Char Char Char Char Char Char Char Char Char Char Char Char Char Char"/>
    <w:basedOn w:val="1"/>
    <w:qFormat/>
    <w:uiPriority w:val="0"/>
    <w:pPr>
      <w:tabs>
        <w:tab w:val="clear" w:pos="480"/>
      </w:tabs>
    </w:pPr>
    <w:rPr>
      <w:rFonts w:ascii="宋体" w:hAnsi="宋体" w:cs="宋体"/>
    </w:rPr>
  </w:style>
  <w:style w:type="paragraph" w:customStyle="1" w:styleId="3567">
    <w:name w:val="编制人员表名"/>
    <w:basedOn w:val="1"/>
    <w:next w:val="3551"/>
    <w:qFormat/>
    <w:uiPriority w:val="0"/>
    <w:pPr>
      <w:tabs>
        <w:tab w:val="clear" w:pos="480"/>
      </w:tabs>
      <w:ind w:firstLine="480"/>
      <w:jc w:val="center"/>
    </w:pPr>
    <w:rPr>
      <w:b/>
      <w:bCs/>
      <w:caps/>
      <w:snapToGrid w:val="0"/>
      <w:kern w:val="10"/>
      <w:sz w:val="28"/>
      <w:szCs w:val="20"/>
    </w:rPr>
  </w:style>
  <w:style w:type="paragraph" w:customStyle="1" w:styleId="3568">
    <w:name w:val="编制单位中文"/>
    <w:basedOn w:val="1"/>
    <w:next w:val="1"/>
    <w:qFormat/>
    <w:uiPriority w:val="0"/>
    <w:pPr>
      <w:tabs>
        <w:tab w:val="clear" w:pos="480"/>
      </w:tabs>
      <w:adjustRightInd w:val="0"/>
      <w:snapToGrid w:val="0"/>
      <w:spacing w:line="0" w:lineRule="atLeast"/>
    </w:pPr>
    <w:rPr>
      <w:rFonts w:eastAsia="黑体"/>
      <w:caps/>
      <w:snapToGrid w:val="0"/>
      <w:kern w:val="10"/>
      <w:sz w:val="38"/>
      <w:szCs w:val="20"/>
    </w:rPr>
  </w:style>
  <w:style w:type="paragraph" w:customStyle="1" w:styleId="3569">
    <w:name w:val="范正文"/>
    <w:basedOn w:val="86"/>
    <w:qFormat/>
    <w:uiPriority w:val="0"/>
    <w:pPr>
      <w:spacing w:after="0" w:line="360" w:lineRule="auto"/>
      <w:ind w:firstLine="510" w:firstLineChars="200"/>
    </w:pPr>
    <w:rPr>
      <w:snapToGrid w:val="0"/>
      <w:color w:val="000000"/>
      <w:kern w:val="0"/>
      <w:sz w:val="24"/>
      <w:szCs w:val="20"/>
    </w:rPr>
  </w:style>
  <w:style w:type="paragraph" w:customStyle="1" w:styleId="3570">
    <w:name w:val="样式6 正文"/>
    <w:qFormat/>
    <w:uiPriority w:val="0"/>
    <w:pPr>
      <w:spacing w:line="360" w:lineRule="auto"/>
      <w:ind w:firstLine="510"/>
      <w:jc w:val="both"/>
    </w:pPr>
    <w:rPr>
      <w:rFonts w:ascii="Times New Roman" w:hAnsi="Times New Roman" w:eastAsia="宋体" w:cs="Times New Roman"/>
      <w:kern w:val="2"/>
      <w:sz w:val="24"/>
      <w:szCs w:val="24"/>
      <w:lang w:val="en-US" w:eastAsia="zh-CN" w:bidi="ar-SA"/>
    </w:rPr>
  </w:style>
  <w:style w:type="paragraph" w:customStyle="1" w:styleId="3571">
    <w:name w:val="样式 小四 行距: 固定值 25 磅"/>
    <w:basedOn w:val="1"/>
    <w:qFormat/>
    <w:uiPriority w:val="0"/>
    <w:pPr>
      <w:tabs>
        <w:tab w:val="clear" w:pos="480"/>
      </w:tabs>
      <w:spacing w:line="500" w:lineRule="exact"/>
      <w:ind w:firstLine="640"/>
    </w:pPr>
    <w:rPr>
      <w:rFonts w:cs="宋体"/>
      <w:spacing w:val="20"/>
      <w:sz w:val="28"/>
      <w:szCs w:val="28"/>
    </w:rPr>
  </w:style>
  <w:style w:type="paragraph" w:customStyle="1" w:styleId="3572">
    <w:name w:val="bbbbbbbbbb"/>
    <w:basedOn w:val="3492"/>
    <w:qFormat/>
    <w:uiPriority w:val="0"/>
    <w:pPr>
      <w:ind w:firstLine="480"/>
      <w:outlineLvl w:val="1"/>
    </w:pPr>
    <w:rPr>
      <w:sz w:val="28"/>
      <w:szCs w:val="28"/>
    </w:rPr>
  </w:style>
  <w:style w:type="paragraph" w:customStyle="1" w:styleId="3573">
    <w:name w:val="正文使用"/>
    <w:basedOn w:val="1"/>
    <w:qFormat/>
    <w:uiPriority w:val="0"/>
    <w:pPr>
      <w:tabs>
        <w:tab w:val="clear" w:pos="480"/>
      </w:tabs>
      <w:adjustRightInd w:val="0"/>
      <w:snapToGrid w:val="0"/>
      <w:ind w:firstLine="480"/>
    </w:pPr>
    <w:rPr>
      <w:rFonts w:cs="宋体"/>
      <w:szCs w:val="20"/>
    </w:rPr>
  </w:style>
  <w:style w:type="paragraph" w:customStyle="1" w:styleId="3574">
    <w:name w:val="Char1 Char Char Char Char Char1 Char Char Char Char Char Char Char"/>
    <w:basedOn w:val="1"/>
    <w:qFormat/>
    <w:uiPriority w:val="0"/>
    <w:pPr>
      <w:tabs>
        <w:tab w:val="clear" w:pos="480"/>
      </w:tabs>
    </w:pPr>
    <w:rPr>
      <w:rFonts w:ascii="宋体" w:hAnsi="宋体" w:cs="宋体"/>
    </w:rPr>
  </w:style>
  <w:style w:type="paragraph" w:customStyle="1" w:styleId="3575">
    <w:name w:val="x正文"/>
    <w:basedOn w:val="1"/>
    <w:qFormat/>
    <w:uiPriority w:val="0"/>
    <w:pPr>
      <w:tabs>
        <w:tab w:val="clear" w:pos="480"/>
      </w:tabs>
      <w:adjustRightInd w:val="0"/>
      <w:ind w:firstLine="480"/>
      <w:textAlignment w:val="baseline"/>
    </w:pPr>
  </w:style>
  <w:style w:type="character" w:customStyle="1" w:styleId="3576">
    <w:name w:val="latinname1"/>
    <w:qFormat/>
    <w:uiPriority w:val="0"/>
    <w:rPr>
      <w:i/>
      <w:iCs/>
    </w:rPr>
  </w:style>
  <w:style w:type="character" w:customStyle="1" w:styleId="3577">
    <w:name w:val="splatinname1"/>
    <w:qFormat/>
    <w:uiPriority w:val="0"/>
    <w:rPr>
      <w:b/>
      <w:bCs/>
      <w:color w:val="006600"/>
    </w:rPr>
  </w:style>
  <w:style w:type="paragraph" w:customStyle="1" w:styleId="3578">
    <w:name w:val="bh"/>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3579">
    <w:name w:val="正文段落 Char"/>
    <w:qFormat/>
    <w:uiPriority w:val="0"/>
    <w:rPr>
      <w:rFonts w:ascii="Times New Roman" w:hAnsi="Times New Roman" w:eastAsia="宋体" w:cs="Times New Roman"/>
      <w:bCs/>
      <w:sz w:val="24"/>
      <w:szCs w:val="24"/>
    </w:rPr>
  </w:style>
  <w:style w:type="table" w:customStyle="1" w:styleId="3580">
    <w:name w:val="网格型6"/>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1">
    <w:name w:val="网格型1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2">
    <w:name w:val="网格型2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3">
    <w:name w:val="网格型3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4">
    <w:name w:val="网格型4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5">
    <w:name w:val="网格型5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586">
    <w:name w:val="不明显参考1"/>
    <w:qFormat/>
    <w:uiPriority w:val="31"/>
    <w:rPr>
      <w:smallCaps/>
      <w:color w:val="5A5A5A"/>
    </w:rPr>
  </w:style>
  <w:style w:type="paragraph" w:customStyle="1" w:styleId="3587">
    <w:name w:val="ZX 3 表标题"/>
    <w:basedOn w:val="1"/>
    <w:link w:val="3589"/>
    <w:qFormat/>
    <w:uiPriority w:val="0"/>
    <w:pPr>
      <w:numPr>
        <w:ilvl w:val="0"/>
        <w:numId w:val="41"/>
      </w:numPr>
      <w:adjustRightInd w:val="0"/>
      <w:snapToGrid w:val="0"/>
      <w:spacing w:line="240" w:lineRule="auto"/>
      <w:ind w:left="0" w:firstLine="0" w:firstLineChars="0"/>
      <w:jc w:val="center"/>
    </w:pPr>
    <w:rPr>
      <w:rFonts w:ascii="Times New Roman" w:hAnsi="Times New Roman" w:eastAsia="宋体"/>
      <w:b/>
      <w:sz w:val="21"/>
    </w:rPr>
  </w:style>
  <w:style w:type="paragraph" w:customStyle="1" w:styleId="3588">
    <w:name w:val="ZX 4 表标题"/>
    <w:basedOn w:val="623"/>
    <w:link w:val="3591"/>
    <w:qFormat/>
    <w:uiPriority w:val="0"/>
    <w:pPr>
      <w:numPr>
        <w:numId w:val="42"/>
      </w:numPr>
      <w:ind w:left="0" w:firstLine="0"/>
    </w:pPr>
    <w:rPr>
      <w:rFonts w:ascii="Times New Roman" w:hAnsi="Times New Roman" w:eastAsia="宋体" w:cs="Times New Roman"/>
    </w:rPr>
  </w:style>
  <w:style w:type="character" w:customStyle="1" w:styleId="3589">
    <w:name w:val="ZX 3 表标题 Char"/>
    <w:link w:val="3587"/>
    <w:qFormat/>
    <w:uiPriority w:val="0"/>
    <w:rPr>
      <w:rFonts w:ascii="Times New Roman" w:hAnsi="Times New Roman" w:eastAsia="宋体"/>
      <w:b/>
      <w:kern w:val="2"/>
      <w:sz w:val="21"/>
      <w:szCs w:val="24"/>
    </w:rPr>
  </w:style>
  <w:style w:type="paragraph" w:customStyle="1" w:styleId="3590">
    <w:name w:val="ZX 5 表标题"/>
    <w:basedOn w:val="3232"/>
    <w:link w:val="3593"/>
    <w:qFormat/>
    <w:uiPriority w:val="0"/>
    <w:pPr>
      <w:numPr>
        <w:ilvl w:val="0"/>
        <w:numId w:val="43"/>
      </w:numPr>
      <w:ind w:hanging="420" w:firstLineChars="0"/>
    </w:pPr>
    <w:rPr>
      <w:rFonts w:ascii="Times New Roman" w:hAnsi="Times New Roman" w:eastAsia="宋体" w:cs="Times New Roman"/>
      <w:sz w:val="21"/>
    </w:rPr>
  </w:style>
  <w:style w:type="character" w:customStyle="1" w:styleId="3591">
    <w:name w:val="ZX 4 表标题 Char"/>
    <w:basedOn w:val="622"/>
    <w:link w:val="3588"/>
    <w:qFormat/>
    <w:uiPriority w:val="0"/>
    <w:rPr>
      <w:rFonts w:ascii="Times New Roman" w:hAnsi="Times New Roman" w:eastAsia="宋体" w:cs="宋体"/>
      <w:kern w:val="2"/>
      <w:sz w:val="21"/>
    </w:rPr>
  </w:style>
  <w:style w:type="paragraph" w:customStyle="1" w:styleId="3592">
    <w:name w:val="ZX 8表标题"/>
    <w:basedOn w:val="623"/>
    <w:link w:val="3595"/>
    <w:qFormat/>
    <w:uiPriority w:val="0"/>
    <w:pPr>
      <w:numPr>
        <w:numId w:val="44"/>
      </w:numPr>
    </w:pPr>
    <w:rPr>
      <w:rFonts w:cs="Times New Roman"/>
    </w:rPr>
  </w:style>
  <w:style w:type="character" w:customStyle="1" w:styleId="3593">
    <w:name w:val="ZX 5 表标题 Char"/>
    <w:link w:val="3590"/>
    <w:qFormat/>
    <w:uiPriority w:val="0"/>
    <w:rPr>
      <w:rFonts w:ascii="Times New Roman" w:hAnsi="Times New Roman" w:eastAsia="宋体"/>
      <w:b/>
      <w:bCs/>
      <w:kern w:val="2"/>
      <w:sz w:val="21"/>
    </w:rPr>
  </w:style>
  <w:style w:type="paragraph" w:customStyle="1" w:styleId="3594">
    <w:name w:val="ZX 7 表标题"/>
    <w:basedOn w:val="623"/>
    <w:link w:val="3597"/>
    <w:qFormat/>
    <w:uiPriority w:val="0"/>
    <w:pPr>
      <w:numPr>
        <w:numId w:val="45"/>
      </w:numPr>
    </w:pPr>
    <w:rPr>
      <w:rFonts w:cs="Times New Roman"/>
    </w:rPr>
  </w:style>
  <w:style w:type="character" w:customStyle="1" w:styleId="3595">
    <w:name w:val="ZX 8表标题 Char"/>
    <w:basedOn w:val="622"/>
    <w:link w:val="3592"/>
    <w:qFormat/>
    <w:uiPriority w:val="0"/>
    <w:rPr>
      <w:rFonts w:cs="宋体"/>
      <w:kern w:val="2"/>
      <w:sz w:val="21"/>
    </w:rPr>
  </w:style>
  <w:style w:type="character" w:customStyle="1" w:styleId="3596">
    <w:name w:val="批注框文本 字符"/>
    <w:qFormat/>
    <w:uiPriority w:val="0"/>
    <w:rPr>
      <w:kern w:val="2"/>
      <w:sz w:val="18"/>
      <w:szCs w:val="18"/>
    </w:rPr>
  </w:style>
  <w:style w:type="character" w:customStyle="1" w:styleId="3597">
    <w:name w:val="ZX 7 表标题 Char"/>
    <w:basedOn w:val="622"/>
    <w:link w:val="3594"/>
    <w:qFormat/>
    <w:uiPriority w:val="0"/>
    <w:rPr>
      <w:rFonts w:cs="宋体"/>
      <w:kern w:val="2"/>
      <w:sz w:val="21"/>
    </w:rPr>
  </w:style>
  <w:style w:type="character" w:customStyle="1" w:styleId="3598">
    <w:name w:val="环科院正文 Char Char"/>
    <w:link w:val="3300"/>
    <w:qFormat/>
    <w:uiPriority w:val="0"/>
    <w:rPr>
      <w:rFonts w:ascii="宋体" w:hAnsi="宋体"/>
      <w:bCs/>
      <w:kern w:val="10"/>
      <w:sz w:val="24"/>
      <w:szCs w:val="24"/>
    </w:rPr>
  </w:style>
  <w:style w:type="character" w:customStyle="1" w:styleId="3599">
    <w:name w:val="报告表正文 Char Char"/>
    <w:link w:val="2871"/>
    <w:qFormat/>
    <w:uiPriority w:val="0"/>
    <w:rPr>
      <w:sz w:val="24"/>
    </w:rPr>
  </w:style>
  <w:style w:type="table" w:customStyle="1" w:styleId="3600">
    <w:name w:val="样式26"/>
    <w:basedOn w:val="88"/>
    <w:qFormat/>
    <w:uiPriority w:val="99"/>
    <w:rPr>
      <w:sz w:val="21"/>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vAlign w:val="center"/>
    </w:tcPr>
  </w:style>
  <w:style w:type="table" w:customStyle="1" w:styleId="3601">
    <w:name w:val="样式261"/>
    <w:basedOn w:val="88"/>
    <w:qFormat/>
    <w:uiPriority w:val="99"/>
    <w:rPr>
      <w:sz w:val="21"/>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vAlign w:val="center"/>
    </w:tcPr>
  </w:style>
  <w:style w:type="character" w:customStyle="1" w:styleId="3602">
    <w:name w:val="正文缩进 Char Char Char Char1"/>
    <w:qFormat/>
    <w:uiPriority w:val="0"/>
    <w:rPr>
      <w:rFonts w:ascii="Calibri" w:hAnsi="Calibri" w:eastAsia="宋体" w:cs="Times New Roman"/>
      <w:szCs w:val="21"/>
    </w:rPr>
  </w:style>
  <w:style w:type="character" w:customStyle="1" w:styleId="3603">
    <w:name w:val="font51"/>
    <w:qFormat/>
    <w:uiPriority w:val="0"/>
    <w:rPr>
      <w:rFonts w:hint="eastAsia" w:ascii="仿宋_GB2312" w:eastAsia="仿宋_GB2312"/>
      <w:color w:val="000000"/>
      <w:sz w:val="20"/>
      <w:szCs w:val="20"/>
      <w:u w:val="none"/>
    </w:rPr>
  </w:style>
  <w:style w:type="character" w:customStyle="1" w:styleId="3604">
    <w:name w:val="font121"/>
    <w:basedOn w:val="133"/>
    <w:qFormat/>
    <w:uiPriority w:val="0"/>
    <w:rPr>
      <w:rFonts w:hint="eastAsia" w:ascii="宋体" w:hAnsi="宋体" w:eastAsia="宋体" w:cs="宋体"/>
      <w:color w:val="000000"/>
      <w:sz w:val="22"/>
      <w:szCs w:val="22"/>
      <w:u w:val="none"/>
    </w:rPr>
  </w:style>
  <w:style w:type="character" w:customStyle="1" w:styleId="3605">
    <w:name w:val="font91"/>
    <w:basedOn w:val="133"/>
    <w:qFormat/>
    <w:uiPriority w:val="0"/>
    <w:rPr>
      <w:rFonts w:hint="default" w:ascii="Times New Roman" w:hAnsi="Times New Roman" w:cs="Times New Roman"/>
      <w:b/>
      <w:color w:val="000000"/>
      <w:sz w:val="22"/>
      <w:szCs w:val="22"/>
      <w:u w:val="none"/>
    </w:rPr>
  </w:style>
  <w:style w:type="character" w:customStyle="1" w:styleId="3606">
    <w:name w:val="font101"/>
    <w:basedOn w:val="133"/>
    <w:qFormat/>
    <w:uiPriority w:val="0"/>
    <w:rPr>
      <w:rFonts w:hint="eastAsia" w:ascii="宋体" w:hAnsi="宋体" w:eastAsia="宋体" w:cs="宋体"/>
      <w:color w:val="000000"/>
      <w:sz w:val="36"/>
      <w:szCs w:val="36"/>
      <w:u w:val="none"/>
    </w:rPr>
  </w:style>
  <w:style w:type="table" w:customStyle="1" w:styleId="3607">
    <w:name w:val="网格型刘1"/>
    <w:basedOn w:val="88"/>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608">
    <w:name w:val="市环科院正文 Char"/>
    <w:link w:val="3609"/>
    <w:qFormat/>
    <w:uiPriority w:val="0"/>
    <w:rPr>
      <w:rFonts w:ascii="宋体" w:hAnsi="宋体" w:cs="宋体"/>
    </w:rPr>
  </w:style>
  <w:style w:type="paragraph" w:customStyle="1" w:styleId="3609">
    <w:name w:val="市环科院正文"/>
    <w:basedOn w:val="1"/>
    <w:link w:val="3608"/>
    <w:qFormat/>
    <w:uiPriority w:val="0"/>
    <w:pPr>
      <w:widowControl/>
      <w:tabs>
        <w:tab w:val="clear" w:pos="480"/>
      </w:tabs>
      <w:spacing w:line="300" w:lineRule="auto"/>
      <w:ind w:firstLine="480"/>
    </w:pPr>
    <w:rPr>
      <w:rFonts w:ascii="宋体" w:hAnsi="宋体" w:cs="宋体"/>
    </w:rPr>
  </w:style>
  <w:style w:type="table" w:customStyle="1" w:styleId="3610">
    <w:name w:val="网格型刘2"/>
    <w:basedOn w:val="8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611">
    <w:name w:val="表文字 Char"/>
    <w:link w:val="191"/>
    <w:qFormat/>
    <w:uiPriority w:val="0"/>
    <w:rPr>
      <w:kern w:val="0"/>
      <w:szCs w:val="20"/>
    </w:rPr>
  </w:style>
  <w:style w:type="character" w:customStyle="1" w:styleId="3612">
    <w:name w:val="报告书正文 Char2"/>
    <w:link w:val="1799"/>
    <w:qFormat/>
    <w:uiPriority w:val="0"/>
    <w:rPr>
      <w:rFonts w:ascii="宋体"/>
      <w:sz w:val="28"/>
    </w:rPr>
  </w:style>
  <w:style w:type="paragraph" w:customStyle="1" w:styleId="3613">
    <w:name w:val="ZX 0-表/图名"/>
    <w:basedOn w:val="1"/>
    <w:link w:val="3614"/>
    <w:qFormat/>
    <w:uiPriority w:val="0"/>
    <w:pPr>
      <w:widowControl/>
      <w:numPr>
        <w:ilvl w:val="0"/>
        <w:numId w:val="46"/>
      </w:numPr>
      <w:tabs>
        <w:tab w:val="clear" w:pos="480"/>
      </w:tabs>
      <w:spacing w:line="460" w:lineRule="exact"/>
      <w:ind w:firstLine="0" w:firstLineChars="0"/>
      <w:jc w:val="center"/>
    </w:pPr>
    <w:rPr>
      <w:b/>
      <w:sz w:val="21"/>
      <w:szCs w:val="22"/>
    </w:rPr>
  </w:style>
  <w:style w:type="character" w:customStyle="1" w:styleId="3614">
    <w:name w:val="ZX 0-表/图名 Char"/>
    <w:basedOn w:val="133"/>
    <w:link w:val="3613"/>
    <w:qFormat/>
    <w:uiPriority w:val="0"/>
    <w:rPr>
      <w:b/>
      <w:kern w:val="2"/>
      <w:sz w:val="21"/>
      <w:szCs w:val="22"/>
    </w:rPr>
  </w:style>
  <w:style w:type="paragraph" w:customStyle="1" w:styleId="3615">
    <w:name w:val="ZX 0-表内/图"/>
    <w:basedOn w:val="3613"/>
    <w:qFormat/>
    <w:uiPriority w:val="0"/>
    <w:pPr>
      <w:numPr>
        <w:numId w:val="0"/>
      </w:numPr>
      <w:spacing w:line="240" w:lineRule="auto"/>
    </w:pPr>
    <w:rPr>
      <w:sz w:val="18"/>
    </w:rPr>
  </w:style>
  <w:style w:type="character" w:customStyle="1" w:styleId="3616">
    <w:name w:val="公式 字符"/>
    <w:basedOn w:val="3614"/>
    <w:qFormat/>
    <w:uiPriority w:val="0"/>
    <w:rPr>
      <w:rFonts w:ascii="Times New Roman" w:hAnsi="Times New Roman" w:cs="Times New Roman"/>
      <w:kern w:val="2"/>
      <w:sz w:val="24"/>
      <w:szCs w:val="22"/>
    </w:rPr>
  </w:style>
  <w:style w:type="character" w:customStyle="1" w:styleId="3617">
    <w:name w:val="正文（布） Char"/>
    <w:link w:val="3618"/>
    <w:qFormat/>
    <w:uiPriority w:val="0"/>
    <w:rPr>
      <w:rFonts w:eastAsia="仿宋_GB2312"/>
      <w:sz w:val="28"/>
      <w:szCs w:val="28"/>
    </w:rPr>
  </w:style>
  <w:style w:type="paragraph" w:customStyle="1" w:styleId="3618">
    <w:name w:val="正文（布）"/>
    <w:basedOn w:val="1"/>
    <w:link w:val="3617"/>
    <w:qFormat/>
    <w:uiPriority w:val="0"/>
    <w:pPr>
      <w:tabs>
        <w:tab w:val="clear" w:pos="480"/>
      </w:tabs>
      <w:spacing w:line="520" w:lineRule="exact"/>
      <w:ind w:firstLine="560"/>
    </w:pPr>
    <w:rPr>
      <w:rFonts w:eastAsia="仿宋_GB2312"/>
      <w:kern w:val="0"/>
      <w:sz w:val="28"/>
      <w:szCs w:val="28"/>
    </w:rPr>
  </w:style>
  <w:style w:type="paragraph" w:customStyle="1" w:styleId="3619">
    <w:name w:val="修订2"/>
    <w:hidden/>
    <w:semiHidden/>
    <w:qFormat/>
    <w:uiPriority w:val="99"/>
    <w:rPr>
      <w:rFonts w:ascii="Times New Roman" w:hAnsi="Times New Roman" w:eastAsia="宋体" w:cs="Times New Roman"/>
      <w:kern w:val="2"/>
      <w:sz w:val="24"/>
      <w:szCs w:val="24"/>
      <w:lang w:val="en-US" w:eastAsia="zh-CN" w:bidi="ar-SA"/>
    </w:rPr>
  </w:style>
  <w:style w:type="paragraph" w:customStyle="1" w:styleId="3620">
    <w:name w:val="【正文】"/>
    <w:basedOn w:val="1"/>
    <w:link w:val="3621"/>
    <w:qFormat/>
    <w:uiPriority w:val="0"/>
    <w:pPr>
      <w:tabs>
        <w:tab w:val="clear" w:pos="480"/>
      </w:tabs>
      <w:ind w:firstLine="480"/>
    </w:pPr>
    <w:rPr>
      <w:rFonts w:ascii="宋体"/>
      <w:kern w:val="0"/>
      <w:lang w:val="zh-CN" w:eastAsia="zh-CN"/>
    </w:rPr>
  </w:style>
  <w:style w:type="character" w:customStyle="1" w:styleId="3621">
    <w:name w:val="【正文】 Char"/>
    <w:link w:val="3620"/>
    <w:qFormat/>
    <w:uiPriority w:val="0"/>
    <w:rPr>
      <w:rFonts w:ascii="宋体"/>
      <w:sz w:val="24"/>
      <w:szCs w:val="24"/>
      <w:lang w:val="zh-CN" w:eastAsia="zh-CN"/>
    </w:rPr>
  </w:style>
  <w:style w:type="paragraph" w:customStyle="1" w:styleId="3622">
    <w:name w:val="17"/>
    <w:basedOn w:val="3620"/>
    <w:link w:val="3623"/>
    <w:qFormat/>
    <w:uiPriority w:val="0"/>
    <w:pPr>
      <w:ind w:firstLine="0" w:firstLineChars="0"/>
      <w:jc w:val="center"/>
    </w:pPr>
    <w:rPr>
      <w:b/>
      <w:szCs w:val="21"/>
    </w:rPr>
  </w:style>
  <w:style w:type="character" w:customStyle="1" w:styleId="3623">
    <w:name w:val="17 Char"/>
    <w:basedOn w:val="3621"/>
    <w:link w:val="3622"/>
    <w:qFormat/>
    <w:uiPriority w:val="0"/>
    <w:rPr>
      <w:rFonts w:ascii="宋体"/>
      <w:b/>
      <w:sz w:val="24"/>
      <w:szCs w:val="21"/>
      <w:lang w:val="zh-CN" w:eastAsia="zh-CN"/>
    </w:rPr>
  </w:style>
  <w:style w:type="character" w:customStyle="1" w:styleId="3624">
    <w:name w:val="报告表正文 Char Char Char"/>
    <w:qFormat/>
    <w:uiPriority w:val="0"/>
    <w:rPr>
      <w:rFonts w:eastAsia="楷体_GB2312"/>
      <w:kern w:val="2"/>
      <w:sz w:val="24"/>
      <w:lang w:val="en-US" w:eastAsia="zh-CN"/>
    </w:rPr>
  </w:style>
  <w:style w:type="table" w:customStyle="1" w:styleId="3625">
    <w:name w:val="网格型7"/>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626">
    <w:name w:val="特殊标题３"/>
    <w:basedOn w:val="1"/>
    <w:qFormat/>
    <w:uiPriority w:val="0"/>
    <w:pPr>
      <w:overflowPunct w:val="0"/>
      <w:autoSpaceDE w:val="0"/>
      <w:autoSpaceDN w:val="0"/>
      <w:adjustRightInd w:val="0"/>
      <w:textAlignment w:val="baseline"/>
    </w:pPr>
    <w:rPr>
      <w:rFonts w:eastAsia="仿宋_GB2312"/>
      <w:kern w:val="0"/>
      <w:sz w:val="28"/>
      <w:szCs w:val="20"/>
    </w:rPr>
  </w:style>
  <w:style w:type="paragraph" w:customStyle="1" w:styleId="3627">
    <w:name w:val="表字体"/>
    <w:basedOn w:val="1"/>
    <w:next w:val="1"/>
    <w:link w:val="3637"/>
    <w:qFormat/>
    <w:uiPriority w:val="0"/>
    <w:pPr>
      <w:jc w:val="center"/>
    </w:pPr>
    <w:rPr>
      <w:rFonts w:ascii="Times New Roman" w:hAnsi="Times New Roman"/>
      <w:kern w:val="0"/>
      <w:sz w:val="20"/>
      <w:szCs w:val="20"/>
    </w:rPr>
  </w:style>
  <w:style w:type="paragraph" w:customStyle="1" w:styleId="3628">
    <w:name w:val="WPSOffice手动目录 1"/>
    <w:qFormat/>
    <w:uiPriority w:val="0"/>
    <w:rPr>
      <w:rFonts w:ascii="Times New Roman" w:hAnsi="Times New Roman" w:eastAsia="宋体" w:cs="Times New Roman"/>
      <w:lang w:val="en-US" w:eastAsia="zh-CN" w:bidi="ar-SA"/>
    </w:rPr>
  </w:style>
  <w:style w:type="paragraph" w:customStyle="1" w:styleId="3629">
    <w:name w:val="正文表头"/>
    <w:basedOn w:val="1"/>
    <w:qFormat/>
    <w:uiPriority w:val="0"/>
    <w:pPr>
      <w:widowControl/>
      <w:autoSpaceDE w:val="0"/>
      <w:autoSpaceDN w:val="0"/>
      <w:adjustRightInd w:val="0"/>
      <w:spacing w:beforeLines="50" w:afterLines="50" w:line="360" w:lineRule="auto"/>
      <w:jc w:val="center"/>
    </w:pPr>
    <w:rPr>
      <w:rFonts w:ascii="Times New Roman" w:hAnsi="Times New Roman"/>
      <w:b/>
      <w:color w:val="000000"/>
      <w:kern w:val="0"/>
      <w:sz w:val="24"/>
      <w:szCs w:val="24"/>
    </w:rPr>
  </w:style>
  <w:style w:type="paragraph" w:customStyle="1" w:styleId="3630">
    <w:name w:val="样式 haydonli + 首行缩进:  2 字符"/>
    <w:basedOn w:val="1"/>
    <w:qFormat/>
    <w:uiPriority w:val="0"/>
    <w:pPr>
      <w:ind w:firstLine="420" w:firstLineChars="175"/>
    </w:pPr>
    <w:rPr>
      <w:color w:val="000000"/>
      <w:szCs w:val="24"/>
    </w:rPr>
  </w:style>
  <w:style w:type="paragraph" w:customStyle="1" w:styleId="3631">
    <w:name w:val="样式 样式 小四 行距: 1.5 倍行距 首行缩进:  2 字符1 + 13 磅 黑色 紧缩量  0.2 磅"/>
    <w:basedOn w:val="3632"/>
    <w:qFormat/>
    <w:uiPriority w:val="0"/>
    <w:pPr>
      <w:tabs>
        <w:tab w:val="left" w:pos="480"/>
      </w:tabs>
    </w:pPr>
    <w:rPr>
      <w:color w:val="000000"/>
      <w:spacing w:val="-4"/>
    </w:rPr>
  </w:style>
  <w:style w:type="paragraph" w:customStyle="1" w:styleId="3632">
    <w:name w:val="样式 小四 行距: 1.5 倍行距 首行缩进:  2 字符1"/>
    <w:basedOn w:val="1"/>
    <w:qFormat/>
    <w:uiPriority w:val="0"/>
    <w:pPr>
      <w:adjustRightInd w:val="0"/>
      <w:snapToGrid w:val="0"/>
      <w:spacing w:line="360" w:lineRule="auto"/>
      <w:ind w:firstLine="200" w:firstLineChars="200"/>
    </w:pPr>
    <w:rPr>
      <w:rFonts w:cs="宋体"/>
      <w:kern w:val="0"/>
      <w:sz w:val="24"/>
    </w:rPr>
  </w:style>
  <w:style w:type="table" w:customStyle="1" w:styleId="3633">
    <w:name w:val="Table Normal"/>
    <w:semiHidden/>
    <w:unhideWhenUsed/>
    <w:qFormat/>
    <w:uiPriority w:val="0"/>
    <w:tblPr>
      <w:tblCellMar>
        <w:top w:w="0" w:type="dxa"/>
        <w:left w:w="0" w:type="dxa"/>
        <w:bottom w:w="0" w:type="dxa"/>
        <w:right w:w="0" w:type="dxa"/>
      </w:tblCellMar>
    </w:tblPr>
  </w:style>
  <w:style w:type="paragraph" w:customStyle="1" w:styleId="3634">
    <w:name w:val="1正文"/>
    <w:qFormat/>
    <w:uiPriority w:val="0"/>
    <w:pPr>
      <w:snapToGri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3635">
    <w:name w:val="表标题"/>
    <w:basedOn w:val="1"/>
    <w:qFormat/>
    <w:uiPriority w:val="0"/>
    <w:pPr>
      <w:jc w:val="center"/>
    </w:pPr>
    <w:rPr>
      <w:rFonts w:ascii="Times New Roman" w:hAnsi="Times New Roman"/>
      <w:b/>
      <w:kern w:val="0"/>
      <w:sz w:val="20"/>
      <w:szCs w:val="20"/>
    </w:rPr>
  </w:style>
  <w:style w:type="paragraph" w:customStyle="1" w:styleId="3636">
    <w:name w:val="表格内格式"/>
    <w:basedOn w:val="175"/>
    <w:next w:val="157"/>
    <w:qFormat/>
    <w:uiPriority w:val="0"/>
    <w:pPr>
      <w:spacing w:line="360" w:lineRule="exact"/>
    </w:pPr>
    <w:rPr>
      <w:szCs w:val="21"/>
    </w:rPr>
  </w:style>
  <w:style w:type="character" w:customStyle="1" w:styleId="3637">
    <w:name w:val="表字体 Char"/>
    <w:link w:val="3627"/>
    <w:qFormat/>
    <w:uiPriority w:val="0"/>
    <w:rPr>
      <w:rFonts w:ascii="Times New Roman" w:hAnsi="Times New Roman"/>
      <w:kern w:val="0"/>
      <w:sz w:val="20"/>
      <w:szCs w:val="20"/>
    </w:rPr>
  </w:style>
  <w:style w:type="character" w:customStyle="1" w:styleId="3638">
    <w:name w:val="font31"/>
    <w:basedOn w:val="133"/>
    <w:qFormat/>
    <w:uiPriority w:val="0"/>
    <w:rPr>
      <w:rFonts w:hint="eastAsia" w:ascii="宋体" w:hAnsi="宋体" w:eastAsia="宋体" w:cs="宋体"/>
      <w:b/>
      <w:bCs/>
      <w:color w:val="000000"/>
      <w:sz w:val="21"/>
      <w:szCs w:val="21"/>
      <w:u w:val="none"/>
    </w:rPr>
  </w:style>
  <w:style w:type="paragraph" w:customStyle="1" w:styleId="3639">
    <w:name w:val="ZX 6 表标题"/>
    <w:basedOn w:val="3232"/>
    <w:qFormat/>
    <w:uiPriority w:val="0"/>
    <w:pPr>
      <w:numPr>
        <w:ilvl w:val="0"/>
        <w:numId w:val="47"/>
      </w:numPr>
      <w:spacing w:line="240" w:lineRule="auto"/>
      <w:ind w:left="420" w:firstLine="0" w:firstLineChars="0"/>
      <w:jc w:val="center"/>
    </w:pPr>
    <w:rPr>
      <w:rFonts w:ascii="Times New Roman" w:hAnsi="Times New Roman" w:eastAsia="宋体"/>
      <w:sz w:val="21"/>
    </w:rPr>
  </w:style>
  <w:style w:type="paragraph" w:customStyle="1" w:styleId="3640">
    <w:name w:val="TCY-表内文字"/>
    <w:basedOn w:val="1"/>
    <w:next w:val="3641"/>
    <w:qFormat/>
    <w:uiPriority w:val="0"/>
    <w:pPr>
      <w:spacing w:line="360" w:lineRule="exact"/>
      <w:ind w:firstLine="0" w:firstLineChars="0"/>
      <w:jc w:val="center"/>
    </w:pPr>
    <w:rPr>
      <w:sz w:val="21"/>
    </w:rPr>
  </w:style>
  <w:style w:type="paragraph" w:customStyle="1" w:styleId="3641">
    <w:name w:val="标准正文"/>
    <w:basedOn w:val="186"/>
    <w:next w:val="2943"/>
    <w:qFormat/>
    <w:uiPriority w:val="0"/>
    <w:pPr>
      <w:adjustRightInd/>
      <w:snapToGrid/>
      <w:spacing w:line="360" w:lineRule="auto"/>
      <w:ind w:firstLine="540" w:firstLineChars="225"/>
      <w:jc w:val="left"/>
      <w:textAlignment w:val="auto"/>
    </w:pPr>
    <w:rPr>
      <w:rFonts w:ascii="Times New Roman"/>
      <w:snapToGrid/>
      <w:spacing w:val="0"/>
      <w:w w:val="100"/>
      <w:kern w:val="2"/>
      <w:szCs w:val="24"/>
    </w:rPr>
  </w:style>
  <w:style w:type="paragraph" w:customStyle="1" w:styleId="3642">
    <w:name w:val="TCY-报告表正文"/>
    <w:basedOn w:val="3641"/>
    <w:qFormat/>
    <w:uiPriority w:val="0"/>
    <w:pPr>
      <w:spacing w:line="560" w:lineRule="exact"/>
      <w:ind w:firstLine="960" w:firstLineChars="200"/>
      <w:jc w:val="both"/>
    </w:pPr>
  </w:style>
  <w:style w:type="paragraph" w:customStyle="1" w:styleId="3643">
    <w:name w:val="TCY-表题"/>
    <w:basedOn w:val="1"/>
    <w:next w:val="3642"/>
    <w:qFormat/>
    <w:uiPriority w:val="0"/>
    <w:pPr>
      <w:tabs>
        <w:tab w:val="left" w:pos="0"/>
        <w:tab w:val="clear" w:pos="480"/>
      </w:tabs>
      <w:adjustRightInd w:val="0"/>
      <w:ind w:firstLine="0" w:firstLineChars="0"/>
      <w:jc w:val="center"/>
    </w:pPr>
    <w:rPr>
      <w:b/>
      <w:kern w:val="24"/>
      <w:sz w:val="21"/>
      <w:lang w:val="zh-CN"/>
    </w:rPr>
  </w:style>
  <w:style w:type="paragraph" w:customStyle="1" w:styleId="3644">
    <w:name w:val="3级标题"/>
    <w:basedOn w:val="3645"/>
    <w:next w:val="3642"/>
    <w:qFormat/>
    <w:uiPriority w:val="0"/>
    <w:pPr>
      <w:tabs>
        <w:tab w:val="left" w:pos="480"/>
      </w:tabs>
      <w:outlineLvl w:val="9"/>
    </w:pPr>
    <w:rPr>
      <w:sz w:val="28"/>
    </w:rPr>
  </w:style>
  <w:style w:type="paragraph" w:customStyle="1" w:styleId="3645">
    <w:name w:val="2级标题"/>
    <w:basedOn w:val="3646"/>
    <w:next w:val="3641"/>
    <w:qFormat/>
    <w:uiPriority w:val="0"/>
    <w:pPr>
      <w:tabs>
        <w:tab w:val="left" w:pos="480"/>
      </w:tabs>
      <w:ind w:firstLine="0" w:firstLineChars="0"/>
      <w:outlineLvl w:val="1"/>
    </w:pPr>
    <w:rPr>
      <w:rFonts w:eastAsia="宋体"/>
      <w:kern w:val="0"/>
      <w:sz w:val="30"/>
    </w:rPr>
  </w:style>
  <w:style w:type="paragraph" w:customStyle="1" w:styleId="3646">
    <w:name w:val="1级标题"/>
    <w:basedOn w:val="1"/>
    <w:next w:val="3642"/>
    <w:qFormat/>
    <w:uiPriority w:val="0"/>
    <w:pPr>
      <w:spacing w:before="50" w:beforeLines="50" w:line="560" w:lineRule="exact"/>
      <w:ind w:firstLine="0" w:firstLineChars="0"/>
      <w:outlineLvl w:val="0"/>
    </w:pPr>
    <w:rPr>
      <w:rFonts w:eastAsia="黑体"/>
      <w:b/>
      <w:sz w:val="32"/>
    </w:rPr>
  </w:style>
  <w:style w:type="paragraph" w:customStyle="1" w:styleId="3647">
    <w:name w:val="图表标题wj"/>
    <w:basedOn w:val="1"/>
    <w:qFormat/>
    <w:uiPriority w:val="0"/>
    <w:pPr>
      <w:widowControl w:val="0"/>
      <w:adjustRightInd w:val="0"/>
      <w:snapToGrid w:val="0"/>
      <w:jc w:val="center"/>
    </w:pPr>
    <w:rPr>
      <w:rFonts w:ascii="黑体" w:eastAsia="黑体"/>
      <w:b/>
      <w:szCs w:val="24"/>
    </w:rPr>
  </w:style>
  <w:style w:type="paragraph" w:customStyle="1" w:styleId="3648">
    <w:name w:val="小题内容"/>
    <w:qFormat/>
    <w:uiPriority w:val="0"/>
    <w:pPr>
      <w:spacing w:line="360" w:lineRule="auto"/>
      <w:ind w:firstLine="200" w:firstLineChars="200"/>
    </w:pPr>
    <w:rPr>
      <w:rFonts w:ascii="Times New Roman" w:hAnsi="Times New Roman" w:eastAsia="宋体" w:cs="Times New Roman"/>
      <w:kern w:val="2"/>
      <w:sz w:val="24"/>
      <w:szCs w:val="24"/>
      <w:lang w:val="en-US" w:eastAsia="zh-CN" w:bidi="ar-SA"/>
    </w:rPr>
  </w:style>
  <w:style w:type="paragraph" w:customStyle="1" w:styleId="3649">
    <w:name w:val="HJ-表格"/>
    <w:basedOn w:val="3650"/>
    <w:qFormat/>
    <w:uiPriority w:val="0"/>
    <w:pPr>
      <w:tabs>
        <w:tab w:val="left" w:pos="480"/>
      </w:tabs>
    </w:pPr>
    <w:rPr>
      <w:rFonts w:ascii="Times New Roman" w:hAnsi="Times New Roman"/>
      <w:color w:val="auto"/>
    </w:rPr>
  </w:style>
  <w:style w:type="paragraph" w:customStyle="1" w:styleId="3650">
    <w:name w:val="表内文字小21"/>
    <w:basedOn w:val="1"/>
    <w:qFormat/>
    <w:uiPriority w:val="0"/>
    <w:pPr>
      <w:adjustRightInd w:val="0"/>
      <w:snapToGrid w:val="0"/>
      <w:jc w:val="center"/>
    </w:pPr>
    <w:rPr>
      <w:rFonts w:ascii="宋体" w:hAnsi="Times" w:eastAsia="宋体" w:cs="Times New Roman"/>
      <w:bCs/>
      <w:color w:val="000000"/>
      <w:szCs w:val="20"/>
    </w:rPr>
  </w:style>
  <w:style w:type="paragraph" w:customStyle="1" w:styleId="3651">
    <w:name w:val="表格标题7"/>
    <w:basedOn w:val="1"/>
    <w:qFormat/>
    <w:uiPriority w:val="0"/>
    <w:pPr>
      <w:numPr>
        <w:ilvl w:val="0"/>
        <w:numId w:val="48"/>
      </w:numPr>
      <w:tabs>
        <w:tab w:val="clear" w:pos="480"/>
      </w:tabs>
      <w:spacing w:line="240" w:lineRule="auto"/>
      <w:ind w:firstLine="482"/>
      <w:jc w:val="center"/>
    </w:pPr>
    <w:rPr>
      <w:rFonts w:ascii="宋体" w:hAnsi="宋体"/>
      <w:b/>
      <w:bCs/>
      <w:sz w:val="21"/>
      <w:szCs w:val="20"/>
    </w:rPr>
  </w:style>
  <w:style w:type="paragraph" w:customStyle="1" w:styleId="3652">
    <w:name w:val="表格文本1"/>
    <w:basedOn w:val="1"/>
    <w:qFormat/>
    <w:uiPriority w:val="0"/>
    <w:pPr>
      <w:spacing w:line="240" w:lineRule="auto"/>
      <w:ind w:firstLine="0" w:firstLineChars="0"/>
      <w:jc w:val="center"/>
    </w:pPr>
    <w:rPr>
      <w:sz w:val="21"/>
      <w:szCs w:val="21"/>
    </w:rPr>
  </w:style>
  <w:style w:type="paragraph" w:customStyle="1" w:styleId="3653">
    <w:name w:val="ZX9表标题"/>
    <w:basedOn w:val="1"/>
    <w:qFormat/>
    <w:uiPriority w:val="0"/>
    <w:pPr>
      <w:numPr>
        <w:ilvl w:val="0"/>
        <w:numId w:val="49"/>
      </w:numPr>
      <w:tabs>
        <w:tab w:val="clear" w:pos="480"/>
      </w:tabs>
      <w:ind w:left="0" w:firstLine="0" w:firstLineChars="0"/>
      <w:jc w:val="center"/>
    </w:pPr>
    <w:rPr>
      <w:rFonts w:ascii="Times New Roman" w:hAnsi="Times New Roman" w:eastAsia="宋体"/>
      <w:b/>
      <w:sz w:val="21"/>
      <w:szCs w:val="21"/>
    </w:rPr>
  </w:style>
  <w:style w:type="paragraph" w:customStyle="1" w:styleId="3654">
    <w:name w:val="样式262"/>
    <w:basedOn w:val="1"/>
    <w:qFormat/>
    <w:uiPriority w:val="0"/>
  </w:style>
  <w:style w:type="paragraph" w:customStyle="1" w:styleId="3655">
    <w:name w:val="样式 小四 行距: 1.5 倍行距 首行缩进:  2 字符"/>
    <w:basedOn w:val="1"/>
    <w:qFormat/>
    <w:uiPriority w:val="0"/>
    <w:pPr>
      <w:adjustRightInd w:val="0"/>
      <w:snapToGrid w:val="0"/>
      <w:spacing w:line="360" w:lineRule="auto"/>
      <w:ind w:firstLine="200" w:firstLineChars="200"/>
    </w:pPr>
    <w:rPr>
      <w:rFonts w:cs="宋体"/>
      <w:sz w:val="24"/>
    </w:rPr>
  </w:style>
  <w:style w:type="paragraph" w:customStyle="1" w:styleId="3656">
    <w:name w:val="样式 样式 小四 行距: 1.5 倍行距 首行缩进:  2 字符 + 加粗"/>
    <w:basedOn w:val="3655"/>
    <w:qFormat/>
    <w:uiPriority w:val="0"/>
    <w:rPr>
      <w:bCs/>
    </w:rPr>
  </w:style>
  <w:style w:type="paragraph" w:customStyle="1" w:styleId="3657">
    <w:name w:val="样式 蓝色 首行缩进:  0.85 厘米"/>
    <w:basedOn w:val="1"/>
    <w:qFormat/>
    <w:uiPriority w:val="0"/>
    <w:rPr>
      <w:rFonts w:cs="宋体"/>
      <w:color w:val="0000FF"/>
      <w:szCs w:val="20"/>
    </w:rPr>
  </w:style>
  <w:style w:type="paragraph" w:customStyle="1" w:styleId="3658">
    <w:name w:val="样式 小四 行距: 1.5 倍行距 首行缩进:  2 字符2"/>
    <w:basedOn w:val="1"/>
    <w:qFormat/>
    <w:uiPriority w:val="0"/>
    <w:pPr>
      <w:adjustRightInd w:val="0"/>
      <w:snapToGrid w:val="0"/>
      <w:spacing w:line="360" w:lineRule="auto"/>
      <w:ind w:firstLine="200" w:firstLineChars="200"/>
    </w:pPr>
    <w:rPr>
      <w:rFonts w:cs="宋体"/>
      <w:sz w:val="24"/>
    </w:rPr>
  </w:style>
  <w:style w:type="paragraph" w:customStyle="1" w:styleId="3659">
    <w:name w:val="样式 样式 小四 行距: 1.5 倍行距 首行缩进:  2 字符2 + 加粗"/>
    <w:basedOn w:val="3658"/>
    <w:qFormat/>
    <w:uiPriority w:val="0"/>
    <w:rPr>
      <w:bCs/>
    </w:rPr>
  </w:style>
  <w:style w:type="paragraph" w:customStyle="1" w:styleId="3660">
    <w:name w:val="表格格"/>
    <w:basedOn w:val="165"/>
    <w:qFormat/>
    <w:uiPriority w:val="0"/>
    <w:pPr/>
  </w:style>
  <w:style w:type="paragraph" w:customStyle="1" w:styleId="3661">
    <w:name w:val="样式 图名 + (西文) Times New Roman"/>
    <w:basedOn w:val="1542"/>
    <w:qFormat/>
    <w:uiPriority w:val="0"/>
    <w:pPr/>
  </w:style>
  <w:style w:type="paragraph" w:customStyle="1" w:styleId="3662">
    <w:name w:val="1正文阳选清"/>
    <w:basedOn w:val="1"/>
    <w:qFormat/>
    <w:uiPriority w:val="0"/>
    <w:pPr>
      <w:adjustRightInd w:val="0"/>
      <w:snapToGrid w:val="0"/>
      <w:spacing w:line="360" w:lineRule="auto"/>
      <w:ind w:left="20" w:leftChars="20" w:right="20" w:rightChars="20" w:firstLine="200" w:firstLineChars="200"/>
    </w:pPr>
    <w:rPr>
      <w:rFonts w:cs="Arial"/>
      <w:kern w:val="0"/>
      <w:sz w:val="24"/>
      <w:szCs w:val="24"/>
      <w:lang w:val="sq-AL" w:bidi="en-US"/>
    </w:rPr>
  </w:style>
  <w:style w:type="paragraph" w:customStyle="1" w:styleId="3663">
    <w:name w:val="表标注5号"/>
    <w:basedOn w:val="1"/>
    <w:qFormat/>
    <w:uiPriority w:val="0"/>
    <w:pPr>
      <w:jc w:val="center"/>
    </w:pPr>
    <w:rPr>
      <w:kern w:val="0"/>
      <w:szCs w:val="21"/>
    </w:rPr>
  </w:style>
  <w:style w:type="paragraph" w:customStyle="1" w:styleId="3664">
    <w:name w:val="正文文字"/>
    <w:basedOn w:val="20"/>
    <w:qFormat/>
    <w:uiPriority w:val="0"/>
    <w:pPr>
      <w:widowControl w:val="0"/>
      <w:tabs>
        <w:tab w:val="left" w:pos="1021"/>
        <w:tab w:val="clear" w:pos="480"/>
      </w:tabs>
      <w:spacing w:line="360" w:lineRule="auto"/>
      <w:ind w:firstLine="200"/>
    </w:pPr>
    <w:rPr>
      <w:szCs w:val="24"/>
    </w:rPr>
  </w:style>
  <w:style w:type="paragraph" w:customStyle="1" w:styleId="3665">
    <w:name w:val="5表名阳选清"/>
    <w:qFormat/>
    <w:uiPriority w:val="0"/>
    <w:pPr>
      <w:widowControl w:val="0"/>
      <w:adjustRightInd w:val="0"/>
      <w:snapToGrid w:val="0"/>
      <w:jc w:val="center"/>
    </w:pPr>
    <w:rPr>
      <w:rFonts w:ascii="Times New Roman" w:hAnsi="Times New Roman" w:eastAsia="宋体" w:cs="Times New Roman"/>
      <w:color w:val="000000"/>
      <w:kern w:val="2"/>
      <w:sz w:val="21"/>
      <w:szCs w:val="21"/>
      <w:lang w:val="en-US" w:eastAsia="zh-CN" w:bidi="ar-SA"/>
    </w:rPr>
  </w:style>
  <w:style w:type="paragraph" w:customStyle="1" w:styleId="3666">
    <w:name w:val="样式 样式 行距: 固定值 26 磅 + 宋体 首行缩进:  2 字符"/>
    <w:basedOn w:val="1"/>
    <w:qFormat/>
    <w:uiPriority w:val="0"/>
    <w:pPr>
      <w:spacing w:line="520" w:lineRule="exact"/>
      <w:ind w:firstLine="504" w:firstLineChars="200"/>
    </w:pPr>
    <w:rPr>
      <w:rFonts w:ascii="宋体" w:hAnsi="宋体" w:cs="宋体"/>
      <w:spacing w:val="6"/>
      <w:sz w:val="24"/>
      <w:szCs w:val="20"/>
    </w:rPr>
  </w:style>
  <w:style w:type="paragraph" w:customStyle="1" w:styleId="3667">
    <w:name w:val="wxy正文"/>
    <w:basedOn w:val="1"/>
    <w:qFormat/>
    <w:uiPriority w:val="0"/>
    <w:pPr>
      <w:ind w:firstLine="480"/>
    </w:pPr>
    <w:rPr>
      <w:rFonts w:cs="Times New Roman"/>
      <w:snapToGrid w:val="0"/>
      <w:szCs w:val="20"/>
    </w:rPr>
  </w:style>
  <w:style w:type="paragraph" w:customStyle="1" w:styleId="3668">
    <w:name w:val="图片标题1"/>
    <w:basedOn w:val="1"/>
    <w:qFormat/>
    <w:uiPriority w:val="0"/>
    <w:pPr>
      <w:tabs>
        <w:tab w:val="left" w:pos="1320"/>
        <w:tab w:val="clear" w:pos="480"/>
      </w:tabs>
      <w:ind w:firstLine="0" w:firstLineChars="0"/>
      <w:jc w:val="center"/>
    </w:pPr>
    <w:rPr>
      <w:rFonts w:ascii="Calibri" w:hAnsi="Calibri" w:eastAsia="黑体" w:cs="Times New Roman"/>
      <w:szCs w:val="20"/>
    </w:rPr>
  </w:style>
  <w:style w:type="paragraph" w:customStyle="1" w:styleId="3669">
    <w:name w:val="正文标准"/>
    <w:qFormat/>
    <w:uiPriority w:val="0"/>
    <w:pPr>
      <w:spacing w:line="360" w:lineRule="auto"/>
      <w:ind w:firstLine="200" w:firstLineChars="200"/>
      <w:jc w:val="both"/>
    </w:pPr>
    <w:rPr>
      <w:rFonts w:ascii="Times New Roman" w:hAnsi="Times New Roman" w:eastAsia="宋体" w:cs="Times New Roman"/>
      <w:kern w:val="44"/>
      <w:sz w:val="28"/>
      <w:szCs w:val="28"/>
      <w:lang w:val="zh-CN" w:eastAsia="zh-CN" w:bidi="ar-SA"/>
    </w:rPr>
  </w:style>
  <w:style w:type="paragraph" w:customStyle="1" w:styleId="3670">
    <w:name w:val="样式 行距: 固定值 24 磅 首行缩进:  2 字符"/>
    <w:basedOn w:val="1"/>
    <w:qFormat/>
    <w:uiPriority w:val="0"/>
    <w:pPr>
      <w:spacing w:line="480" w:lineRule="exact"/>
      <w:ind w:firstLine="480" w:firstLineChars="200"/>
    </w:pPr>
    <w:rPr>
      <w:rFonts w:cs="宋体"/>
      <w:sz w:val="24"/>
      <w:szCs w:val="20"/>
    </w:rPr>
  </w:style>
  <w:style w:type="table" w:customStyle="1" w:styleId="3671">
    <w:name w:val="Table Normal1"/>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3672">
    <w:name w:val="6-1表格文字（居中）阳选清"/>
    <w:basedOn w:val="1"/>
    <w:qFormat/>
    <w:uiPriority w:val="0"/>
    <w:pPr>
      <w:tabs>
        <w:tab w:val="clear" w:pos="480"/>
      </w:tabs>
      <w:adjustRightInd w:val="0"/>
      <w:spacing w:line="240" w:lineRule="auto"/>
      <w:ind w:firstLine="0" w:firstLineChars="0"/>
      <w:jc w:val="center"/>
    </w:pPr>
    <w:rPr>
      <w:rFonts w:cs="ArialMT"/>
      <w:bCs/>
      <w:color w:val="000000"/>
      <w:kern w:val="0"/>
      <w:sz w:val="21"/>
      <w:szCs w:val="28"/>
      <w:lang w:eastAsia="en-US" w:bidi="en-US"/>
    </w:rPr>
  </w:style>
  <w:style w:type="table" w:customStyle="1" w:styleId="3673">
    <w:name w:val="网格型17"/>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674">
    <w:name w:val="样式 样式 报告书正文 + Times New Roman 黑色 + (符号) 宋体 五号 加粗 居中 行距: 多倍行距..."/>
    <w:basedOn w:val="1"/>
    <w:qFormat/>
    <w:uiPriority w:val="0"/>
    <w:pPr>
      <w:tabs>
        <w:tab w:val="clear" w:pos="480"/>
      </w:tabs>
      <w:adjustRightInd w:val="0"/>
      <w:snapToGrid w:val="0"/>
    </w:pPr>
    <w:rPr>
      <w:rFonts w:cs="宋体"/>
      <w:bCs/>
      <w:kern w:val="0"/>
    </w:rPr>
  </w:style>
  <w:style w:type="paragraph" w:customStyle="1" w:styleId="3675">
    <w:name w:val="Table Text"/>
    <w:basedOn w:val="1"/>
    <w:semiHidden/>
    <w:qFormat/>
    <w:uiPriority w:val="0"/>
    <w:rPr>
      <w:rFonts w:ascii="Arial" w:hAnsi="Arial" w:eastAsia="Arial" w:cs="Arial"/>
      <w:sz w:val="21"/>
      <w:szCs w:val="21"/>
      <w:lang w:val="en-US" w:eastAsia="en-US" w:bidi="ar-SA"/>
    </w:rPr>
  </w:style>
  <w:style w:type="table" w:customStyle="1" w:styleId="3676">
    <w:name w:val="Table Normal26"/>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3677">
    <w:name w:val="Default1"/>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character" w:customStyle="1" w:styleId="3678">
    <w:name w:val="font81"/>
    <w:qFormat/>
    <w:uiPriority w:val="0"/>
    <w:rPr>
      <w:rFonts w:hint="default" w:ascii="Times New Roman" w:hAnsi="Times New Roman" w:cs="Times New Roman"/>
      <w:b/>
      <w:bCs/>
      <w:color w:val="000000"/>
      <w:sz w:val="21"/>
      <w:szCs w:val="21"/>
      <w:u w:val="none"/>
      <w:vertAlign w:val="superscript"/>
    </w:rPr>
  </w:style>
  <w:style w:type="character" w:customStyle="1" w:styleId="3679">
    <w:name w:val="font01"/>
    <w:qFormat/>
    <w:uiPriority w:val="0"/>
    <w:rPr>
      <w:rFonts w:hint="eastAsia" w:ascii="宋体" w:hAnsi="宋体" w:eastAsia="宋体" w:cs="宋体"/>
      <w:color w:val="000000"/>
      <w:sz w:val="24"/>
      <w:szCs w:val="24"/>
      <w:u w:val="none"/>
    </w:rPr>
  </w:style>
  <w:style w:type="character" w:customStyle="1" w:styleId="3680">
    <w:name w:val="font71"/>
    <w:qFormat/>
    <w:uiPriority w:val="0"/>
    <w:rPr>
      <w:rFonts w:hint="eastAsia" w:ascii="宋体" w:hAnsi="宋体" w:eastAsia="宋体" w:cs="宋体"/>
      <w:color w:val="000000"/>
      <w:sz w:val="21"/>
      <w:szCs w:val="21"/>
      <w:u w:val="none"/>
    </w:rPr>
  </w:style>
  <w:style w:type="paragraph" w:customStyle="1" w:styleId="3681">
    <w:name w:val="lgy-表格文字"/>
    <w:basedOn w:val="1"/>
    <w:qFormat/>
    <w:uiPriority w:val="0"/>
    <w:pPr>
      <w:tabs>
        <w:tab w:val="clear" w:pos="480"/>
      </w:tabs>
      <w:adjustRightInd w:val="0"/>
      <w:spacing w:line="240" w:lineRule="auto"/>
      <w:ind w:firstLine="0" w:firstLineChars="0"/>
      <w:jc w:val="center"/>
    </w:pPr>
    <w:rPr>
      <w:bCs/>
      <w:kern w:val="0"/>
      <w:sz w:val="21"/>
      <w:szCs w:val="18"/>
    </w:rPr>
  </w:style>
  <w:style w:type="table" w:customStyle="1" w:styleId="3682">
    <w:name w:val="Table Normal7"/>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9" Type="http://schemas.openxmlformats.org/officeDocument/2006/relationships/header" Target="header3.xml"/><Relationship Id="rId88" Type="http://schemas.openxmlformats.org/officeDocument/2006/relationships/fontTable" Target="fontTable.xml"/><Relationship Id="rId87" Type="http://schemas.microsoft.com/office/2006/relationships/keyMapCustomizations" Target="customizations.xml"/><Relationship Id="rId86" Type="http://schemas.openxmlformats.org/officeDocument/2006/relationships/numbering" Target="numbering.xml"/><Relationship Id="rId85" Type="http://schemas.openxmlformats.org/officeDocument/2006/relationships/customXml" Target="../customXml/item1.xml"/><Relationship Id="rId84" Type="http://schemas.openxmlformats.org/officeDocument/2006/relationships/image" Target="media/image72.png"/><Relationship Id="rId83" Type="http://schemas.openxmlformats.org/officeDocument/2006/relationships/image" Target="media/image71.png"/><Relationship Id="rId82" Type="http://schemas.openxmlformats.org/officeDocument/2006/relationships/image" Target="media/image70.png"/><Relationship Id="rId81" Type="http://schemas.openxmlformats.org/officeDocument/2006/relationships/image" Target="media/image69.png"/><Relationship Id="rId80" Type="http://schemas.openxmlformats.org/officeDocument/2006/relationships/image" Target="media/image68.png"/><Relationship Id="rId8" Type="http://schemas.openxmlformats.org/officeDocument/2006/relationships/footer" Target="footer2.xml"/><Relationship Id="rId79" Type="http://schemas.openxmlformats.org/officeDocument/2006/relationships/image" Target="media/image67.png"/><Relationship Id="rId78" Type="http://schemas.openxmlformats.org/officeDocument/2006/relationships/image" Target="media/image66.png"/><Relationship Id="rId77" Type="http://schemas.openxmlformats.org/officeDocument/2006/relationships/image" Target="media/image65.png"/><Relationship Id="rId76" Type="http://schemas.openxmlformats.org/officeDocument/2006/relationships/image" Target="media/image64.png"/><Relationship Id="rId75" Type="http://schemas.openxmlformats.org/officeDocument/2006/relationships/image" Target="media/image63.pn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media/image59.png"/><Relationship Id="rId70" Type="http://schemas.openxmlformats.org/officeDocument/2006/relationships/image" Target="media/image58.png"/><Relationship Id="rId7" Type="http://schemas.openxmlformats.org/officeDocument/2006/relationships/header" Target="header2.xml"/><Relationship Id="rId69" Type="http://schemas.openxmlformats.org/officeDocument/2006/relationships/image" Target="media/image57.pn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jpeg"/><Relationship Id="rId6" Type="http://schemas.openxmlformats.org/officeDocument/2006/relationships/footer" Target="footer1.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header" Target="header1.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png"/><Relationship Id="rId35" Type="http://schemas.openxmlformats.org/officeDocument/2006/relationships/image" Target="media/image23.emf"/><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GZETEI Ltd.</Company>
  <Pages>149</Pages>
  <Words>6297</Words>
  <Characters>7087</Characters>
  <Lines>1432</Lines>
  <Paragraphs>403</Paragraphs>
  <TotalTime>87</TotalTime>
  <ScaleCrop>false</ScaleCrop>
  <LinksUpToDate>false</LinksUpToDate>
  <CharactersWithSpaces>7300</CharactersWithSpaces>
  <Application>WPS Office_11.8.2.10251_F1E327BC-269C-435d-A152-05C5408002CA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2021-03-07T14:12:00Z</dcterms:created>
  <dc:creator>clock98</dc:creator>
  <cp:lastModifiedBy>kylin</cp:lastModifiedBy>
  <cp:lastPrinted>2020-12-20T15:05:00Z</cp:lastPrinted>
  <dcterms:modified xsi:type="dcterms:W3CDTF">2025-07-18T16:38:19Z</dcterms:modified>
  <dc:title>目录</dc:title>
  <cp:revision>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2052-11.8.2.10251</vt:lpwstr>
  </property>
  <property fmtid="{D5CDD505-2E9C-101B-9397-08002B2CF9AE}" pid="3" name="ICV">
    <vt:lpwstr>EB869A9163E54AEAB86B41F564ADBFA6_13</vt:lpwstr>
  </property>
  <property fmtid="{D5CDD505-2E9C-101B-9397-08002B2CF9AE}" pid="4" name="KSOTemplateDocerSaveRecord">
    <vt:lpwstr>eyJoZGlkIjoiNDRmNzE2MmM5MTY5NjRhYzRkNzA2ODVlZjg0N2M2MDYiLCJ1c2VySWQiOiIyNjE2NzUwMTQifQ==</vt:lpwstr>
  </property>
</Properties>
</file>